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BC82D">
      <w:pPr>
        <w:rPr>
          <w:color w:val="000000" w:themeColor="text1"/>
          <w14:textFill>
            <w14:solidFill>
              <w14:schemeClr w14:val="tx1"/>
            </w14:solidFill>
          </w14:textFill>
        </w:rPr>
      </w:pPr>
    </w:p>
    <w:p w14:paraId="15397942">
      <w:pPr>
        <w:rPr>
          <w:color w:val="000000" w:themeColor="text1"/>
          <w14:textFill>
            <w14:solidFill>
              <w14:schemeClr w14:val="tx1"/>
            </w14:solidFill>
          </w14:textFill>
        </w:rPr>
      </w:pPr>
    </w:p>
    <w:p w14:paraId="5C8B6D6C">
      <w:pPr>
        <w:rPr>
          <w:color w:val="000000" w:themeColor="text1"/>
          <w14:textFill>
            <w14:solidFill>
              <w14:schemeClr w14:val="tx1"/>
            </w14:solidFill>
          </w14:textFill>
        </w:rPr>
      </w:pPr>
    </w:p>
    <w:p w14:paraId="6B86D811">
      <w:pPr>
        <w:rPr>
          <w:color w:val="000000" w:themeColor="text1"/>
          <w14:textFill>
            <w14:solidFill>
              <w14:schemeClr w14:val="tx1"/>
            </w14:solidFill>
          </w14:textFill>
        </w:rPr>
      </w:pPr>
    </w:p>
    <w:p w14:paraId="7BB2AE95">
      <w:pPr>
        <w:rPr>
          <w:color w:val="000000" w:themeColor="text1"/>
          <w14:textFill>
            <w14:solidFill>
              <w14:schemeClr w14:val="tx1"/>
            </w14:solidFill>
          </w14:textFill>
        </w:rPr>
      </w:pPr>
    </w:p>
    <w:p w14:paraId="3E51B55A">
      <w:pPr>
        <w:rPr>
          <w:color w:val="000000" w:themeColor="text1"/>
          <w14:textFill>
            <w14:solidFill>
              <w14:schemeClr w14:val="tx1"/>
            </w14:solidFill>
          </w14:textFill>
        </w:rPr>
      </w:pPr>
    </w:p>
    <w:p w14:paraId="48522EA2">
      <w:pPr>
        <w:rPr>
          <w:color w:val="000000" w:themeColor="text1"/>
          <w14:textFill>
            <w14:solidFill>
              <w14:schemeClr w14:val="tx1"/>
            </w14:solidFill>
          </w14:textFill>
        </w:rPr>
      </w:pPr>
    </w:p>
    <w:p w14:paraId="4782C288">
      <w:pPr>
        <w:rPr>
          <w:color w:val="000000" w:themeColor="text1"/>
          <w14:textFill>
            <w14:solidFill>
              <w14:schemeClr w14:val="tx1"/>
            </w14:solidFill>
          </w14:textFill>
        </w:rPr>
      </w:pPr>
    </w:p>
    <w:p w14:paraId="7DE489CB">
      <w:pPr>
        <w:rPr>
          <w:color w:val="000000" w:themeColor="text1"/>
          <w14:textFill>
            <w14:solidFill>
              <w14:schemeClr w14:val="tx1"/>
            </w14:solidFill>
          </w14:textFill>
        </w:rPr>
      </w:pPr>
    </w:p>
    <w:p w14:paraId="3FDAA518">
      <w:pPr>
        <w:rPr>
          <w:color w:val="000000" w:themeColor="text1"/>
          <w14:textFill>
            <w14:solidFill>
              <w14:schemeClr w14:val="tx1"/>
            </w14:solidFill>
          </w14:textFill>
        </w:rPr>
      </w:pPr>
    </w:p>
    <w:p w14:paraId="292A5B84">
      <w:pPr>
        <w:adjustRightInd w:val="0"/>
        <w:snapToGrid w:val="0"/>
        <w:spacing w:before="192" w:beforeLines="80"/>
        <w:jc w:val="center"/>
        <w:rPr>
          <w:rFonts w:eastAsia="方正小标宋_GBK"/>
          <w:bCs/>
          <w:color w:val="000000" w:themeColor="text1"/>
          <w:sz w:val="60"/>
          <w:szCs w:val="60"/>
          <w14:textFill>
            <w14:solidFill>
              <w14:schemeClr w14:val="tx1"/>
            </w14:solidFill>
          </w14:textFill>
        </w:rPr>
      </w:pPr>
      <w:r>
        <w:rPr>
          <w:rFonts w:eastAsia="方正小标宋_GBK"/>
          <w:bCs/>
          <w:color w:val="000000" w:themeColor="text1"/>
          <w:sz w:val="60"/>
          <w:szCs w:val="60"/>
          <w14:textFill>
            <w14:solidFill>
              <w14:schemeClr w14:val="tx1"/>
            </w14:solidFill>
          </w14:textFill>
        </w:rPr>
        <w:t>建设项目生态环境影响报告表</w:t>
      </w:r>
    </w:p>
    <w:p w14:paraId="3A74B10D">
      <w:pPr>
        <w:adjustRightInd w:val="0"/>
        <w:snapToGrid w:val="0"/>
        <w:spacing w:before="192" w:beforeLines="80"/>
        <w:jc w:val="center"/>
        <w:rPr>
          <w:rFonts w:eastAsia="楷体_GB2312"/>
          <w:bCs/>
          <w:color w:val="000000" w:themeColor="text1"/>
          <w:sz w:val="40"/>
          <w:szCs w:val="40"/>
          <w14:textFill>
            <w14:solidFill>
              <w14:schemeClr w14:val="tx1"/>
            </w14:solidFill>
          </w14:textFill>
        </w:rPr>
      </w:pPr>
      <w:r>
        <w:rPr>
          <w:rFonts w:eastAsia="楷体_GB2312"/>
          <w:bCs/>
          <w:color w:val="000000" w:themeColor="text1"/>
          <w:sz w:val="40"/>
          <w:szCs w:val="40"/>
          <w14:textFill>
            <w14:solidFill>
              <w14:schemeClr w14:val="tx1"/>
            </w14:solidFill>
          </w14:textFill>
        </w:rPr>
        <w:t>（污染影响类）</w:t>
      </w:r>
    </w:p>
    <w:p w14:paraId="7CD8E6C4">
      <w:pPr>
        <w:adjustRightInd w:val="0"/>
        <w:snapToGrid w:val="0"/>
        <w:spacing w:before="192" w:beforeLines="80"/>
        <w:jc w:val="center"/>
        <w:rPr>
          <w:rFonts w:eastAsia="楷体_GB2312"/>
          <w:bCs/>
          <w:color w:val="000000" w:themeColor="text1"/>
          <w:sz w:val="36"/>
          <w:szCs w:val="36"/>
          <w14:textFill>
            <w14:solidFill>
              <w14:schemeClr w14:val="tx1"/>
            </w14:solidFill>
          </w14:textFill>
        </w:rPr>
      </w:pPr>
      <w:r>
        <w:rPr>
          <w:rFonts w:eastAsia="楷体_GB2312"/>
          <w:bCs/>
          <w:color w:val="000000" w:themeColor="text1"/>
          <w:sz w:val="36"/>
          <w:szCs w:val="36"/>
          <w14:textFill>
            <w14:solidFill>
              <w14:schemeClr w14:val="tx1"/>
            </w14:solidFill>
          </w14:textFill>
        </w:rPr>
        <w:t>（报批稿）</w:t>
      </w:r>
    </w:p>
    <w:p w14:paraId="6AC9264C">
      <w:pPr>
        <w:rPr>
          <w:color w:val="000000" w:themeColor="text1"/>
          <w14:textFill>
            <w14:solidFill>
              <w14:schemeClr w14:val="tx1"/>
            </w14:solidFill>
          </w14:textFill>
        </w:rPr>
      </w:pPr>
    </w:p>
    <w:p w14:paraId="6E497A92">
      <w:pPr>
        <w:jc w:val="center"/>
        <w:rPr>
          <w:rFonts w:eastAsia="仿宋"/>
          <w:color w:val="000000" w:themeColor="text1"/>
          <w:sz w:val="52"/>
          <w:szCs w:val="52"/>
          <w14:textFill>
            <w14:solidFill>
              <w14:schemeClr w14:val="tx1"/>
            </w14:solidFill>
          </w14:textFill>
        </w:rPr>
      </w:pPr>
    </w:p>
    <w:p w14:paraId="2BE476FE">
      <w:pPr>
        <w:rPr>
          <w:color w:val="000000" w:themeColor="text1"/>
          <w14:textFill>
            <w14:solidFill>
              <w14:schemeClr w14:val="tx1"/>
            </w14:solidFill>
          </w14:textFill>
        </w:rPr>
      </w:pPr>
    </w:p>
    <w:p w14:paraId="0393A61E">
      <w:pPr>
        <w:rPr>
          <w:color w:val="000000" w:themeColor="text1"/>
          <w14:textFill>
            <w14:solidFill>
              <w14:schemeClr w14:val="tx1"/>
            </w14:solidFill>
          </w14:textFill>
        </w:rPr>
      </w:pPr>
    </w:p>
    <w:p w14:paraId="1E6773AB">
      <w:pPr>
        <w:rPr>
          <w:color w:val="000000" w:themeColor="text1"/>
          <w14:textFill>
            <w14:solidFill>
              <w14:schemeClr w14:val="tx1"/>
            </w14:solidFill>
          </w14:textFill>
        </w:rPr>
      </w:pPr>
    </w:p>
    <w:p w14:paraId="318A7728">
      <w:pPr>
        <w:rPr>
          <w:color w:val="000000" w:themeColor="text1"/>
          <w14:textFill>
            <w14:solidFill>
              <w14:schemeClr w14:val="tx1"/>
            </w14:solidFill>
          </w14:textFill>
        </w:rPr>
      </w:pPr>
    </w:p>
    <w:p w14:paraId="4A69D484">
      <w:pPr>
        <w:rPr>
          <w:color w:val="000000" w:themeColor="text1"/>
          <w14:textFill>
            <w14:solidFill>
              <w14:schemeClr w14:val="tx1"/>
            </w14:solidFill>
          </w14:textFill>
        </w:rPr>
      </w:pPr>
    </w:p>
    <w:p w14:paraId="326FA7B8">
      <w:pPr>
        <w:rPr>
          <w:color w:val="000000" w:themeColor="text1"/>
          <w14:textFill>
            <w14:solidFill>
              <w14:schemeClr w14:val="tx1"/>
            </w14:solidFill>
          </w14:textFill>
        </w:rPr>
      </w:pPr>
    </w:p>
    <w:p w14:paraId="6A942EC3">
      <w:pPr>
        <w:rPr>
          <w:color w:val="000000" w:themeColor="text1"/>
          <w14:textFill>
            <w14:solidFill>
              <w14:schemeClr w14:val="tx1"/>
            </w14:solidFill>
          </w14:textFill>
        </w:rPr>
      </w:pPr>
    </w:p>
    <w:p w14:paraId="381D1401">
      <w:pPr>
        <w:rPr>
          <w:color w:val="000000" w:themeColor="text1"/>
          <w14:textFill>
            <w14:solidFill>
              <w14:schemeClr w14:val="tx1"/>
            </w14:solidFill>
          </w14:textFill>
        </w:rPr>
      </w:pPr>
    </w:p>
    <w:p w14:paraId="6EB2A48D">
      <w:pPr>
        <w:rPr>
          <w:color w:val="000000" w:themeColor="text1"/>
          <w14:textFill>
            <w14:solidFill>
              <w14:schemeClr w14:val="tx1"/>
            </w14:solidFill>
          </w14:textFill>
        </w:rPr>
      </w:pPr>
    </w:p>
    <w:p w14:paraId="1E18226A">
      <w:pPr>
        <w:rPr>
          <w:color w:val="000000" w:themeColor="text1"/>
          <w14:textFill>
            <w14:solidFill>
              <w14:schemeClr w14:val="tx1"/>
            </w14:solidFill>
          </w14:textFill>
        </w:rPr>
      </w:pPr>
    </w:p>
    <w:p w14:paraId="7B1C9E9F">
      <w:pPr>
        <w:rPr>
          <w:color w:val="000000" w:themeColor="text1"/>
          <w14:textFill>
            <w14:solidFill>
              <w14:schemeClr w14:val="tx1"/>
            </w14:solidFill>
          </w14:textFill>
        </w:rPr>
      </w:pPr>
    </w:p>
    <w:p w14:paraId="68349A61">
      <w:pPr>
        <w:rPr>
          <w:color w:val="000000" w:themeColor="text1"/>
          <w14:textFill>
            <w14:solidFill>
              <w14:schemeClr w14:val="tx1"/>
            </w14:solidFill>
          </w14:textFill>
        </w:rPr>
      </w:pPr>
    </w:p>
    <w:p w14:paraId="41430975">
      <w:pPr>
        <w:rPr>
          <w:color w:val="000000" w:themeColor="text1"/>
          <w14:textFill>
            <w14:solidFill>
              <w14:schemeClr w14:val="tx1"/>
            </w14:solidFill>
          </w14:textFill>
        </w:rPr>
      </w:pPr>
    </w:p>
    <w:p w14:paraId="77DF378D">
      <w:pPr>
        <w:rPr>
          <w:color w:val="000000" w:themeColor="text1"/>
          <w14:textFill>
            <w14:solidFill>
              <w14:schemeClr w14:val="tx1"/>
            </w14:solidFill>
          </w14:textFill>
        </w:rPr>
      </w:pPr>
    </w:p>
    <w:p w14:paraId="5CA84CE9">
      <w:pPr>
        <w:rPr>
          <w:color w:val="000000" w:themeColor="text1"/>
          <w14:textFill>
            <w14:solidFill>
              <w14:schemeClr w14:val="tx1"/>
            </w14:solidFill>
          </w14:textFill>
        </w:rPr>
      </w:pPr>
    </w:p>
    <w:p w14:paraId="27DD96ED">
      <w:pPr>
        <w:rPr>
          <w:color w:val="000000" w:themeColor="text1"/>
          <w14:textFill>
            <w14:solidFill>
              <w14:schemeClr w14:val="tx1"/>
            </w14:solidFill>
          </w14:textFill>
        </w:rPr>
      </w:pPr>
    </w:p>
    <w:p w14:paraId="051773A2">
      <w:pPr>
        <w:rPr>
          <w:color w:val="000000" w:themeColor="text1"/>
          <w14:textFill>
            <w14:solidFill>
              <w14:schemeClr w14:val="tx1"/>
            </w14:solidFill>
          </w14:textFill>
        </w:rPr>
      </w:pPr>
    </w:p>
    <w:p w14:paraId="0AFF7063">
      <w:pPr>
        <w:rPr>
          <w:color w:val="000000" w:themeColor="text1"/>
          <w14:textFill>
            <w14:solidFill>
              <w14:schemeClr w14:val="tx1"/>
            </w14:solidFill>
          </w14:textFill>
        </w:rPr>
      </w:pPr>
    </w:p>
    <w:p w14:paraId="25434EDF">
      <w:pPr>
        <w:rPr>
          <w:color w:val="000000" w:themeColor="text1"/>
          <w14:textFill>
            <w14:solidFill>
              <w14:schemeClr w14:val="tx1"/>
            </w14:solidFill>
          </w14:textFill>
        </w:rPr>
      </w:pPr>
    </w:p>
    <w:p w14:paraId="636BEFAB">
      <w:pPr>
        <w:adjustRightInd w:val="0"/>
        <w:snapToGrid w:val="0"/>
        <w:spacing w:line="360" w:lineRule="auto"/>
        <w:ind w:left="2020" w:leftChars="200" w:right="420" w:rightChars="200" w:hanging="1600" w:hangingChars="500"/>
        <w:rPr>
          <w:color w:val="000000" w:themeColor="text1"/>
          <w:sz w:val="32"/>
          <w:szCs w:val="32"/>
          <w:u w:val="single"/>
          <w14:textFill>
            <w14:solidFill>
              <w14:schemeClr w14:val="tx1"/>
            </w14:solidFill>
          </w14:textFill>
        </w:rPr>
      </w:pPr>
      <w:r>
        <w:rPr>
          <w:color w:val="000000" w:themeColor="text1"/>
          <w:sz w:val="32"/>
          <w:szCs w:val="32"/>
          <w14:textFill>
            <w14:solidFill>
              <w14:schemeClr w14:val="tx1"/>
            </w14:solidFill>
          </w14:textFill>
        </w:rPr>
        <w:t>项目名称：</w:t>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抚顺中农有限公司蒸汽发生器建设项目</w:t>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ab/>
      </w:r>
    </w:p>
    <w:p w14:paraId="2D7E347D">
      <w:pPr>
        <w:adjustRightInd w:val="0"/>
        <w:snapToGrid w:val="0"/>
        <w:spacing w:line="360" w:lineRule="auto"/>
        <w:ind w:left="420" w:leftChars="200" w:right="420" w:rightChars="200"/>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建设单位（盖章）：</w:t>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抚顺中农农业科技发展有限公司</w:t>
      </w:r>
      <w:r>
        <w:rPr>
          <w:color w:val="000000" w:themeColor="text1"/>
          <w:sz w:val="32"/>
          <w:szCs w:val="32"/>
          <w:u w:val="single"/>
          <w14:textFill>
            <w14:solidFill>
              <w14:schemeClr w14:val="tx1"/>
            </w14:solidFill>
          </w14:textFill>
        </w:rPr>
        <w:tab/>
      </w:r>
    </w:p>
    <w:p w14:paraId="154ABFCE">
      <w:pPr>
        <w:adjustRightInd w:val="0"/>
        <w:snapToGrid w:val="0"/>
        <w:spacing w:line="360" w:lineRule="auto"/>
        <w:ind w:left="420" w:leftChars="200" w:right="420" w:rightChars="200"/>
        <w:rPr>
          <w:color w:val="000000" w:themeColor="text1"/>
          <w:sz w:val="30"/>
          <w:szCs w:val="30"/>
          <w14:textFill>
            <w14:solidFill>
              <w14:schemeClr w14:val="tx1"/>
            </w14:solidFill>
          </w14:textFill>
        </w:rPr>
      </w:pPr>
      <w:r>
        <w:rPr>
          <w:color w:val="000000" w:themeColor="text1"/>
          <w:sz w:val="32"/>
          <w:szCs w:val="32"/>
          <w14:textFill>
            <w14:solidFill>
              <w14:schemeClr w14:val="tx1"/>
            </w14:solidFill>
          </w14:textFill>
        </w:rPr>
        <w:t>编制日期：</w:t>
      </w:r>
      <w:r>
        <w:rPr>
          <w:color w:val="000000" w:themeColor="text1"/>
          <w:sz w:val="32"/>
          <w:szCs w:val="32"/>
          <w:u w:val="single"/>
          <w14:textFill>
            <w14:solidFill>
              <w14:schemeClr w14:val="tx1"/>
            </w14:solidFill>
          </w14:textFill>
        </w:rPr>
        <w:t xml:space="preserve">             </w:t>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2026年9月</w:t>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ab/>
      </w:r>
      <w:bookmarkStart w:id="0" w:name="_Hlk57884087"/>
      <w:r>
        <w:rPr>
          <w:color w:val="000000" w:themeColor="text1"/>
          <w:sz w:val="32"/>
          <w:szCs w:val="32"/>
          <w:u w:val="single"/>
          <w14:textFill>
            <w14:solidFill>
              <w14:schemeClr w14:val="tx1"/>
            </w14:solidFill>
          </w14:textFill>
        </w:rPr>
        <w:tab/>
      </w:r>
      <w:r>
        <w:rPr>
          <w:color w:val="000000" w:themeColor="text1"/>
          <w:sz w:val="32"/>
          <w:szCs w:val="32"/>
          <w:u w:val="single"/>
          <w14:textFill>
            <w14:solidFill>
              <w14:schemeClr w14:val="tx1"/>
            </w14:solidFill>
          </w14:textFill>
        </w:rPr>
        <w:tab/>
      </w:r>
    </w:p>
    <w:p w14:paraId="77455D39">
      <w:pPr>
        <w:adjustRightInd w:val="0"/>
        <w:snapToGrid w:val="0"/>
        <w:spacing w:line="288" w:lineRule="auto"/>
        <w:ind w:firstLine="1040"/>
        <w:rPr>
          <w:rFonts w:eastAsia="仿宋_GB2312"/>
          <w:color w:val="000000" w:themeColor="text1"/>
          <w:sz w:val="36"/>
          <w:szCs w:val="36"/>
          <w14:textFill>
            <w14:solidFill>
              <w14:schemeClr w14:val="tx1"/>
            </w14:solidFill>
          </w14:textFill>
        </w:rPr>
      </w:pPr>
    </w:p>
    <w:bookmarkEnd w:id="0"/>
    <w:p w14:paraId="170EB525">
      <w:pPr>
        <w:adjustRightInd w:val="0"/>
        <w:snapToGrid w:val="0"/>
        <w:spacing w:line="288" w:lineRule="auto"/>
        <w:jc w:val="center"/>
        <w:rPr>
          <w:color w:val="000000" w:themeColor="text1"/>
          <w14:textFill>
            <w14:solidFill>
              <w14:schemeClr w14:val="tx1"/>
            </w14:solidFill>
          </w14:textFill>
        </w:rPr>
      </w:pPr>
      <w:r>
        <w:rPr>
          <w:rFonts w:eastAsia="楷体_GB2312"/>
          <w:color w:val="000000" w:themeColor="text1"/>
          <w:sz w:val="28"/>
          <w:szCs w:val="28"/>
          <w14:textFill>
            <w14:solidFill>
              <w14:schemeClr w14:val="tx1"/>
            </w14:solidFill>
          </w14:textFill>
        </w:rPr>
        <w:t>中华人民共和国生态环境部制</w:t>
      </w:r>
    </w:p>
    <w:p w14:paraId="01F930DF">
      <w:pPr>
        <w:rPr>
          <w:color w:val="000000" w:themeColor="text1"/>
          <w14:textFill>
            <w14:solidFill>
              <w14:schemeClr w14:val="tx1"/>
            </w14:solidFill>
          </w14:textFill>
        </w:rPr>
        <w:sectPr>
          <w:headerReference r:id="rId3" w:type="default"/>
          <w:footerReference r:id="rId4" w:type="default"/>
          <w:pgSz w:w="11906" w:h="16838"/>
          <w:pgMar w:top="1417" w:right="1417" w:bottom="1417" w:left="1417" w:header="851" w:footer="1077" w:gutter="0"/>
          <w:pgNumType w:start="1"/>
          <w:cols w:space="720" w:num="1"/>
          <w:docGrid w:linePitch="312" w:charSpace="0"/>
        </w:sectPr>
      </w:pPr>
      <w:r>
        <w:rPr>
          <w:b/>
          <w:color w:val="000000" w:themeColor="text1"/>
          <w:sz w:val="30"/>
          <w:szCs w:val="30"/>
          <w14:textFill>
            <w14:solidFill>
              <w14:schemeClr w14:val="tx1"/>
            </w14:solidFill>
          </w14:textFill>
        </w:rPr>
        <w:pict>
          <v:shape id="_x0000_s1026" o:spid="_x0000_s1026" o:spt="172" type="#_x0000_t172" style="position:absolute;left:0pt;margin-left:56.7pt;margin-top:437.4pt;height:63.95pt;width:341.2pt;rotation:-589824f;z-index:251665408;mso-width-relative:page;mso-height-relative:page;" fillcolor="#FFFF00" filled="t" stroked="t" coordsize="21600,21600">
            <v:path/>
            <v:fill on="t" focussize="0,0"/>
            <v:stroke color="#9999FF"/>
            <v:imagedata o:title=""/>
            <o:lock v:ext="edit"/>
            <v:textpath on="t" fitshape="t" fitpath="t" trim="t" xscale="f" string="抚顺中农有限公司蒸汽发生器建设项目" style="font-family:宋体;font-size:10pt;v-text-align:center;"/>
            <v:shadow on="t" color="#9999FF" opacity="52428f" offset="0.000236220472440945pt,0.000236220472440945pt" offset2="-2pt,-2pt"/>
          </v:shape>
        </w:pict>
      </w:r>
      <w:r>
        <w:rPr>
          <w:b/>
          <w:color w:val="000000" w:themeColor="text1"/>
          <w:sz w:val="30"/>
          <w:szCs w:val="30"/>
          <w14:textFill>
            <w14:solidFill>
              <w14:schemeClr w14:val="tx1"/>
            </w14:solidFill>
          </w14:textFill>
        </w:rPr>
        <w:pict>
          <v:shape id="_x0000_s1027" o:spid="_x0000_s1027" o:spt="172" type="#_x0000_t172" style="position:absolute;left:0pt;margin-left:29.7pt;margin-top:109.3pt;height:63.95pt;width:341.2pt;rotation:-589824f;z-index:251664384;mso-width-relative:page;mso-height-relative:page;" fillcolor="#FFFF00" filled="t" stroked="t" coordsize="21600,21600">
            <v:path/>
            <v:fill on="t" focussize="0,0"/>
            <v:stroke color="#9999FF"/>
            <v:imagedata o:title=""/>
            <o:lock v:ext="edit"/>
            <v:textpath on="t" fitshape="t" fitpath="t" trim="t" xscale="f" string="抚顺中农有限公司蒸汽发生器建设项目" style="font-family:宋体;font-size:10pt;v-text-align:center;"/>
            <v:shadow on="t" color="#9999FF" opacity="52428f" offset="0.000236220472440945pt,0.000236220472440945pt" offset2="-2pt,-2pt"/>
          </v:shape>
        </w:pict>
      </w:r>
      <w:r>
        <w:rPr>
          <w:color w:val="000000" w:themeColor="text1"/>
          <w14:textFill>
            <w14:solidFill>
              <w14:schemeClr w14:val="tx1"/>
            </w14:solidFill>
          </w14:textFill>
        </w:rPr>
        <w:drawing>
          <wp:inline distT="0" distB="0" distL="114300" distR="114300">
            <wp:extent cx="5570855" cy="4092575"/>
            <wp:effectExtent l="0" t="0" r="0" b="0"/>
            <wp:docPr id="2" name="图片 211" descr="C:\Users\2021\Documents\yhg5223\公司\营业执照\正本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1" descr="C:\Users\2021\Documents\yhg5223\公司\营业执照\正本照片.jpg"/>
                    <pic:cNvPicPr>
                      <a:picLocks noChangeAspect="1"/>
                    </pic:cNvPicPr>
                  </pic:nvPicPr>
                  <pic:blipFill>
                    <a:blip r:embed="rId11"/>
                    <a:srcRect t="2087" b="-2"/>
                    <a:stretch>
                      <a:fillRect/>
                    </a:stretch>
                  </pic:blipFill>
                  <pic:spPr>
                    <a:xfrm>
                      <a:off x="0" y="0"/>
                      <a:ext cx="5570855" cy="409257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567680" cy="3968115"/>
            <wp:effectExtent l="0" t="0" r="0" b="0"/>
            <wp:docPr id="3" name="图片 212" descr="C:\Users\2021\Documents\yhg5223\公司\平台\张世民\环评师证书\环评师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12" descr="C:\Users\2021\Documents\yhg5223\公司\平台\张世民\环评师证书\环评师证.jpg"/>
                    <pic:cNvPicPr>
                      <a:picLocks noChangeAspect="1"/>
                    </pic:cNvPicPr>
                  </pic:nvPicPr>
                  <pic:blipFill>
                    <a:blip r:embed="rId12"/>
                    <a:stretch>
                      <a:fillRect/>
                    </a:stretch>
                  </pic:blipFill>
                  <pic:spPr>
                    <a:xfrm>
                      <a:off x="0" y="0"/>
                      <a:ext cx="5567680" cy="396811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757545" cy="5478145"/>
            <wp:effectExtent l="0" t="0" r="14605" b="8255"/>
            <wp:docPr id="1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0"/>
                    <pic:cNvPicPr>
                      <a:picLocks noChangeAspect="1"/>
                    </pic:cNvPicPr>
                  </pic:nvPicPr>
                  <pic:blipFill>
                    <a:blip r:embed="rId13"/>
                    <a:stretch>
                      <a:fillRect/>
                    </a:stretch>
                  </pic:blipFill>
                  <pic:spPr>
                    <a:xfrm>
                      <a:off x="0" y="0"/>
                      <a:ext cx="5757545" cy="5478145"/>
                    </a:xfrm>
                    <a:prstGeom prst="rect">
                      <a:avLst/>
                    </a:prstGeom>
                    <a:noFill/>
                    <a:ln>
                      <a:noFill/>
                    </a:ln>
                  </pic:spPr>
                </pic:pic>
              </a:graphicData>
            </a:graphic>
          </wp:inline>
        </w:drawing>
      </w:r>
    </w:p>
    <w:p w14:paraId="1922A1DA">
      <w:pPr>
        <w:pStyle w:val="2"/>
        <w:spacing w:before="0" w:after="0" w:line="360" w:lineRule="auto"/>
        <w:ind w:left="0" w:firstLine="0"/>
        <w:jc w:val="center"/>
        <w:rPr>
          <w:b w:val="0"/>
          <w:bCs w:val="0"/>
          <w:snapToGrid w:val="0"/>
          <w:color w:val="000000" w:themeColor="text1"/>
          <w14:textFill>
            <w14:solidFill>
              <w14:schemeClr w14:val="tx1"/>
            </w14:solidFill>
          </w14:textFill>
        </w:rPr>
      </w:pPr>
      <w:r>
        <w:rPr>
          <w:b w:val="0"/>
          <w:bCs w:val="0"/>
          <w:snapToGrid w:val="0"/>
          <w:color w:val="000000" w:themeColor="text1"/>
          <w14:textFill>
            <w14:solidFill>
              <w14:schemeClr w14:val="tx1"/>
            </w14:solidFill>
          </w14:textFill>
        </w:rPr>
        <w:t>一、建设项目基本情况</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0" w:type="dxa"/>
          <w:bottom w:w="0" w:type="dxa"/>
          <w:right w:w="0" w:type="dxa"/>
        </w:tblCellMar>
      </w:tblPr>
      <w:tblGrid>
        <w:gridCol w:w="1886"/>
        <w:gridCol w:w="1969"/>
        <w:gridCol w:w="2062"/>
        <w:gridCol w:w="58"/>
        <w:gridCol w:w="3128"/>
      </w:tblGrid>
      <w:tr w14:paraId="10F2613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22F392B8">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建设项目名称</w:t>
            </w:r>
          </w:p>
        </w:tc>
        <w:tc>
          <w:tcPr>
            <w:tcW w:w="7217" w:type="dxa"/>
            <w:gridSpan w:val="4"/>
            <w:vAlign w:val="center"/>
          </w:tcPr>
          <w:p w14:paraId="2BF02A90">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抚顺中农有限公司生物质蒸汽发生器建设项目</w:t>
            </w:r>
            <w:r>
              <w:rPr>
                <w:color w:val="000000" w:themeColor="text1"/>
                <w:sz w:val="24"/>
                <w14:textFill>
                  <w14:solidFill>
                    <w14:schemeClr w14:val="tx1"/>
                  </w14:solidFill>
                </w14:textFill>
              </w:rPr>
              <w:tab/>
            </w:r>
          </w:p>
        </w:tc>
      </w:tr>
      <w:tr w14:paraId="75B450B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41C2E352">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项目代码</w:t>
            </w:r>
          </w:p>
        </w:tc>
        <w:tc>
          <w:tcPr>
            <w:tcW w:w="7217" w:type="dxa"/>
            <w:gridSpan w:val="4"/>
            <w:vAlign w:val="center"/>
          </w:tcPr>
          <w:p w14:paraId="34BDE0BA">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76CC326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2D3564F3">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建设单位联系人</w:t>
            </w:r>
          </w:p>
        </w:tc>
        <w:tc>
          <w:tcPr>
            <w:tcW w:w="1969" w:type="dxa"/>
            <w:vAlign w:val="center"/>
          </w:tcPr>
          <w:p w14:paraId="29A38392">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宋博</w:t>
            </w:r>
          </w:p>
        </w:tc>
        <w:tc>
          <w:tcPr>
            <w:tcW w:w="2120" w:type="dxa"/>
            <w:gridSpan w:val="2"/>
            <w:vAlign w:val="center"/>
          </w:tcPr>
          <w:p w14:paraId="14A84E06">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3128" w:type="dxa"/>
            <w:vAlign w:val="center"/>
          </w:tcPr>
          <w:p w14:paraId="61A1B9FE">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15142743728</w:t>
            </w:r>
          </w:p>
        </w:tc>
      </w:tr>
      <w:tr w14:paraId="089485E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56A0BCF8">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建设地点</w:t>
            </w:r>
          </w:p>
        </w:tc>
        <w:tc>
          <w:tcPr>
            <w:tcW w:w="7217" w:type="dxa"/>
            <w:gridSpan w:val="4"/>
            <w:vAlign w:val="center"/>
          </w:tcPr>
          <w:p w14:paraId="7A91D0D0">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辽宁省抚顺市抚顺县峡河乡峡河村22号</w:t>
            </w:r>
          </w:p>
        </w:tc>
      </w:tr>
      <w:tr w14:paraId="2363993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174445E3">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地理坐标</w:t>
            </w:r>
          </w:p>
        </w:tc>
        <w:tc>
          <w:tcPr>
            <w:tcW w:w="7217" w:type="dxa"/>
            <w:gridSpan w:val="4"/>
            <w:vAlign w:val="center"/>
          </w:tcPr>
          <w:p w14:paraId="7D1CC7FA">
            <w:pPr>
              <w:keepNext/>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经度</w:t>
            </w:r>
            <w:r>
              <w:rPr>
                <w:color w:val="000000" w:themeColor="text1"/>
                <w:sz w:val="24"/>
                <w:u w:val="single"/>
                <w14:textFill>
                  <w14:solidFill>
                    <w14:schemeClr w14:val="tx1"/>
                  </w14:solidFill>
                </w14:textFill>
              </w:rPr>
              <w:t xml:space="preserve"> 123 </w:t>
            </w:r>
            <w:r>
              <w:rPr>
                <w:color w:val="000000" w:themeColor="text1"/>
                <w:sz w:val="24"/>
                <w14:textFill>
                  <w14:solidFill>
                    <w14:schemeClr w14:val="tx1"/>
                  </w14:solidFill>
                </w14:textFill>
              </w:rPr>
              <w:t>度</w:t>
            </w:r>
            <w:r>
              <w:rPr>
                <w:color w:val="000000" w:themeColor="text1"/>
                <w:sz w:val="24"/>
                <w:u w:val="single"/>
                <w14:textFill>
                  <w14:solidFill>
                    <w14:schemeClr w14:val="tx1"/>
                  </w14:solidFill>
                </w14:textFill>
              </w:rPr>
              <w:t xml:space="preserve"> 58 </w:t>
            </w:r>
            <w:r>
              <w:rPr>
                <w:color w:val="000000" w:themeColor="text1"/>
                <w:sz w:val="24"/>
                <w14:textFill>
                  <w14:solidFill>
                    <w14:schemeClr w14:val="tx1"/>
                  </w14:solidFill>
                </w14:textFill>
              </w:rPr>
              <w:t>分</w:t>
            </w:r>
            <w:r>
              <w:rPr>
                <w:color w:val="000000" w:themeColor="text1"/>
                <w:sz w:val="24"/>
                <w:u w:val="single"/>
                <w14:textFill>
                  <w14:solidFill>
                    <w14:schemeClr w14:val="tx1"/>
                  </w14:solidFill>
                </w14:textFill>
              </w:rPr>
              <w:t xml:space="preserve"> 44.792 </w:t>
            </w:r>
            <w:r>
              <w:rPr>
                <w:color w:val="000000" w:themeColor="text1"/>
                <w:sz w:val="24"/>
                <w14:textFill>
                  <w14:solidFill>
                    <w14:schemeClr w14:val="tx1"/>
                  </w14:solidFill>
                </w14:textFill>
              </w:rPr>
              <w:t>秒，纬度</w:t>
            </w:r>
            <w:r>
              <w:rPr>
                <w:color w:val="000000" w:themeColor="text1"/>
                <w:sz w:val="24"/>
                <w:u w:val="single"/>
                <w14:textFill>
                  <w14:solidFill>
                    <w14:schemeClr w14:val="tx1"/>
                  </w14:solidFill>
                </w14:textFill>
              </w:rPr>
              <w:t xml:space="preserve"> 41 </w:t>
            </w:r>
            <w:r>
              <w:rPr>
                <w:color w:val="000000" w:themeColor="text1"/>
                <w:sz w:val="24"/>
                <w14:textFill>
                  <w14:solidFill>
                    <w14:schemeClr w14:val="tx1"/>
                  </w14:solidFill>
                </w14:textFill>
              </w:rPr>
              <w:t>度</w:t>
            </w:r>
            <w:r>
              <w:rPr>
                <w:color w:val="000000" w:themeColor="text1"/>
                <w:sz w:val="24"/>
                <w:u w:val="single"/>
                <w14:textFill>
                  <w14:solidFill>
                    <w14:schemeClr w14:val="tx1"/>
                  </w14:solidFill>
                </w14:textFill>
              </w:rPr>
              <w:t xml:space="preserve"> 38 </w:t>
            </w:r>
            <w:r>
              <w:rPr>
                <w:color w:val="000000" w:themeColor="text1"/>
                <w:sz w:val="24"/>
                <w14:textFill>
                  <w14:solidFill>
                    <w14:schemeClr w14:val="tx1"/>
                  </w14:solidFill>
                </w14:textFill>
              </w:rPr>
              <w:t>分</w:t>
            </w:r>
            <w:r>
              <w:rPr>
                <w:color w:val="000000" w:themeColor="text1"/>
                <w:sz w:val="24"/>
                <w:u w:val="single"/>
                <w14:textFill>
                  <w14:solidFill>
                    <w14:schemeClr w14:val="tx1"/>
                  </w14:solidFill>
                </w14:textFill>
              </w:rPr>
              <w:t xml:space="preserve"> 45.802 </w:t>
            </w:r>
            <w:r>
              <w:rPr>
                <w:color w:val="000000" w:themeColor="text1"/>
                <w:sz w:val="24"/>
                <w14:textFill>
                  <w14:solidFill>
                    <w14:schemeClr w14:val="tx1"/>
                  </w14:solidFill>
                </w14:textFill>
              </w:rPr>
              <w:t>秒</w:t>
            </w:r>
          </w:p>
        </w:tc>
      </w:tr>
      <w:tr w14:paraId="16C1DD9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32949D7F">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国民经济</w:t>
            </w:r>
          </w:p>
          <w:p w14:paraId="54DF7FA7">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p>
        </w:tc>
        <w:tc>
          <w:tcPr>
            <w:tcW w:w="1969" w:type="dxa"/>
            <w:vAlign w:val="center"/>
          </w:tcPr>
          <w:p w14:paraId="0022048A">
            <w:pPr>
              <w:keepNext/>
              <w:adjustRightInd w:val="0"/>
              <w:snapToGrid w:val="0"/>
              <w:spacing w:before="72" w:beforeLines="30" w:line="312"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D4430热力生产和供应</w:t>
            </w:r>
          </w:p>
        </w:tc>
        <w:tc>
          <w:tcPr>
            <w:tcW w:w="2062" w:type="dxa"/>
            <w:vAlign w:val="center"/>
          </w:tcPr>
          <w:p w14:paraId="2A0C7E0D">
            <w:pPr>
              <w:keepNext/>
              <w:adjustRightInd w:val="0"/>
              <w:snapToGrid w:val="0"/>
              <w:spacing w:before="72" w:beforeLines="30" w:line="312" w:lineRule="auto"/>
              <w:jc w:val="center"/>
              <w:rPr>
                <w:color w:val="000000" w:themeColor="text1"/>
                <w:sz w:val="24"/>
                <w14:textFill>
                  <w14:solidFill>
                    <w14:schemeClr w14:val="tx1"/>
                  </w14:solidFill>
                </w14:textFill>
              </w:rPr>
            </w:pPr>
            <w:bookmarkStart w:id="1" w:name="_Hlk49843745"/>
            <w:r>
              <w:rPr>
                <w:color w:val="000000" w:themeColor="text1"/>
                <w:sz w:val="24"/>
                <w14:textFill>
                  <w14:solidFill>
                    <w14:schemeClr w14:val="tx1"/>
                  </w14:solidFill>
                </w14:textFill>
              </w:rPr>
              <w:t>建设项目</w:t>
            </w:r>
          </w:p>
          <w:p w14:paraId="3A280DDA">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bookmarkEnd w:id="1"/>
          </w:p>
        </w:tc>
        <w:tc>
          <w:tcPr>
            <w:tcW w:w="3186" w:type="dxa"/>
            <w:gridSpan w:val="2"/>
            <w:vAlign w:val="center"/>
          </w:tcPr>
          <w:p w14:paraId="79DF5AD5">
            <w:pPr>
              <w:keepNext/>
              <w:adjustRightInd w:val="0"/>
              <w:snapToGrid w:val="0"/>
              <w:spacing w:before="72" w:beforeLines="30" w:line="312"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四十一、电力、热力生产和供应业91热力生产和供应工程</w:t>
            </w:r>
          </w:p>
        </w:tc>
      </w:tr>
      <w:tr w14:paraId="60BE454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6AC83476">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建设性质</w:t>
            </w:r>
          </w:p>
        </w:tc>
        <w:tc>
          <w:tcPr>
            <w:tcW w:w="1969" w:type="dxa"/>
            <w:vAlign w:val="center"/>
          </w:tcPr>
          <w:p w14:paraId="7D6FB9EF">
            <w:pPr>
              <w:keepNext/>
              <w:spacing w:before="72" w:beforeLines="30" w:line="312" w:lineRule="auto"/>
              <w:jc w:val="left"/>
              <w:rPr>
                <w:color w:val="000000" w:themeColor="text1"/>
                <w:sz w:val="24"/>
                <w14:textFill>
                  <w14:solidFill>
                    <w14:schemeClr w14:val="tx1"/>
                  </w14:solidFill>
                </w14:textFill>
              </w:rPr>
            </w:pPr>
            <w:r>
              <w:rPr>
                <w:color w:val="000000" w:themeColor="text1"/>
                <w:szCs w:val="21"/>
                <w14:textFill>
                  <w14:solidFill>
                    <w14:schemeClr w14:val="tx1"/>
                  </w14:solidFill>
                </w14:textFill>
              </w:rPr>
              <w:sym w:font="Wingdings 2" w:char="0052"/>
            </w:r>
            <w:r>
              <w:rPr>
                <w:color w:val="000000" w:themeColor="text1"/>
                <w:sz w:val="24"/>
                <w14:textFill>
                  <w14:solidFill>
                    <w14:schemeClr w14:val="tx1"/>
                  </w14:solidFill>
                </w14:textFill>
              </w:rPr>
              <w:t>新建（迁建）</w:t>
            </w:r>
          </w:p>
          <w:p w14:paraId="77A88817">
            <w:pPr>
              <w:keepNext/>
              <w:spacing w:before="72" w:beforeLines="30" w:line="312" w:lineRule="auto"/>
              <w:jc w:val="left"/>
              <w:rPr>
                <w:color w:val="000000" w:themeColor="text1"/>
                <w:sz w:val="24"/>
                <w14:textFill>
                  <w14:solidFill>
                    <w14:schemeClr w14:val="tx1"/>
                  </w14:solidFill>
                </w14:textFill>
              </w:rPr>
            </w:pPr>
            <w:r>
              <w:rPr>
                <w:color w:val="000000" w:themeColor="text1"/>
                <w:szCs w:val="21"/>
                <w14:textFill>
                  <w14:solidFill>
                    <w14:schemeClr w14:val="tx1"/>
                  </w14:solidFill>
                </w14:textFill>
              </w:rPr>
              <w:sym w:font="Wingdings 2" w:char="00A3"/>
            </w:r>
            <w:r>
              <w:rPr>
                <w:color w:val="000000" w:themeColor="text1"/>
                <w:sz w:val="24"/>
                <w14:textFill>
                  <w14:solidFill>
                    <w14:schemeClr w14:val="tx1"/>
                  </w14:solidFill>
                </w14:textFill>
              </w:rPr>
              <w:t>改建</w:t>
            </w:r>
          </w:p>
          <w:p w14:paraId="098F72C0">
            <w:pPr>
              <w:keepNext/>
              <w:spacing w:before="72" w:beforeLines="30" w:line="312" w:lineRule="auto"/>
              <w:jc w:val="left"/>
              <w:rPr>
                <w:color w:val="000000" w:themeColor="text1"/>
                <w:sz w:val="24"/>
                <w14:textFill>
                  <w14:solidFill>
                    <w14:schemeClr w14:val="tx1"/>
                  </w14:solidFill>
                </w14:textFill>
              </w:rPr>
            </w:pPr>
            <w:r>
              <w:rPr>
                <w:color w:val="000000" w:themeColor="text1"/>
                <w:szCs w:val="21"/>
                <w14:textFill>
                  <w14:solidFill>
                    <w14:schemeClr w14:val="tx1"/>
                  </w14:solidFill>
                </w14:textFill>
              </w:rPr>
              <w:sym w:font="Wingdings 2" w:char="00A3"/>
            </w:r>
            <w:r>
              <w:rPr>
                <w:color w:val="000000" w:themeColor="text1"/>
                <w:sz w:val="24"/>
                <w14:textFill>
                  <w14:solidFill>
                    <w14:schemeClr w14:val="tx1"/>
                  </w14:solidFill>
                </w14:textFill>
              </w:rPr>
              <w:t>扩建</w:t>
            </w:r>
          </w:p>
          <w:p w14:paraId="660F0F44">
            <w:pPr>
              <w:keepNext/>
              <w:spacing w:before="72" w:beforeLines="30" w:line="312" w:lineRule="auto"/>
              <w:jc w:val="left"/>
              <w:rPr>
                <w:color w:val="000000" w:themeColor="text1"/>
                <w:sz w:val="24"/>
                <w14:textFill>
                  <w14:solidFill>
                    <w14:schemeClr w14:val="tx1"/>
                  </w14:solidFill>
                </w14:textFill>
              </w:rPr>
            </w:pPr>
            <w:r>
              <w:rPr>
                <w:color w:val="000000" w:themeColor="text1"/>
                <w:szCs w:val="21"/>
                <w14:textFill>
                  <w14:solidFill>
                    <w14:schemeClr w14:val="tx1"/>
                  </w14:solidFill>
                </w14:textFill>
              </w:rPr>
              <w:sym w:font="Wingdings 2" w:char="00A3"/>
            </w:r>
            <w:r>
              <w:rPr>
                <w:color w:val="000000" w:themeColor="text1"/>
                <w:sz w:val="24"/>
                <w14:textFill>
                  <w14:solidFill>
                    <w14:schemeClr w14:val="tx1"/>
                  </w14:solidFill>
                </w14:textFill>
              </w:rPr>
              <w:t>技术改造</w:t>
            </w:r>
          </w:p>
        </w:tc>
        <w:tc>
          <w:tcPr>
            <w:tcW w:w="2062" w:type="dxa"/>
            <w:vAlign w:val="center"/>
          </w:tcPr>
          <w:p w14:paraId="05B1F2E1">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w:t>
            </w:r>
          </w:p>
          <w:p w14:paraId="6397D8A5">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申报情形</w:t>
            </w:r>
          </w:p>
        </w:tc>
        <w:tc>
          <w:tcPr>
            <w:tcW w:w="3186" w:type="dxa"/>
            <w:gridSpan w:val="2"/>
            <w:vAlign w:val="center"/>
          </w:tcPr>
          <w:p w14:paraId="42591D31">
            <w:pPr>
              <w:keepNext/>
              <w:spacing w:before="72" w:beforeLines="30" w:line="312" w:lineRule="auto"/>
              <w:jc w:val="left"/>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首次申报项目             </w:t>
            </w:r>
          </w:p>
          <w:p w14:paraId="19F23403">
            <w:pPr>
              <w:keepNext/>
              <w:spacing w:before="72" w:beforeLines="30" w:line="312"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□不予批准后再次申报项目</w:t>
            </w:r>
          </w:p>
          <w:p w14:paraId="3651308C">
            <w:pPr>
              <w:keepNext/>
              <w:spacing w:before="72" w:beforeLines="30" w:line="312"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□超五年重新审核项目     </w:t>
            </w:r>
          </w:p>
          <w:p w14:paraId="16E2F082">
            <w:pPr>
              <w:keepNext/>
              <w:spacing w:before="72" w:beforeLines="30" w:line="312"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□重大变动重新报批项目</w:t>
            </w:r>
          </w:p>
        </w:tc>
      </w:tr>
      <w:tr w14:paraId="7E26EDA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58E9CCD2">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项目审批（核准/备案）部门（选填）</w:t>
            </w:r>
          </w:p>
        </w:tc>
        <w:tc>
          <w:tcPr>
            <w:tcW w:w="1969" w:type="dxa"/>
            <w:vAlign w:val="center"/>
          </w:tcPr>
          <w:p w14:paraId="6E592065">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062" w:type="dxa"/>
            <w:vAlign w:val="center"/>
          </w:tcPr>
          <w:p w14:paraId="4302287E">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w:t>
            </w:r>
          </w:p>
          <w:p w14:paraId="1A94CAFD">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备案）文号（选填）</w:t>
            </w:r>
          </w:p>
        </w:tc>
        <w:tc>
          <w:tcPr>
            <w:tcW w:w="3186" w:type="dxa"/>
            <w:gridSpan w:val="2"/>
            <w:vAlign w:val="center"/>
          </w:tcPr>
          <w:p w14:paraId="3E1413F4">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0497714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4828A90B">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总投资（万元）</w:t>
            </w:r>
          </w:p>
        </w:tc>
        <w:tc>
          <w:tcPr>
            <w:tcW w:w="1969" w:type="dxa"/>
            <w:vAlign w:val="center"/>
          </w:tcPr>
          <w:p w14:paraId="5A71DA88">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30</w:t>
            </w:r>
          </w:p>
        </w:tc>
        <w:tc>
          <w:tcPr>
            <w:tcW w:w="2062" w:type="dxa"/>
            <w:tcMar>
              <w:top w:w="16" w:type="dxa"/>
              <w:left w:w="16" w:type="dxa"/>
              <w:right w:w="16" w:type="dxa"/>
            </w:tcMar>
            <w:vAlign w:val="center"/>
          </w:tcPr>
          <w:p w14:paraId="7BC5D37D">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环保投资（万元）</w:t>
            </w:r>
          </w:p>
        </w:tc>
        <w:tc>
          <w:tcPr>
            <w:tcW w:w="3186" w:type="dxa"/>
            <w:gridSpan w:val="2"/>
            <w:vAlign w:val="center"/>
          </w:tcPr>
          <w:p w14:paraId="2336FF87">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15</w:t>
            </w:r>
          </w:p>
        </w:tc>
      </w:tr>
      <w:tr w14:paraId="110226F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5DA28B12">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环保投资占比（%）</w:t>
            </w:r>
          </w:p>
        </w:tc>
        <w:tc>
          <w:tcPr>
            <w:tcW w:w="1969" w:type="dxa"/>
            <w:vAlign w:val="center"/>
          </w:tcPr>
          <w:p w14:paraId="61472269">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50</w:t>
            </w:r>
          </w:p>
        </w:tc>
        <w:tc>
          <w:tcPr>
            <w:tcW w:w="2062" w:type="dxa"/>
            <w:tcMar>
              <w:top w:w="16" w:type="dxa"/>
              <w:left w:w="16" w:type="dxa"/>
              <w:right w:w="16" w:type="dxa"/>
            </w:tcMar>
            <w:vAlign w:val="center"/>
          </w:tcPr>
          <w:p w14:paraId="62B498DD">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施工工期</w:t>
            </w:r>
          </w:p>
        </w:tc>
        <w:tc>
          <w:tcPr>
            <w:tcW w:w="3186" w:type="dxa"/>
            <w:gridSpan w:val="2"/>
            <w:vAlign w:val="center"/>
          </w:tcPr>
          <w:p w14:paraId="5DDFA050">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szCs w:val="32"/>
                <w14:textFill>
                  <w14:solidFill>
                    <w14:schemeClr w14:val="tx1"/>
                  </w14:solidFill>
                </w14:textFill>
              </w:rPr>
              <w:t>/</w:t>
            </w:r>
          </w:p>
        </w:tc>
      </w:tr>
      <w:tr w14:paraId="7121468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64E181BC">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是否开工建设</w:t>
            </w:r>
          </w:p>
        </w:tc>
        <w:tc>
          <w:tcPr>
            <w:tcW w:w="1969" w:type="dxa"/>
            <w:vAlign w:val="center"/>
          </w:tcPr>
          <w:p w14:paraId="2FC66DC4">
            <w:pPr>
              <w:keepNext/>
              <w:adjustRightInd w:val="0"/>
              <w:snapToGrid w:val="0"/>
              <w:spacing w:before="72" w:beforeLines="30" w:line="312"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□否</w:t>
            </w:r>
          </w:p>
          <w:p w14:paraId="139FC80D">
            <w:pPr>
              <w:keepNext/>
              <w:adjustRightInd w:val="0"/>
              <w:snapToGrid w:val="0"/>
              <w:spacing w:before="72" w:beforeLines="30" w:line="312"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52"/>
            </w:r>
            <w:r>
              <w:rPr>
                <w:color w:val="000000" w:themeColor="text1"/>
                <w:sz w:val="24"/>
                <w14:textFill>
                  <w14:solidFill>
                    <w14:schemeClr w14:val="tx1"/>
                  </w14:solidFill>
                </w14:textFill>
              </w:rPr>
              <w:t>是：该项目于2025年6月开始建设，目前已建设完成，抚顺市生态环境局对其未批先建环境违法行为进行处罚，立案号[2026]003号</w:t>
            </w:r>
          </w:p>
        </w:tc>
        <w:tc>
          <w:tcPr>
            <w:tcW w:w="2062" w:type="dxa"/>
            <w:tcMar>
              <w:top w:w="16" w:type="dxa"/>
              <w:left w:w="16" w:type="dxa"/>
              <w:right w:w="16" w:type="dxa"/>
            </w:tcMar>
            <w:vAlign w:val="center"/>
          </w:tcPr>
          <w:p w14:paraId="7DFA240C">
            <w:pPr>
              <w:keepNext/>
              <w:adjustRightInd w:val="0"/>
              <w:snapToGrid w:val="0"/>
              <w:spacing w:before="72" w:beforeLines="30" w:line="312" w:lineRule="auto"/>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用地（用海）</w:t>
            </w:r>
          </w:p>
          <w:p w14:paraId="421D864E">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面积（m</w:t>
            </w:r>
            <w:r>
              <w:rPr>
                <w:color w:val="000000" w:themeColor="text1"/>
                <w:spacing w:val="-6"/>
                <w:sz w:val="24"/>
                <w:vertAlign w:val="superscript"/>
                <w14:textFill>
                  <w14:solidFill>
                    <w14:schemeClr w14:val="tx1"/>
                  </w14:solidFill>
                </w14:textFill>
              </w:rPr>
              <w:t>2</w:t>
            </w:r>
            <w:r>
              <w:rPr>
                <w:color w:val="000000" w:themeColor="text1"/>
                <w:spacing w:val="-6"/>
                <w:sz w:val="24"/>
                <w14:textFill>
                  <w14:solidFill>
                    <w14:schemeClr w14:val="tx1"/>
                  </w14:solidFill>
                </w14:textFill>
              </w:rPr>
              <w:t>）</w:t>
            </w:r>
          </w:p>
        </w:tc>
        <w:tc>
          <w:tcPr>
            <w:tcW w:w="3186" w:type="dxa"/>
            <w:gridSpan w:val="2"/>
            <w:vAlign w:val="center"/>
          </w:tcPr>
          <w:p w14:paraId="714F09EF">
            <w:pPr>
              <w:keepNext/>
              <w:adjustRightInd w:val="0"/>
              <w:snapToGrid w:val="0"/>
              <w:spacing w:before="72" w:beforeLines="30"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6350</w:t>
            </w:r>
          </w:p>
        </w:tc>
      </w:tr>
      <w:tr w14:paraId="6F51394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886" w:type="dxa"/>
            <w:tcMar>
              <w:top w:w="16" w:type="dxa"/>
              <w:left w:w="16" w:type="dxa"/>
              <w:right w:w="16" w:type="dxa"/>
            </w:tcMar>
            <w:vAlign w:val="center"/>
          </w:tcPr>
          <w:p w14:paraId="1F67FFE1">
            <w:pPr>
              <w:keepNext/>
              <w:adjustRightInd w:val="0"/>
              <w:snapToGrid w:val="0"/>
              <w:spacing w:before="48" w:beforeLines="20" w:line="288" w:lineRule="auto"/>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专项评价设置情况</w:t>
            </w:r>
          </w:p>
        </w:tc>
        <w:tc>
          <w:tcPr>
            <w:tcW w:w="7217" w:type="dxa"/>
            <w:gridSpan w:val="4"/>
            <w:vAlign w:val="center"/>
          </w:tcPr>
          <w:p w14:paraId="7034F6AD">
            <w:pPr>
              <w:keepNext/>
              <w:autoSpaceDE w:val="0"/>
              <w:autoSpaceDN w:val="0"/>
              <w:adjustRightInd w:val="0"/>
              <w:snapToGrid w:val="0"/>
              <w:spacing w:line="360" w:lineRule="auto"/>
              <w:ind w:firstLine="480" w:firstLineChars="200"/>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根据《建设项目环境影响报告表编制技术指南（污染影响类）（试行）》本项目不须设置专项评价依据如下：</w:t>
            </w:r>
          </w:p>
          <w:p w14:paraId="3BF10AFF">
            <w:pPr>
              <w:pStyle w:val="7"/>
              <w:keepNext/>
              <w:rPr>
                <w:color w:val="000000" w:themeColor="text1"/>
                <w:sz w:val="24"/>
                <w:szCs w:val="32"/>
                <w14:textFill>
                  <w14:solidFill>
                    <w14:schemeClr w14:val="tx1"/>
                  </w14:solidFill>
                </w14:textFill>
              </w:rPr>
            </w:pPr>
            <w:r>
              <w:rPr>
                <w:b/>
                <w:bCs/>
                <w:color w:val="000000" w:themeColor="text1"/>
                <w14:textFill>
                  <w14:solidFill>
                    <w14:schemeClr w14:val="tx1"/>
                  </w14:solidFill>
                </w14:textFill>
              </w:rPr>
              <w:t>表1-1 专项评价设置对比表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3243"/>
              <w:gridCol w:w="1867"/>
              <w:gridCol w:w="971"/>
            </w:tblGrid>
            <w:tr w14:paraId="11A14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14:paraId="45B2B472">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专项评价的类别</w:t>
                  </w:r>
                </w:p>
              </w:tc>
              <w:tc>
                <w:tcPr>
                  <w:tcW w:w="2253" w:type="pct"/>
                  <w:vAlign w:val="center"/>
                </w:tcPr>
                <w:p w14:paraId="31884583">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设置原则</w:t>
                  </w:r>
                </w:p>
              </w:tc>
              <w:tc>
                <w:tcPr>
                  <w:tcW w:w="1297" w:type="pct"/>
                  <w:vAlign w:val="center"/>
                </w:tcPr>
                <w:p w14:paraId="0012437A">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本项目情况</w:t>
                  </w:r>
                </w:p>
              </w:tc>
              <w:tc>
                <w:tcPr>
                  <w:tcW w:w="672" w:type="pct"/>
                  <w:vAlign w:val="center"/>
                </w:tcPr>
                <w:p w14:paraId="3CC36382">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是否需要评价</w:t>
                  </w:r>
                </w:p>
              </w:tc>
            </w:tr>
            <w:tr w14:paraId="59CE04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14:paraId="66ABD9C1">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大气</w:t>
                  </w:r>
                </w:p>
              </w:tc>
              <w:tc>
                <w:tcPr>
                  <w:tcW w:w="2253" w:type="pct"/>
                  <w:vAlign w:val="center"/>
                </w:tcPr>
                <w:p w14:paraId="6EE79895">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排放废气含有毒有害污染物</w:t>
                  </w: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、二噁英、苯并[a]芘、氰化物、氯气且厂界外500米范围内有环境空气保护目标</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的建设项目</w:t>
                  </w:r>
                </w:p>
              </w:tc>
              <w:tc>
                <w:tcPr>
                  <w:tcW w:w="1297" w:type="pct"/>
                  <w:vAlign w:val="center"/>
                </w:tcPr>
                <w:p w14:paraId="4B8DEB2F">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本项目排放废气中污染物为颗粒物、氮氧化物、二氧化硫，不涉及有毒有害污染物</w:t>
                  </w:r>
                </w:p>
              </w:tc>
              <w:tc>
                <w:tcPr>
                  <w:tcW w:w="672" w:type="pct"/>
                  <w:vAlign w:val="center"/>
                </w:tcPr>
                <w:p w14:paraId="6660DD4C">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否</w:t>
                  </w:r>
                </w:p>
              </w:tc>
            </w:tr>
            <w:tr w14:paraId="25358B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14:paraId="1ECF9BB3">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w:t>
                  </w:r>
                </w:p>
              </w:tc>
              <w:tc>
                <w:tcPr>
                  <w:tcW w:w="2253" w:type="pct"/>
                  <w:vAlign w:val="center"/>
                </w:tcPr>
                <w:p w14:paraId="0A52DD88">
                  <w:pPr>
                    <w:keepNext/>
                    <w:spacing w:before="48" w:beforeLines="20" w:line="288" w:lineRule="auto"/>
                    <w:rPr>
                      <w:color w:val="000000" w:themeColor="text1"/>
                      <w14:textFill>
                        <w14:solidFill>
                          <w14:schemeClr w14:val="tx1"/>
                        </w14:solidFill>
                      </w14:textFill>
                    </w:rPr>
                  </w:pPr>
                  <w:r>
                    <w:rPr>
                      <w:color w:val="000000" w:themeColor="text1"/>
                      <w:szCs w:val="21"/>
                      <w14:textFill>
                        <w14:solidFill>
                          <w14:schemeClr w14:val="tx1"/>
                        </w14:solidFill>
                      </w14:textFill>
                    </w:rPr>
                    <w:t>新增工业废水直排建设项目（槽罐车外送污水处理厂的除外）；新增废水直排的污水</w:t>
                  </w:r>
                  <w:r>
                    <w:rPr>
                      <w:color w:val="000000" w:themeColor="text1"/>
                      <w14:textFill>
                        <w14:solidFill>
                          <w14:schemeClr w14:val="tx1"/>
                        </w14:solidFill>
                      </w14:textFill>
                    </w:rPr>
                    <w:t>集中处理厂</w:t>
                  </w:r>
                </w:p>
              </w:tc>
              <w:tc>
                <w:tcPr>
                  <w:tcW w:w="1297" w:type="pct"/>
                  <w:vAlign w:val="center"/>
                </w:tcPr>
                <w:p w14:paraId="0CC29BFF">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本项目废水经化粪池处理后排入峡河乡污水处理设施</w:t>
                  </w:r>
                </w:p>
              </w:tc>
              <w:tc>
                <w:tcPr>
                  <w:tcW w:w="672" w:type="pct"/>
                  <w:vAlign w:val="center"/>
                </w:tcPr>
                <w:p w14:paraId="26C8D1F3">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否</w:t>
                  </w:r>
                </w:p>
              </w:tc>
            </w:tr>
            <w:tr w14:paraId="4544C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14:paraId="0DA0E275">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环境风险</w:t>
                  </w:r>
                </w:p>
              </w:tc>
              <w:tc>
                <w:tcPr>
                  <w:tcW w:w="2253" w:type="pct"/>
                  <w:vAlign w:val="center"/>
                </w:tcPr>
                <w:p w14:paraId="6D7C9FA7">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有毒有害和易燃易爆危险物质存储量超过临界量</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的建设项目</w:t>
                  </w:r>
                </w:p>
              </w:tc>
              <w:tc>
                <w:tcPr>
                  <w:tcW w:w="1297" w:type="pct"/>
                  <w:vAlign w:val="center"/>
                </w:tcPr>
                <w:p w14:paraId="2251B97B">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本项目风险物质存储量未超过临界量</w:t>
                  </w:r>
                </w:p>
              </w:tc>
              <w:tc>
                <w:tcPr>
                  <w:tcW w:w="672" w:type="pct"/>
                  <w:vAlign w:val="center"/>
                </w:tcPr>
                <w:p w14:paraId="63F7FD0A">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否</w:t>
                  </w:r>
                </w:p>
              </w:tc>
            </w:tr>
            <w:tr w14:paraId="31686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14:paraId="135160FD">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生态</w:t>
                  </w:r>
                </w:p>
              </w:tc>
              <w:tc>
                <w:tcPr>
                  <w:tcW w:w="2253" w:type="pct"/>
                  <w:vAlign w:val="center"/>
                </w:tcPr>
                <w:p w14:paraId="07CC54ED">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取水口下游500米范围内有重要水生生物的自然产卵场、索饵场、越冬场和洄游通道的新增河道取水的污染类建设项目</w:t>
                  </w:r>
                </w:p>
              </w:tc>
              <w:tc>
                <w:tcPr>
                  <w:tcW w:w="1297" w:type="pct"/>
                  <w:vAlign w:val="center"/>
                </w:tcPr>
                <w:p w14:paraId="3F012103">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本项目不涉及</w:t>
                  </w:r>
                </w:p>
              </w:tc>
              <w:tc>
                <w:tcPr>
                  <w:tcW w:w="672" w:type="pct"/>
                  <w:vAlign w:val="center"/>
                </w:tcPr>
                <w:p w14:paraId="61D04B29">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否</w:t>
                  </w:r>
                </w:p>
              </w:tc>
            </w:tr>
            <w:tr w14:paraId="0FF20D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vAlign w:val="center"/>
                </w:tcPr>
                <w:p w14:paraId="1F9EB4AE">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海洋</w:t>
                  </w:r>
                </w:p>
              </w:tc>
              <w:tc>
                <w:tcPr>
                  <w:tcW w:w="2253" w:type="pct"/>
                  <w:vAlign w:val="center"/>
                </w:tcPr>
                <w:p w14:paraId="7501C2E8">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直接向海排放污染物的海洋工程建设项目</w:t>
                  </w:r>
                </w:p>
              </w:tc>
              <w:tc>
                <w:tcPr>
                  <w:tcW w:w="1297" w:type="pct"/>
                  <w:vAlign w:val="center"/>
                </w:tcPr>
                <w:p w14:paraId="42F50A72">
                  <w:pPr>
                    <w:keepNext/>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本项目不涉及</w:t>
                  </w:r>
                </w:p>
              </w:tc>
              <w:tc>
                <w:tcPr>
                  <w:tcW w:w="672" w:type="pct"/>
                  <w:vAlign w:val="center"/>
                </w:tcPr>
                <w:p w14:paraId="7A8DF9EE">
                  <w:pPr>
                    <w:keepNex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否</w:t>
                  </w:r>
                </w:p>
              </w:tc>
            </w:tr>
            <w:tr w14:paraId="3FC6C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405F717E">
                  <w:pPr>
                    <w:pStyle w:val="102"/>
                    <w:autoSpaceDE/>
                    <w:autoSpaceDN/>
                    <w:adjustRightInd/>
                    <w:spacing w:before="48" w:beforeLines="20" w:line="288" w:lineRule="auto"/>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注：1.废气中有毒有害污染物指纳入《有毒有害大气污染物名录》的污染物（不包括无排放标准的污染物）。</w:t>
                  </w:r>
                </w:p>
                <w:p w14:paraId="5D5ABAB1">
                  <w:pPr>
                    <w:pStyle w:val="102"/>
                    <w:autoSpaceDE/>
                    <w:autoSpaceDN/>
                    <w:adjustRightInd/>
                    <w:spacing w:before="48" w:beforeLines="20" w:line="288" w:lineRule="auto"/>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2.环境空气保护目标指自然保护区、风景名胜区、居住区、文化区和农村地区中人群较集中的区域。</w:t>
                  </w:r>
                </w:p>
                <w:p w14:paraId="61E0C469">
                  <w:pPr>
                    <w:keepNext/>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3.临界量及其计算方法可参考《建设项目环境风险评价技术导则》（HJ 169）附录B、附录C。</w:t>
                  </w:r>
                </w:p>
              </w:tc>
            </w:tr>
          </w:tbl>
          <w:p w14:paraId="1C8DEFA3">
            <w:pPr>
              <w:keepNext/>
              <w:adjustRightInd w:val="0"/>
              <w:snapToGrid w:val="0"/>
              <w:spacing w:before="48" w:beforeLines="20" w:line="288" w:lineRule="auto"/>
              <w:ind w:firstLine="480" w:firstLineChars="200"/>
              <w:rPr>
                <w:color w:val="000000" w:themeColor="text1"/>
                <w:sz w:val="24"/>
                <w14:textFill>
                  <w14:solidFill>
                    <w14:schemeClr w14:val="tx1"/>
                  </w14:solidFill>
                </w14:textFill>
              </w:rPr>
            </w:pPr>
            <w:r>
              <w:rPr>
                <w:color w:val="000000" w:themeColor="text1"/>
                <w:sz w:val="24"/>
                <w:szCs w:val="32"/>
                <w14:textFill>
                  <w14:solidFill>
                    <w14:schemeClr w14:val="tx1"/>
                  </w14:solidFill>
                </w14:textFill>
              </w:rPr>
              <w:t>综上所述，本项目无需设置专项评价。</w:t>
            </w:r>
          </w:p>
        </w:tc>
      </w:tr>
      <w:tr w14:paraId="6344A2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886" w:type="dxa"/>
            <w:vAlign w:val="center"/>
          </w:tcPr>
          <w:p w14:paraId="7CC2D166">
            <w:pPr>
              <w:keepNext/>
              <w:autoSpaceDE w:val="0"/>
              <w:autoSpaceDN w:val="0"/>
              <w:adjustRightInd w:val="0"/>
              <w:snapToGrid w:val="0"/>
              <w:spacing w:before="48" w:beforeLines="20" w:line="288" w:lineRule="auto"/>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规划情况</w:t>
            </w:r>
          </w:p>
        </w:tc>
        <w:tc>
          <w:tcPr>
            <w:tcW w:w="7217" w:type="dxa"/>
            <w:gridSpan w:val="4"/>
            <w:vAlign w:val="center"/>
          </w:tcPr>
          <w:p w14:paraId="6C2E0D32">
            <w:pPr>
              <w:keepNext/>
              <w:adjustRightInd w:val="0"/>
              <w:snapToGrid w:val="0"/>
              <w:spacing w:before="48" w:beforeLines="20" w:line="288"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无</w:t>
            </w:r>
          </w:p>
        </w:tc>
      </w:tr>
      <w:tr w14:paraId="441291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886" w:type="dxa"/>
            <w:vAlign w:val="center"/>
          </w:tcPr>
          <w:p w14:paraId="0B777E66">
            <w:pPr>
              <w:keepNext/>
              <w:adjustRightInd w:val="0"/>
              <w:snapToGrid w:val="0"/>
              <w:spacing w:before="48" w:beforeLines="20" w:line="288" w:lineRule="auto"/>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规划环境影响评价情况</w:t>
            </w:r>
          </w:p>
        </w:tc>
        <w:tc>
          <w:tcPr>
            <w:tcW w:w="7217" w:type="dxa"/>
            <w:gridSpan w:val="4"/>
            <w:vAlign w:val="center"/>
          </w:tcPr>
          <w:p w14:paraId="306242A0">
            <w:pPr>
              <w:keepNext/>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无</w:t>
            </w:r>
          </w:p>
        </w:tc>
      </w:tr>
      <w:tr w14:paraId="711C5E8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886" w:type="dxa"/>
            <w:vAlign w:val="center"/>
          </w:tcPr>
          <w:p w14:paraId="46033998">
            <w:pPr>
              <w:keepNext/>
              <w:autoSpaceDE w:val="0"/>
              <w:autoSpaceDN w:val="0"/>
              <w:adjustRightInd w:val="0"/>
              <w:snapToGrid w:val="0"/>
              <w:spacing w:before="48" w:beforeLines="20" w:line="288"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规划及规划环境影响评价符合性分析</w:t>
            </w:r>
          </w:p>
        </w:tc>
        <w:tc>
          <w:tcPr>
            <w:tcW w:w="7217" w:type="dxa"/>
            <w:gridSpan w:val="4"/>
            <w:vAlign w:val="center"/>
          </w:tcPr>
          <w:p w14:paraId="0B4786BE">
            <w:pPr>
              <w:keepNext/>
              <w:autoSpaceDE w:val="0"/>
              <w:autoSpaceDN w:val="0"/>
              <w:spacing w:before="120" w:beforeLines="50"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无</w:t>
            </w:r>
          </w:p>
          <w:p w14:paraId="7517F567">
            <w:pPr>
              <w:keepNext/>
              <w:autoSpaceDE w:val="0"/>
              <w:autoSpaceDN w:val="0"/>
              <w:spacing w:before="120" w:beforeLines="50" w:line="360" w:lineRule="auto"/>
              <w:jc w:val="center"/>
              <w:rPr>
                <w:color w:val="000000" w:themeColor="text1"/>
                <w:kern w:val="0"/>
                <w:sz w:val="24"/>
                <w14:textFill>
                  <w14:solidFill>
                    <w14:schemeClr w14:val="tx1"/>
                  </w14:solidFill>
                </w14:textFill>
              </w:rPr>
            </w:pPr>
          </w:p>
          <w:p w14:paraId="382E752E">
            <w:pPr>
              <w:keepNext/>
              <w:autoSpaceDE w:val="0"/>
              <w:autoSpaceDN w:val="0"/>
              <w:spacing w:before="120" w:beforeLines="50" w:line="360" w:lineRule="auto"/>
              <w:jc w:val="center"/>
              <w:rPr>
                <w:color w:val="000000" w:themeColor="text1"/>
                <w:kern w:val="0"/>
                <w:sz w:val="24"/>
                <w14:textFill>
                  <w14:solidFill>
                    <w14:schemeClr w14:val="tx1"/>
                  </w14:solidFill>
                </w14:textFill>
              </w:rPr>
            </w:pPr>
          </w:p>
          <w:p w14:paraId="4F1BE7CD">
            <w:pPr>
              <w:keepNext/>
              <w:autoSpaceDE w:val="0"/>
              <w:autoSpaceDN w:val="0"/>
              <w:spacing w:before="120" w:beforeLines="50" w:line="360" w:lineRule="auto"/>
              <w:jc w:val="center"/>
              <w:rPr>
                <w:color w:val="000000" w:themeColor="text1"/>
                <w:kern w:val="0"/>
                <w:sz w:val="24"/>
                <w14:textFill>
                  <w14:solidFill>
                    <w14:schemeClr w14:val="tx1"/>
                  </w14:solidFill>
                </w14:textFill>
              </w:rPr>
            </w:pPr>
          </w:p>
          <w:p w14:paraId="44692A96">
            <w:pPr>
              <w:keepNext/>
              <w:autoSpaceDE w:val="0"/>
              <w:autoSpaceDN w:val="0"/>
              <w:spacing w:before="120" w:beforeLines="50" w:line="360" w:lineRule="auto"/>
              <w:jc w:val="center"/>
              <w:rPr>
                <w:color w:val="000000" w:themeColor="text1"/>
                <w:kern w:val="0"/>
                <w:sz w:val="24"/>
                <w14:textFill>
                  <w14:solidFill>
                    <w14:schemeClr w14:val="tx1"/>
                  </w14:solidFill>
                </w14:textFill>
              </w:rPr>
            </w:pPr>
          </w:p>
          <w:p w14:paraId="1E61B6C8">
            <w:pPr>
              <w:keepNext/>
              <w:autoSpaceDE w:val="0"/>
              <w:autoSpaceDN w:val="0"/>
              <w:spacing w:before="120" w:beforeLines="50" w:line="360" w:lineRule="auto"/>
              <w:jc w:val="center"/>
              <w:rPr>
                <w:color w:val="000000" w:themeColor="text1"/>
                <w:kern w:val="0"/>
                <w:sz w:val="24"/>
                <w14:textFill>
                  <w14:solidFill>
                    <w14:schemeClr w14:val="tx1"/>
                  </w14:solidFill>
                </w14:textFill>
              </w:rPr>
            </w:pPr>
          </w:p>
        </w:tc>
      </w:tr>
    </w:tbl>
    <w:p w14:paraId="0FF8F148">
      <w:pPr>
        <w:keepNext/>
        <w:autoSpaceDE w:val="0"/>
        <w:autoSpaceDN w:val="0"/>
        <w:adjustRightInd w:val="0"/>
        <w:snapToGrid w:val="0"/>
        <w:spacing w:line="312" w:lineRule="auto"/>
        <w:jc w:val="center"/>
        <w:rPr>
          <w:color w:val="000000" w:themeColor="text1"/>
          <w:kern w:val="0"/>
          <w:sz w:val="24"/>
          <w14:textFill>
            <w14:solidFill>
              <w14:schemeClr w14:val="tx1"/>
            </w14:solidFill>
          </w14:textFill>
        </w:rPr>
        <w:sectPr>
          <w:footerReference r:id="rId5" w:type="default"/>
          <w:pgSz w:w="11906" w:h="16838"/>
          <w:pgMar w:top="1417" w:right="1417" w:bottom="1417" w:left="1417" w:header="851" w:footer="1077" w:gutter="0"/>
          <w:pgNumType w:start="1"/>
          <w:cols w:space="720" w:num="1"/>
          <w:docGrid w:linePitch="312" w:charSpace="0"/>
        </w:sectPr>
      </w:pPr>
    </w:p>
    <w:tbl>
      <w:tblPr>
        <w:tblStyle w:val="31"/>
        <w:tblW w:w="4998"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1495"/>
        <w:gridCol w:w="12719"/>
      </w:tblGrid>
      <w:tr w14:paraId="07FC862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72" w:hRule="atLeast"/>
          <w:jc w:val="center"/>
        </w:trPr>
        <w:tc>
          <w:tcPr>
            <w:tcW w:w="526" w:type="pct"/>
            <w:vAlign w:val="center"/>
          </w:tcPr>
          <w:p w14:paraId="2FF6CF14">
            <w:pPr>
              <w:keepNext/>
              <w:autoSpaceDE w:val="0"/>
              <w:autoSpaceDN w:val="0"/>
              <w:adjustRightInd w:val="0"/>
              <w:snapToGrid w:val="0"/>
              <w:spacing w:line="312"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其他符合性分析</w:t>
            </w:r>
          </w:p>
        </w:tc>
        <w:tc>
          <w:tcPr>
            <w:tcW w:w="4473" w:type="pct"/>
            <w:vAlign w:val="center"/>
          </w:tcPr>
          <w:p w14:paraId="329C9D2E">
            <w:pPr>
              <w:keepNext/>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1、产业政策相符性分析</w:t>
            </w:r>
          </w:p>
          <w:p w14:paraId="5F56AAC0">
            <w:pPr>
              <w:keepNext/>
              <w:spacing w:line="360" w:lineRule="auto"/>
              <w:ind w:firstLine="480" w:firstLineChars="200"/>
              <w:rPr>
                <w:b/>
                <w:bCs/>
                <w:color w:val="000000" w:themeColor="text1"/>
                <w:sz w:val="24"/>
                <w14:textFill>
                  <w14:solidFill>
                    <w14:schemeClr w14:val="tx1"/>
                  </w14:solidFill>
                </w14:textFill>
              </w:rPr>
            </w:pPr>
            <w:bookmarkStart w:id="2" w:name="_Hlk155821959"/>
            <w:r>
              <w:rPr>
                <w:rStyle w:val="64"/>
                <w:color w:val="000000" w:themeColor="text1"/>
                <w:sz w:val="24"/>
                <w14:textFill>
                  <w14:solidFill>
                    <w14:schemeClr w14:val="tx1"/>
                  </w14:solidFill>
                </w14:textFill>
              </w:rPr>
              <w:t>本项目建设1台2.5t/h生物质蒸汽发生器作为食用菌漂烫工序热源，根据《国民经济行业分类》（GB/T4757-2017），行业类别为“D4430热力生产和供应”，对照《产业结构调整指导目录（2024年本）》，本项目</w:t>
            </w:r>
            <w:r>
              <w:rPr>
                <w:color w:val="000000" w:themeColor="text1"/>
                <w:sz w:val="24"/>
                <w14:textFill>
                  <w14:solidFill>
                    <w14:schemeClr w14:val="tx1"/>
                  </w14:solidFill>
                </w14:textFill>
              </w:rPr>
              <w:t>不属于文件中规定的“鼓励类”、“限制类”、“淘汰类”项目，为允许建设项目，</w:t>
            </w:r>
            <w:r>
              <w:rPr>
                <w:rStyle w:val="64"/>
                <w:color w:val="000000" w:themeColor="text1"/>
                <w:sz w:val="24"/>
                <w14:textFill>
                  <w14:solidFill>
                    <w14:schemeClr w14:val="tx1"/>
                  </w14:solidFill>
                </w14:textFill>
              </w:rPr>
              <w:t>不属于《市场准入负面清单（2025年版）》中的行业。因此，项目建设符合国家有关产业政策要求。</w:t>
            </w:r>
            <w:bookmarkEnd w:id="2"/>
          </w:p>
          <w:p w14:paraId="121654D5">
            <w:pPr>
              <w:keepNext/>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2、选址合理性分析</w:t>
            </w:r>
          </w:p>
          <w:p w14:paraId="506DFD2E">
            <w:pPr>
              <w:keepNext/>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本项目租赁峡河村菌包厂闲置厂房</w:t>
            </w:r>
            <w:r>
              <w:rPr>
                <w:rFonts w:hint="eastAsia"/>
                <w:color w:val="000000" w:themeColor="text1"/>
                <w:sz w:val="24"/>
                <w14:textFill>
                  <w14:solidFill>
                    <w14:schemeClr w14:val="tx1"/>
                  </w14:solidFill>
                </w14:textFill>
              </w:rPr>
              <w:t>（租赁协议见附件5）</w:t>
            </w:r>
            <w:r>
              <w:rPr>
                <w:color w:val="000000" w:themeColor="text1"/>
                <w:sz w:val="24"/>
                <w14:textFill>
                  <w14:solidFill>
                    <w14:schemeClr w14:val="tx1"/>
                  </w14:solidFill>
                </w14:textFill>
              </w:rPr>
              <w:t>，租赁地址位于辽宁省抚顺市抚顺县峡河乡峡河村22号，根据占地类型情况说明（附件4）可知，土地性质为工业用地，符合用地需求；厂区东、西、北侧均为峡河村，南侧为峡河乡九年一贯制学校，通过采取“建筑隔声+减振基础+管道包扎”的降噪措施降低噪声影响，不会产生噪声扰民问题。</w:t>
            </w:r>
          </w:p>
          <w:p w14:paraId="35C92090">
            <w:pPr>
              <w:keepNext/>
              <w:spacing w:line="360" w:lineRule="auto"/>
              <w:ind w:firstLine="480" w:firstLineChars="200"/>
              <w:rPr>
                <w:b/>
                <w:bCs/>
                <w:color w:val="000000" w:themeColor="text1"/>
                <w:sz w:val="24"/>
                <w14:textFill>
                  <w14:solidFill>
                    <w14:schemeClr w14:val="tx1"/>
                  </w14:solidFill>
                </w14:textFill>
              </w:rPr>
            </w:pPr>
            <w:r>
              <w:rPr>
                <w:color w:val="000000" w:themeColor="text1"/>
                <w:sz w:val="24"/>
                <w14:textFill>
                  <w14:solidFill>
                    <w14:schemeClr w14:val="tx1"/>
                  </w14:solidFill>
                </w14:textFill>
              </w:rPr>
              <w:t>项目厂址地理条件优越，交通方便，厂址位置不涉及区域生态保护红线规划范围，不涉及自然保护区、风景名胜区和其他需要特殊保护的区域范围，因此，从环保角度分析，本项目选址可行。</w:t>
            </w:r>
          </w:p>
          <w:p w14:paraId="6744E16D">
            <w:pPr>
              <w:keepNext/>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3、与生态环境分区管控符合性分析</w:t>
            </w:r>
          </w:p>
          <w:p w14:paraId="0ED8FDB3">
            <w:pPr>
              <w:keepNext/>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关于发布抚顺市生态环境分区管控动态更新成果的通知》（抚环发〔2024〕144号），本项目位于辽宁省抚顺市抚顺县峡河乡峡河村22号，所在管控单元名称为抚顺县一般管控区，管控单元类型为一般管控区，管控单元编码为ZH21042130001，项目与准入清单要求符合性分析见下表，生态环境管控单元图见附图5。</w:t>
            </w:r>
          </w:p>
          <w:p w14:paraId="35C1E66B">
            <w:pPr>
              <w:autoSpaceDE w:val="0"/>
              <w:autoSpaceDN w:val="0"/>
              <w:adjustRightInd w:val="0"/>
              <w:snapToGrid w:val="0"/>
              <w:spacing w:before="120" w:beforeLines="5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表1-2  本项目与抚顺市生态环境管控基本要求的符合性分析一览表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8600"/>
              <w:gridCol w:w="2626"/>
              <w:gridCol w:w="605"/>
            </w:tblGrid>
            <w:tr w14:paraId="3900A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47" w:type="dxa"/>
                  <w:gridSpan w:val="2"/>
                  <w:tcBorders>
                    <w:tl2br w:val="nil"/>
                    <w:tr2bl w:val="nil"/>
                  </w:tcBorders>
                  <w:vAlign w:val="center"/>
                </w:tcPr>
                <w:p w14:paraId="665F5777">
                  <w:pPr>
                    <w:spacing w:before="48" w:beforeLines="20" w:line="288" w:lineRule="auto"/>
                    <w:ind w:left="-99" w:leftChars="-47" w:right="-94" w:rightChars="-45"/>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管控要求</w:t>
                  </w:r>
                </w:p>
              </w:tc>
              <w:tc>
                <w:tcPr>
                  <w:tcW w:w="2661" w:type="dxa"/>
                  <w:tcBorders>
                    <w:tl2br w:val="nil"/>
                    <w:tr2bl w:val="nil"/>
                  </w:tcBorders>
                  <w:vAlign w:val="center"/>
                </w:tcPr>
                <w:p w14:paraId="102E3556">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项目情况</w:t>
                  </w:r>
                </w:p>
              </w:tc>
              <w:tc>
                <w:tcPr>
                  <w:tcW w:w="613" w:type="dxa"/>
                  <w:tcBorders>
                    <w:tl2br w:val="nil"/>
                    <w:tr2bl w:val="nil"/>
                  </w:tcBorders>
                  <w:vAlign w:val="center"/>
                </w:tcPr>
                <w:p w14:paraId="4E65C502">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p w14:paraId="3F73BE47">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情况</w:t>
                  </w:r>
                </w:p>
              </w:tc>
            </w:tr>
            <w:tr w14:paraId="2D9514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Borders>
                    <w:tl2br w:val="nil"/>
                    <w:tr2bl w:val="nil"/>
                  </w:tcBorders>
                  <w:vAlign w:val="center"/>
                </w:tcPr>
                <w:p w14:paraId="44371292">
                  <w:pPr>
                    <w:widowControl/>
                    <w:spacing w:before="48" w:beforeLines="20" w:line="288" w:lineRule="auto"/>
                    <w:ind w:left="-105" w:leftChars="-50" w:right="-105" w:rightChars="-50"/>
                    <w:jc w:val="center"/>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空间布局约束</w:t>
                  </w:r>
                </w:p>
              </w:tc>
              <w:tc>
                <w:tcPr>
                  <w:tcW w:w="8765" w:type="dxa"/>
                  <w:tcBorders>
                    <w:tl2br w:val="nil"/>
                    <w:tr2bl w:val="nil"/>
                  </w:tcBorders>
                  <w:vAlign w:val="center"/>
                </w:tcPr>
                <w:p w14:paraId="4E5A9B63">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1.禁止在自然保护区内进行砍伐、放牧、狩猎、捕捞、采药、开垦、烧荒、开矿、采石、挖沙等活动；但是，法律、行政法规另有规定的除外；禁止任何人进入自然保护区的核心区。因科学研究的需要，必须进入核心区从事科学研究观测、调查活动的，应当事先向自然保护区管理机构提交申请和活动计划，并经自然保护区管理机构批准；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在自然保护区的核心区和缓冲区内，不得建设任何生产设施。在自然保护区的实验区内，不得建设污染环境、破坏资源或者景观的生产设施；建设其他项目，其污染物排放不得超过国家和地方规定的污染物排放标准。在自然保护区的实验区内已经建成的设施，其污染物排放超过国家和地方规定的排放标准的，应当限期治理；造成损害的，必须采取补救措施。</w:t>
                  </w:r>
                </w:p>
                <w:p w14:paraId="256BC753">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2.生态保护红线区内原则上禁止人为活动，在符合现行法律法规前提下，除国家重大战略项目外，仅允许对生态功能不造成破坏的有限人为活动，主要包括：零星的原住民在不扩大现有建设用地和耕地规模前提下，修缮生产生活设施，保留生活必需的少量种植、放牧、捕捞、养殖；因国家重大能源资源安全需要开展的战略性能源资源勘查，公益性自然资源调查和地质勘查；自然资源、生态环境监测和执法包括水文水资源监测及涉水违法事件的查处等，灾害防治和应急抢险活动；经依法批准进行的非破坏性科学研究观测、标本采集；经依法批准的考古调查发掘和文物保护活动；不破坏生态功能的适度参观旅游和相关的必要公共设施建设；必须且无法避让、符合县级以上国土空间规划的线性基础设施建设、防洪和供水设施建设与运行维护；重要生态修复工程。一般生态空间严格禁止开发性、生产性建设活动。</w:t>
                  </w:r>
                </w:p>
                <w:p w14:paraId="48BDB8AC">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3.饮用水水源保护区：准保护区内禁止新建、扩建对水体污染严重的建设项目；禁止法律、法规规定的其他可能污染准保护区内水源的活动。二级保护区内禁止新建、改建、扩建排放污染物的建设项目；禁止设置排污 口；禁止建设畜禽养殖场、养殖小区；禁止新设探矿、采矿项目；禁止法律、法规规定的其他可能污染二级保护区内水源的活动。一级保护区内禁止新建、扩建、改建与供水设施和保护水源无关的建设项目；禁止可能造成水体污染的船舶通行以及设置码 头；禁止从事网箱养殖、旅游、游泳、垂钓、种植农作物；禁止采石、挖砂、取土；禁止设置油库；禁止建立墓地和掩埋动物尸体；禁止法律、法规规定的其他可能污染一级保护区内水源的活动。</w:t>
                  </w:r>
                </w:p>
                <w:p w14:paraId="53866492">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4.新上“两高”项目必须符合国家产业政策且能效达到行业先进水平，属于限制类和淘汰类的新建项目，一律不予审批、核准；属于限制类技术改造的“两高”项目，确保耗能量、排放量只减不增。</w:t>
                  </w:r>
                </w:p>
                <w:p w14:paraId="56AA1E2C">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5.严格建设项目环境准入，提高挥发性有机物（VOCs）排放重点行业环保准入门槛，严格控制新增VOCs排放量。对于新建涉VOCs排放的工业企业，应按照建设项目环境影响评价以及产业园区规划环评等要求合理布局。</w:t>
                  </w:r>
                </w:p>
                <w:p w14:paraId="316A4522">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6.加快城市建成区重污染企业搬迁改造或关闭退出，市政府已明确的退城企业，要明确时间表，逾期不退城的予以停产。</w:t>
                  </w:r>
                </w:p>
                <w:p w14:paraId="2D2BF4FC">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7.新建化工类项目应进入化工园区，要符合园区规划及环保相关要求，不得在化工园区外新建、扩建化工项目。</w:t>
                  </w:r>
                </w:p>
                <w:p w14:paraId="44F52E33">
                  <w:pPr>
                    <w:rPr>
                      <w:color w:val="000000" w:themeColor="text1"/>
                      <w14:textFill>
                        <w14:solidFill>
                          <w14:schemeClr w14:val="tx1"/>
                        </w14:solidFill>
                      </w14:textFill>
                    </w:rPr>
                  </w:pPr>
                  <w:r>
                    <w:rPr>
                      <w:color w:val="000000" w:themeColor="text1"/>
                      <w:szCs w:val="18"/>
                      <w14:textFill>
                        <w14:solidFill>
                          <w14:schemeClr w14:val="tx1"/>
                        </w14:solidFill>
                      </w14:textFill>
                    </w:rPr>
                    <w:t>8.地下水保护区参照《抚顺市地下水污染防治重点区划分方案》执行。</w:t>
                  </w:r>
                </w:p>
              </w:tc>
              <w:tc>
                <w:tcPr>
                  <w:tcW w:w="2661" w:type="dxa"/>
                  <w:tcBorders>
                    <w:tl2br w:val="nil"/>
                    <w:tr2bl w:val="nil"/>
                  </w:tcBorders>
                  <w:vAlign w:val="center"/>
                </w:tcPr>
                <w:p w14:paraId="1E6F841D">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1.本项目不在自然保护区内。</w:t>
                  </w:r>
                </w:p>
                <w:p w14:paraId="5DA9E585">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2.本项目不涉及生态保护红线区。</w:t>
                  </w:r>
                </w:p>
                <w:p w14:paraId="71723317">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3.本项目不在饮用水水源保护区内，不属于对水体污染严重的项目。</w:t>
                  </w:r>
                </w:p>
                <w:p w14:paraId="1F9BB38B">
                  <w:pPr>
                    <w:pStyle w:val="141"/>
                    <w:spacing w:before="48" w:beforeLines="20" w:line="288" w:lineRule="auto"/>
                    <w:jc w:val="both"/>
                    <w:rPr>
                      <w:color w:val="000000" w:themeColor="text1"/>
                      <w14:textFill>
                        <w14:solidFill>
                          <w14:schemeClr w14:val="tx1"/>
                        </w14:solidFill>
                      </w14:textFill>
                    </w:rPr>
                  </w:pPr>
                  <w:r>
                    <w:rPr>
                      <w:color w:val="000000" w:themeColor="text1"/>
                      <w:szCs w:val="18"/>
                      <w14:textFill>
                        <w14:solidFill>
                          <w14:schemeClr w14:val="tx1"/>
                        </w14:solidFill>
                      </w14:textFill>
                    </w:rPr>
                    <w:t>4.本项目不属于两高项目，对照</w:t>
                  </w:r>
                  <w:r>
                    <w:rPr>
                      <w:color w:val="000000" w:themeColor="text1"/>
                      <w14:textFill>
                        <w14:solidFill>
                          <w14:schemeClr w14:val="tx1"/>
                        </w14:solidFill>
                      </w14:textFill>
                    </w:rPr>
                    <w:t>《产业结构调整指导目录（2024年本）》，本项目不属于文件中规定的“鼓励类”、“限制类”、“淘汰类”项目，为允许建设项目。</w:t>
                  </w:r>
                </w:p>
                <w:p w14:paraId="1E8C1D79">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5.本</w:t>
                  </w:r>
                  <w:r>
                    <w:rPr>
                      <w:color w:val="000000" w:themeColor="text1"/>
                      <w:szCs w:val="18"/>
                      <w14:textFill>
                        <w14:solidFill>
                          <w14:schemeClr w14:val="tx1"/>
                        </w14:solidFill>
                      </w14:textFill>
                    </w:rPr>
                    <w:t>项目不涉及VOC排放</w:t>
                  </w:r>
                  <w:r>
                    <w:rPr>
                      <w:color w:val="000000" w:themeColor="text1"/>
                      <w:szCs w:val="21"/>
                      <w14:textFill>
                        <w14:solidFill>
                          <w14:schemeClr w14:val="tx1"/>
                        </w14:solidFill>
                      </w14:textFill>
                    </w:rPr>
                    <w:t>。</w:t>
                  </w:r>
                </w:p>
                <w:p w14:paraId="1D87B2A8">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6.本项目不属于重污染及退城企业。</w:t>
                  </w:r>
                </w:p>
                <w:p w14:paraId="7297EC9F">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7.本项目不属于化工类项目。</w:t>
                  </w:r>
                </w:p>
                <w:p w14:paraId="477FB921">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8.本项目不涉及地下水保护区。</w:t>
                  </w:r>
                </w:p>
              </w:tc>
              <w:tc>
                <w:tcPr>
                  <w:tcW w:w="613" w:type="dxa"/>
                  <w:tcBorders>
                    <w:tl2br w:val="nil"/>
                    <w:tr2bl w:val="nil"/>
                  </w:tcBorders>
                  <w:vAlign w:val="center"/>
                </w:tcPr>
                <w:p w14:paraId="1A3AD014">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tc>
            </w:tr>
            <w:tr w14:paraId="243233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Borders>
                    <w:tl2br w:val="nil"/>
                    <w:tr2bl w:val="nil"/>
                  </w:tcBorders>
                  <w:vAlign w:val="center"/>
                </w:tcPr>
                <w:p w14:paraId="7B021C2A">
                  <w:pPr>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污染物排放管控</w:t>
                  </w:r>
                </w:p>
              </w:tc>
              <w:tc>
                <w:tcPr>
                  <w:tcW w:w="8765" w:type="dxa"/>
                  <w:tcBorders>
                    <w:tl2br w:val="nil"/>
                    <w:tr2bl w:val="nil"/>
                  </w:tcBorders>
                  <w:vAlign w:val="center"/>
                </w:tcPr>
                <w:p w14:paraId="5A379607">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1.推进实行特别排放限值和超低排放。新、改、扩建环评项目执行大气污染物特别排放限值，其中城市建成区燃煤锅炉项目大气污染物排放浓度要求满足超低排放要求（在基准氧含量6%条件下，烟尘、二氧化硫、氮氧化物排放浓度不得高于10、35、50毫克/立方米）。</w:t>
                  </w:r>
                </w:p>
                <w:p w14:paraId="7D5C5D3D">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2.加快推动实施钢铁等行业超低排放改造，对废气进行收集处理。强化工业企业无组织排放管控，开展钢铁、建材、火电、铸造等重点行业及燃煤锅炉无组织排放排查，建立管理台账，对物料（含废渣）运输、装卸、储存、转移和工艺过程等无组织排放实施深度治理。</w:t>
                  </w:r>
                </w:p>
                <w:p w14:paraId="257A73A5">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3.加大不达标工业炉窑淘汰力度，加快淘汰中小型煤气发生炉。加大落后燃煤锅炉和燃煤小热电退出力度，推动以工业余热、电厂余热、清洁能源等替代煤炭 供热（蒸汽）。</w:t>
                  </w:r>
                </w:p>
                <w:p w14:paraId="6F4526B1">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4.深入推进碳达峰行动。以钢铁、有色金属建材、石化、化工等行业为重点，推动以二氧化碳为主的温室气体减排，严格落实省下达的碳排放达峰行动目标。实施大气减污降碳协同增效行动。</w:t>
                  </w:r>
                </w:p>
                <w:p w14:paraId="60F05871">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5.水环境质量目标要完成省级控制指标。到2025年全市河流水质(Ⅲ类及以上水质）优良比例达100%以上，城市建成区黑臭水体得到消除，城市集中式饮用水水源地水质优良比例达100%，全市地下水水质不下降。到2035年，全市河流水质优良比例进一步提高，巩固城市黑臭水体治理成果，巩固城市集中式饮用水水源地水质优良比例成果，全市地下水质量不下降。2025年区域内水环境污染物COD和氨氮排放量较 2020年下降，2035年COD和氨氮排放量进一步下降。</w:t>
                  </w:r>
                </w:p>
                <w:p w14:paraId="3E3F9562">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6.大气环境质量目标要完成省级控制指标。2025年PM</w:t>
                  </w:r>
                  <w:r>
                    <w:rPr>
                      <w:color w:val="000000" w:themeColor="text1"/>
                      <w:szCs w:val="18"/>
                      <w:vertAlign w:val="subscript"/>
                      <w14:textFill>
                        <w14:solidFill>
                          <w14:schemeClr w14:val="tx1"/>
                        </w14:solidFill>
                      </w14:textFill>
                    </w:rPr>
                    <w:t>2.5</w:t>
                  </w:r>
                  <w:r>
                    <w:rPr>
                      <w:color w:val="000000" w:themeColor="text1"/>
                      <w:szCs w:val="18"/>
                      <w14:textFill>
                        <w14:solidFill>
                          <w14:schemeClr w14:val="tx1"/>
                        </w14:solidFill>
                      </w14:textFill>
                    </w:rPr>
                    <w:t>平均浓度达到35ug/m</w:t>
                  </w:r>
                  <w:r>
                    <w:rPr>
                      <w:color w:val="000000" w:themeColor="text1"/>
                      <w:szCs w:val="18"/>
                      <w:vertAlign w:val="superscript"/>
                      <w14:textFill>
                        <w14:solidFill>
                          <w14:schemeClr w14:val="tx1"/>
                        </w14:solidFill>
                      </w14:textFill>
                    </w:rPr>
                    <w:t>3</w:t>
                  </w:r>
                  <w:r>
                    <w:rPr>
                      <w:color w:val="000000" w:themeColor="text1"/>
                      <w:szCs w:val="18"/>
                      <w14:textFill>
                        <w14:solidFill>
                          <w14:schemeClr w14:val="tx1"/>
                        </w14:solidFill>
                      </w14:textFill>
                    </w:rPr>
                    <w:t>的目标，2035年空气质量进一步得到改善。2025年区域内大气环境污染物二氧化硫、氮氧化物、细颗粒物、VOCs排放量较2020年减少，2035年大气环境污染物排放量进一步减少。</w:t>
                  </w:r>
                </w:p>
                <w:p w14:paraId="5E2F4E06">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7.产生一般工业固体废物或危险废物的单位必须建立产生、收集、贮存、运输、利用、处置全过程管理台账，且保存期限不少于5 年。</w:t>
                  </w:r>
                </w:p>
                <w:p w14:paraId="48B3F3F6">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18"/>
                      <w14:textFill>
                        <w14:solidFill>
                          <w14:schemeClr w14:val="tx1"/>
                        </w14:solidFill>
                      </w14:textFill>
                    </w:rPr>
                    <w:t>8.国控点位地下水监测点位达到或优于地下水环境质量V类水质要求。</w:t>
                  </w:r>
                </w:p>
              </w:tc>
              <w:tc>
                <w:tcPr>
                  <w:tcW w:w="2661" w:type="dxa"/>
                  <w:tcBorders>
                    <w:tl2br w:val="nil"/>
                    <w:tr2bl w:val="nil"/>
                  </w:tcBorders>
                  <w:vAlign w:val="center"/>
                </w:tcPr>
                <w:p w14:paraId="1FF7827C">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1.本项目不涉及燃煤锅炉。</w:t>
                  </w:r>
                </w:p>
                <w:p w14:paraId="3662E5CF">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2.本项目不属于钢铁、火电、铸造等重点行业，不涉及燃煤锅炉，项目各个废气产污环节均采用合理有效的治理方式。</w:t>
                  </w:r>
                </w:p>
                <w:p w14:paraId="1538C12D">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3.本项目不涉及工业炉窑。</w:t>
                  </w:r>
                </w:p>
                <w:p w14:paraId="7C74D3A9">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4.本项目不属于钢铁、有色金属建材、石化、化工等行业。</w:t>
                  </w:r>
                </w:p>
                <w:p w14:paraId="454955C0">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5.本项目软水制备废水用于炉渣清理时洒水降尘，不外排；蒸汽发生器排污水经化粪池处理后排入峡河乡污水处理设施。</w:t>
                  </w:r>
                </w:p>
                <w:p w14:paraId="73A56ED9">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6.本项目废气为蒸汽发生器燃烧废气，蒸汽发生器配套低氮燃烧技术，蒸汽发生器废气经旋风除尘+布袋除尘处理后通过DA001排气筒排放，炉渣清理采取湿式作业，产生颗粒物较少，无组织排放，对周边大气环境影响较小。</w:t>
                  </w:r>
                </w:p>
                <w:p w14:paraId="6A5446D9">
                  <w:pPr>
                    <w:adjustRightInd w:val="0"/>
                    <w:snapToGrid w:val="0"/>
                    <w:spacing w:before="48" w:beforeLines="20" w:line="288" w:lineRule="auto"/>
                    <w:rPr>
                      <w:color w:val="000000" w:themeColor="text1"/>
                      <w:szCs w:val="18"/>
                      <w14:textFill>
                        <w14:solidFill>
                          <w14:schemeClr w14:val="tx1"/>
                        </w14:solidFill>
                      </w14:textFill>
                    </w:rPr>
                  </w:pPr>
                  <w:r>
                    <w:rPr>
                      <w:color w:val="000000" w:themeColor="text1"/>
                      <w:szCs w:val="21"/>
                      <w14:textFill>
                        <w14:solidFill>
                          <w14:schemeClr w14:val="tx1"/>
                        </w14:solidFill>
                      </w14:textFill>
                    </w:rPr>
                    <w:t>7.本项目固体废物按要求建立保存</w:t>
                  </w:r>
                  <w:r>
                    <w:rPr>
                      <w:color w:val="000000" w:themeColor="text1"/>
                      <w:szCs w:val="18"/>
                      <w14:textFill>
                        <w14:solidFill>
                          <w14:schemeClr w14:val="tx1"/>
                        </w14:solidFill>
                      </w14:textFill>
                    </w:rPr>
                    <w:t>产生、收集、贮存、运输、利用、处置全过程管理台账。</w:t>
                  </w:r>
                </w:p>
                <w:p w14:paraId="514A805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18"/>
                      <w14:textFill>
                        <w14:solidFill>
                          <w14:schemeClr w14:val="tx1"/>
                        </w14:solidFill>
                      </w14:textFill>
                    </w:rPr>
                    <w:t>8.本项目不涉及。</w:t>
                  </w:r>
                </w:p>
              </w:tc>
              <w:tc>
                <w:tcPr>
                  <w:tcW w:w="613" w:type="dxa"/>
                  <w:tcBorders>
                    <w:tl2br w:val="nil"/>
                    <w:tr2bl w:val="nil"/>
                  </w:tcBorders>
                  <w:vAlign w:val="center"/>
                </w:tcPr>
                <w:p w14:paraId="3FA9B87A">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7143C0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Borders>
                    <w:tl2br w:val="nil"/>
                    <w:tr2bl w:val="nil"/>
                  </w:tcBorders>
                  <w:vAlign w:val="center"/>
                </w:tcPr>
                <w:p w14:paraId="5101BD25">
                  <w:pPr>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环境风险防控</w:t>
                  </w:r>
                </w:p>
              </w:tc>
              <w:tc>
                <w:tcPr>
                  <w:tcW w:w="8765" w:type="dxa"/>
                  <w:tcBorders>
                    <w:tl2br w:val="nil"/>
                    <w:tr2bl w:val="nil"/>
                  </w:tcBorders>
                  <w:vAlign w:val="center"/>
                </w:tcPr>
                <w:p w14:paraId="53529D26">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1.严控土壤污染风险，对有色金属矿采选、有色金属冶炼、石油加工、化工、电镀等土壤污染高风险行业企业高度监管。新(改、扩)建涉及有毒有害物质可能造成土壤污染的建设项目，提出并落实土壤和地下水污染防治要求。</w:t>
                  </w:r>
                </w:p>
                <w:p w14:paraId="4F830D6E">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2.定期评估饮用水水源保护区、沿河（湖、库）工业企业、工业聚集区环境和健康风险，落实防控措施。评估现有化学物质环境和健康风险，按照国家公布的优先控制目录，严格限制其生产、使用和排放，并逐步淘汰替代。</w:t>
                  </w:r>
                </w:p>
                <w:p w14:paraId="356A51F9">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3.提高危险废物处置利用企业准入标准，推动产业升级，逐步淘汰规模小、工艺水平低的企业。</w:t>
                  </w:r>
                </w:p>
                <w:p w14:paraId="7D494E27">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4.饮用水水源保护区内：尾矿库企业要建立完善在线安全监测系统，湿排尾矿库要实现对浸润线、库水位等在线监测和重要部位视频监控。</w:t>
                  </w:r>
                </w:p>
                <w:p w14:paraId="45623020">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5.对土壤污染状况普查、详查和监测、现场检查表明有土壤污染风险的建设用地地块，土地使用权人按照规定进行土壤污染状况调查。用途变更为住宅、公共管理与公共服务用地的，变更前应当按照规定进行土壤污染状况调查。</w:t>
                  </w:r>
                </w:p>
                <w:p w14:paraId="045260DA">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6.土壤重点监管单位新、改、扩建项目，应当在开展建设项目环境影响评价时，按照国家有关技术规范开展工矿用地土壤和地下水环境现状调查，编制调查报告，并按规定上报环境影响评价基础数据库。</w:t>
                  </w:r>
                </w:p>
                <w:p w14:paraId="6D2C8A23">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7.土壤和地下水重点监管单位应严格控制有毒有害物质排放，并按年度向生态环境主管部门报告排放情况。土壤重点监管单位应建立土壤污染隐患排查制度，保证持续有效防止有毒有害物质渗漏、流失、扬散。土壤和地下水重点监管单位应制定、实施自行监测方案，并将监测数据报生态环境主管部门。</w:t>
                  </w:r>
                </w:p>
                <w:p w14:paraId="2CC26670">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8.新(改、扩)建涉及有毒有害物质可能造成土壤污染的建设项目，提出并落实土壤和地下水污染防治要求。</w:t>
                  </w:r>
                </w:p>
                <w:p w14:paraId="39C73DA4">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9.永久基本农田集中区域禁止规划新建可能造成土壤污染的建设项目。</w:t>
                  </w:r>
                </w:p>
                <w:p w14:paraId="54033282">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18"/>
                      <w14:textFill>
                        <w14:solidFill>
                          <w14:schemeClr w14:val="tx1"/>
                        </w14:solidFill>
                      </w14:textFill>
                    </w:rPr>
                    <w:t>10.严禁未依法完成土壤污染状况调查和风险评估以及未达到风险管控和修复目标的地块开工建设。</w:t>
                  </w:r>
                </w:p>
              </w:tc>
              <w:tc>
                <w:tcPr>
                  <w:tcW w:w="2661" w:type="dxa"/>
                  <w:tcBorders>
                    <w:tl2br w:val="nil"/>
                    <w:tr2bl w:val="nil"/>
                  </w:tcBorders>
                  <w:vAlign w:val="center"/>
                </w:tcPr>
                <w:p w14:paraId="1CED0770">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1.本项目不属于有色金属矿采选、有色金属冶炼、石油加工、化工、电镀等土壤污染高风险行业企业。</w:t>
                  </w:r>
                </w:p>
                <w:p w14:paraId="46E179FD">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2.本项目不在饮用水水源保护区内，不涉及化学物质生产、使用和排放。</w:t>
                  </w:r>
                </w:p>
                <w:p w14:paraId="6184FE3B">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3.本项目不属于危险废物处置利用企业。</w:t>
                  </w:r>
                </w:p>
                <w:p w14:paraId="6D128CE2">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4.本项目不属于尾矿库企业。</w:t>
                  </w:r>
                </w:p>
                <w:p w14:paraId="0D06825D">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5.本项目用地性质为工业用地，无土壤污染风险。</w:t>
                  </w:r>
                </w:p>
                <w:p w14:paraId="667E027D">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6.本项目不涉及。</w:t>
                  </w:r>
                </w:p>
                <w:p w14:paraId="10D774E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7.本项目不属于土壤和地下水重点监管单位。</w:t>
                  </w:r>
                </w:p>
                <w:p w14:paraId="3EE371DE">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8.本项目为生物质蒸汽发生器建设项目，不涉及有毒有害物质。</w:t>
                  </w:r>
                </w:p>
                <w:p w14:paraId="4BE67CA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9.本项目为生物质蒸汽发生器建设项目，厂区内均按要求进行分区防渗，不属于可能造成土壤污染的建设项目。</w:t>
                  </w:r>
                </w:p>
                <w:p w14:paraId="7537BB50">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10.本项目不涉及。</w:t>
                  </w:r>
                </w:p>
              </w:tc>
              <w:tc>
                <w:tcPr>
                  <w:tcW w:w="613" w:type="dxa"/>
                  <w:tcBorders>
                    <w:tl2br w:val="nil"/>
                    <w:tr2bl w:val="nil"/>
                  </w:tcBorders>
                  <w:vAlign w:val="center"/>
                </w:tcPr>
                <w:p w14:paraId="2F29F8B1">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451D1B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Borders>
                    <w:tl2br w:val="nil"/>
                    <w:tr2bl w:val="nil"/>
                  </w:tcBorders>
                  <w:vAlign w:val="center"/>
                </w:tcPr>
                <w:p w14:paraId="2D329A57">
                  <w:pPr>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资源开发效率要求</w:t>
                  </w:r>
                </w:p>
              </w:tc>
              <w:tc>
                <w:tcPr>
                  <w:tcW w:w="8765" w:type="dxa"/>
                  <w:tcBorders>
                    <w:tl2br w:val="nil"/>
                    <w:tr2bl w:val="nil"/>
                  </w:tcBorders>
                  <w:vAlign w:val="center"/>
                </w:tcPr>
                <w:p w14:paraId="60B663E0">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1.到2025年，全市生产总值能耗比2020年下降，煤炭占能源消费总量比重下降，电煤占煤炭消费量比重提高，非石化能源消费占能源消费总量比重提高，天然气消费比重提高。新生产燃煤工业锅炉效率和燃气锅炉效率提高。</w:t>
                  </w:r>
                </w:p>
                <w:p w14:paraId="339010E2">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2.到2025年，单位地区生产总值二氧化碳排放比2020年下降确保完成辽宁省下达指标。</w:t>
                  </w:r>
                </w:p>
                <w:p w14:paraId="0127F010">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3.除依据城市供热专项规划确需保留的供暖锅炉以外，城市建成区20蒸吨/小时（或14兆瓦）及以下燃煤锅炉全部予以淘汰。</w:t>
                  </w:r>
                </w:p>
                <w:p w14:paraId="06F49E1D">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4.禁燃区内不得新建、扩建高污染燃料燃用设施，对于禁燃区内现有的高污染燃料燃用设施，应按照市、区政府规定的期限予以拆除或者改用天然气、液化石油气、电等清洁能源。禁燃区内禁止销售、使用高污染燃料，包括除单台出力大于等于20蒸吨/小时锅炉以外燃用的煤炭及其制品；石油焦、油页岩、原油、重油、渣油、煤焦油。对于新建、扩建燃用高污染燃料设施，销售、燃用高污染燃料以及超标排放大气污染物的，由生态环境、市场监管等部门依法查处。</w:t>
                  </w:r>
                </w:p>
                <w:p w14:paraId="774B34AA">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5.2025年区域用水总量比2020年减少，农田灌溉水有效利用系数高于0.587，万元工业增加值用水量比2020年降低，万元GDP用水量比2020年降低。</w:t>
                  </w:r>
                </w:p>
                <w:p w14:paraId="7BF89949">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6.严禁未依法完成土壤污染状况调查和风险评估以及未达到风险管控和修复目标的地块开工建设。</w:t>
                  </w:r>
                </w:p>
                <w:p w14:paraId="78FAAF79">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18"/>
                      <w14:textFill>
                        <w14:solidFill>
                          <w14:schemeClr w14:val="tx1"/>
                        </w14:solidFill>
                      </w14:textFill>
                    </w:rPr>
                    <w:t>7.永久基本农田集中区域禁止规划新建可能造成土壤污染的建设项目。</w:t>
                  </w:r>
                </w:p>
              </w:tc>
              <w:tc>
                <w:tcPr>
                  <w:tcW w:w="2661" w:type="dxa"/>
                  <w:tcBorders>
                    <w:tl2br w:val="nil"/>
                    <w:tr2bl w:val="nil"/>
                  </w:tcBorders>
                  <w:vAlign w:val="center"/>
                </w:tcPr>
                <w:p w14:paraId="23D67F4C">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1.本项目使用燃料为生物质燃料，燃料消耗量较少。</w:t>
                  </w:r>
                </w:p>
                <w:p w14:paraId="4DEBF85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2.本项目不涉及煤炭使用。</w:t>
                  </w:r>
                </w:p>
                <w:p w14:paraId="0E9D73D2">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3.本次建设1台2.5t/h生物质蒸汽发生器，作为食用菌漂烫工序热源，不属于予以淘汰类锅炉。</w:t>
                  </w:r>
                </w:p>
                <w:p w14:paraId="42E92F99">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4.本项目位置不属于禁燃区。</w:t>
                  </w:r>
                </w:p>
                <w:p w14:paraId="4184F498">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5.本项目不新增生活污水，蒸汽发生器排污水经化粪池处理后排入峡河乡污水处理设施；软水制备废水用于炉渣清理时洒水降尘，不外排。</w:t>
                  </w:r>
                </w:p>
                <w:p w14:paraId="4805D0B0">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6.本项目不涉及。</w:t>
                  </w:r>
                </w:p>
                <w:p w14:paraId="5A7FAFB1">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7.本项目不涉及。</w:t>
                  </w:r>
                </w:p>
              </w:tc>
              <w:tc>
                <w:tcPr>
                  <w:tcW w:w="613" w:type="dxa"/>
                  <w:tcBorders>
                    <w:tl2br w:val="nil"/>
                    <w:tr2bl w:val="nil"/>
                  </w:tcBorders>
                  <w:vAlign w:val="center"/>
                </w:tcPr>
                <w:p w14:paraId="3A0741F3">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bl>
          <w:p w14:paraId="3F0CBB51">
            <w:pPr>
              <w:autoSpaceDE w:val="0"/>
              <w:autoSpaceDN w:val="0"/>
              <w:adjustRightInd w:val="0"/>
              <w:snapToGrid w:val="0"/>
              <w:spacing w:before="120" w:beforeLines="5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表1-3  本项目与抚顺县生态环境管控基本要求的符合性分析一览表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591"/>
              <w:gridCol w:w="6310"/>
              <w:gridCol w:w="3190"/>
              <w:gridCol w:w="741"/>
            </w:tblGrid>
            <w:tr w14:paraId="5C815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72" w:type="dxa"/>
                  <w:gridSpan w:val="3"/>
                  <w:tcBorders>
                    <w:tl2br w:val="nil"/>
                    <w:tr2bl w:val="nil"/>
                  </w:tcBorders>
                  <w:vAlign w:val="center"/>
                </w:tcPr>
                <w:p w14:paraId="3F9A09C4">
                  <w:pPr>
                    <w:spacing w:before="48" w:beforeLines="20" w:line="288" w:lineRule="auto"/>
                    <w:ind w:left="-99" w:leftChars="-47" w:right="-94" w:rightChars="-45"/>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管控要求</w:t>
                  </w:r>
                </w:p>
              </w:tc>
              <w:tc>
                <w:tcPr>
                  <w:tcW w:w="3190" w:type="dxa"/>
                  <w:tcBorders>
                    <w:tl2br w:val="nil"/>
                    <w:tr2bl w:val="nil"/>
                  </w:tcBorders>
                  <w:vAlign w:val="center"/>
                </w:tcPr>
                <w:p w14:paraId="58898868">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项目情况</w:t>
                  </w:r>
                </w:p>
              </w:tc>
              <w:tc>
                <w:tcPr>
                  <w:tcW w:w="741" w:type="dxa"/>
                  <w:tcBorders>
                    <w:tl2br w:val="nil"/>
                    <w:tr2bl w:val="nil"/>
                  </w:tcBorders>
                  <w:vAlign w:val="center"/>
                </w:tcPr>
                <w:p w14:paraId="76449B5E">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p w14:paraId="15E064EC">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情况</w:t>
                  </w:r>
                </w:p>
              </w:tc>
            </w:tr>
            <w:tr w14:paraId="4C5BE4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restart"/>
                  <w:tcBorders>
                    <w:tl2br w:val="nil"/>
                    <w:tr2bl w:val="nil"/>
                  </w:tcBorders>
                  <w:vAlign w:val="center"/>
                </w:tcPr>
                <w:p w14:paraId="5A530986">
                  <w:pPr>
                    <w:widowControl/>
                    <w:spacing w:before="48" w:beforeLines="20" w:line="288" w:lineRule="auto"/>
                    <w:ind w:left="-105" w:leftChars="-50" w:right="-105" w:rightChars="-50"/>
                    <w:jc w:val="center"/>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空间布局约束</w:t>
                  </w:r>
                </w:p>
              </w:tc>
              <w:tc>
                <w:tcPr>
                  <w:tcW w:w="1591" w:type="dxa"/>
                  <w:tcBorders>
                    <w:tl2br w:val="nil"/>
                    <w:tr2bl w:val="nil"/>
                  </w:tcBorders>
                  <w:vAlign w:val="center"/>
                </w:tcPr>
                <w:p w14:paraId="79BEDE0E">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禁止开发建设活动的要求</w:t>
                  </w:r>
                </w:p>
              </w:tc>
              <w:tc>
                <w:tcPr>
                  <w:tcW w:w="6310" w:type="dxa"/>
                  <w:tcBorders>
                    <w:tl2br w:val="nil"/>
                    <w:tr2bl w:val="nil"/>
                  </w:tcBorders>
                </w:tcPr>
                <w:p w14:paraId="2A406D97">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执行辽宁省“ 三线一单”各类空间管控要求及抚顺市总体准入要求；生态保护红线和风景名胜区、森林公园、自然保护区、水源地、重要湿地、湿地公园等各类保护地要严格按照《生态保护红线管理办法》《风景名胜区条例》《辽宁省风景名胜保护管理暂行条例》《中华人民共和国水污染防治法》《辽宁省大伙房饮用水水源保护条例》(2020年3月30日第二次修正)《国家湿地公园管理办法》《辽宁省省级湿地公园管理办法（试行）》《中华人民共和</w:t>
                  </w:r>
                  <w:bookmarkStart w:id="34" w:name="_GoBack"/>
                  <w:bookmarkEnd w:id="34"/>
                  <w:r>
                    <w:rPr>
                      <w:color w:val="000000" w:themeColor="text1"/>
                      <w:szCs w:val="21"/>
                      <w14:textFill>
                        <w14:solidFill>
                          <w14:schemeClr w14:val="tx1"/>
                        </w14:solidFill>
                      </w14:textFill>
                    </w:rPr>
                    <w:t>国自然保护区条例》《辽宁省林业厅关于加强自然保护区建设和管理工作的通知》（辽林办字[2008]113号）、《中华人民共和国自然保护区条例》（2017年10月7日修订）等进行管控。</w:t>
                  </w:r>
                </w:p>
              </w:tc>
              <w:tc>
                <w:tcPr>
                  <w:tcW w:w="3190" w:type="dxa"/>
                  <w:tcBorders>
                    <w:tl2br w:val="nil"/>
                    <w:tr2bl w:val="nil"/>
                  </w:tcBorders>
                  <w:shd w:val="clear" w:color="auto" w:fill="auto"/>
                  <w:vAlign w:val="center"/>
                </w:tcPr>
                <w:p w14:paraId="2C27FCEC">
                  <w:pPr>
                    <w:spacing w:before="48" w:beforeLines="20" w:line="288" w:lineRule="auto"/>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color w:val="000000" w:themeColor="text1"/>
                      <w:szCs w:val="21"/>
                      <w14:textFill>
                        <w14:solidFill>
                          <w14:schemeClr w14:val="tx1"/>
                        </w14:solidFill>
                      </w14:textFill>
                    </w:rPr>
                    <w:t>本项目执行辽宁省“三线一单”各类空间管控要求及抚顺市总体准入要求</w:t>
                  </w:r>
                  <w:r>
                    <w:rPr>
                      <w:color w:val="000000" w:themeColor="text1"/>
                      <w:szCs w:val="18"/>
                      <w14:textFill>
                        <w14:solidFill>
                          <w14:schemeClr w14:val="tx1"/>
                        </w14:solidFill>
                      </w14:textFill>
                    </w:rPr>
                    <w:t>。</w:t>
                  </w:r>
                </w:p>
                <w:p w14:paraId="609D83B1">
                  <w:pPr>
                    <w:pStyle w:val="141"/>
                    <w:spacing w:before="48" w:beforeLines="20" w:line="288" w:lineRule="auto"/>
                    <w:jc w:val="both"/>
                    <w:rPr>
                      <w:color w:val="000000" w:themeColor="text1"/>
                      <w14:textFill>
                        <w14:solidFill>
                          <w14:schemeClr w14:val="tx1"/>
                        </w14:solidFill>
                      </w14:textFill>
                    </w:rPr>
                  </w:pPr>
                  <w:r>
                    <w:rPr>
                      <w:color w:val="000000" w:themeColor="text1"/>
                      <w:szCs w:val="18"/>
                      <w14:textFill>
                        <w14:solidFill>
                          <w14:schemeClr w14:val="tx1"/>
                        </w14:solidFill>
                      </w14:textFill>
                    </w:rPr>
                    <w:t>2.</w:t>
                  </w:r>
                  <w:r>
                    <w:rPr>
                      <w:color w:val="000000" w:themeColor="text1"/>
                      <w14:textFill>
                        <w14:solidFill>
                          <w14:schemeClr w14:val="tx1"/>
                        </w14:solidFill>
                      </w14:textFill>
                    </w:rPr>
                    <w:t>本项目不涉及生态保护红线和各类自然保护地和风景名胜区、森林公园、自然保护区、水源地、重要湿地、湿地公园、水产种质资源保护区等</w:t>
                  </w:r>
                  <w:r>
                    <w:rPr>
                      <w:color w:val="000000" w:themeColor="text1"/>
                      <w:szCs w:val="18"/>
                      <w14:textFill>
                        <w14:solidFill>
                          <w14:schemeClr w14:val="tx1"/>
                        </w14:solidFill>
                      </w14:textFill>
                    </w:rPr>
                    <w:t>。</w:t>
                  </w:r>
                </w:p>
              </w:tc>
              <w:tc>
                <w:tcPr>
                  <w:tcW w:w="741" w:type="dxa"/>
                  <w:tcBorders>
                    <w:tl2br w:val="nil"/>
                    <w:tr2bl w:val="nil"/>
                  </w:tcBorders>
                  <w:vAlign w:val="center"/>
                </w:tcPr>
                <w:p w14:paraId="423E6ED7">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tc>
            </w:tr>
            <w:tr w14:paraId="705D50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continue"/>
                  <w:tcBorders>
                    <w:tl2br w:val="nil"/>
                    <w:tr2bl w:val="nil"/>
                  </w:tcBorders>
                  <w:vAlign w:val="center"/>
                </w:tcPr>
                <w:p w14:paraId="7F821FD1">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p>
              </w:tc>
              <w:tc>
                <w:tcPr>
                  <w:tcW w:w="1591" w:type="dxa"/>
                  <w:tcBorders>
                    <w:tl2br w:val="nil"/>
                    <w:tr2bl w:val="nil"/>
                  </w:tcBorders>
                  <w:vAlign w:val="center"/>
                </w:tcPr>
                <w:p w14:paraId="13147A3C">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限制开发建设活动的要求</w:t>
                  </w:r>
                </w:p>
              </w:tc>
              <w:tc>
                <w:tcPr>
                  <w:tcW w:w="6310" w:type="dxa"/>
                  <w:tcBorders>
                    <w:tl2br w:val="nil"/>
                    <w:tr2bl w:val="nil"/>
                  </w:tcBorders>
                </w:tcPr>
                <w:p w14:paraId="4EEF2EBF">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执行辽宁省“三线一单”各类空间管控要求及抚顺市总体准入要求</w:t>
                  </w:r>
                </w:p>
              </w:tc>
              <w:tc>
                <w:tcPr>
                  <w:tcW w:w="3190" w:type="dxa"/>
                  <w:tcBorders>
                    <w:tl2br w:val="nil"/>
                    <w:tr2bl w:val="nil"/>
                  </w:tcBorders>
                  <w:shd w:val="clear" w:color="auto" w:fill="auto"/>
                  <w:vAlign w:val="center"/>
                </w:tcPr>
                <w:p w14:paraId="0FC908B1">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1.执行辽宁省“三线一单”各类空间管控要求及抚顺市总体准入要求。</w:t>
                  </w:r>
                </w:p>
              </w:tc>
              <w:tc>
                <w:tcPr>
                  <w:tcW w:w="741" w:type="dxa"/>
                  <w:tcBorders>
                    <w:tl2br w:val="nil"/>
                    <w:tr2bl w:val="nil"/>
                  </w:tcBorders>
                  <w:vAlign w:val="center"/>
                </w:tcPr>
                <w:p w14:paraId="6DEE707D">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tc>
            </w:tr>
            <w:tr w14:paraId="76F78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continue"/>
                  <w:tcBorders>
                    <w:tl2br w:val="nil"/>
                    <w:tr2bl w:val="nil"/>
                  </w:tcBorders>
                  <w:vAlign w:val="center"/>
                </w:tcPr>
                <w:p w14:paraId="5C722963">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p>
              </w:tc>
              <w:tc>
                <w:tcPr>
                  <w:tcW w:w="1591" w:type="dxa"/>
                  <w:tcBorders>
                    <w:tl2br w:val="nil"/>
                    <w:tr2bl w:val="nil"/>
                  </w:tcBorders>
                  <w:vAlign w:val="center"/>
                </w:tcPr>
                <w:p w14:paraId="2461E468">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允许开发建设活动的要求</w:t>
                  </w:r>
                </w:p>
              </w:tc>
              <w:tc>
                <w:tcPr>
                  <w:tcW w:w="6310" w:type="dxa"/>
                  <w:tcBorders>
                    <w:tl2br w:val="nil"/>
                    <w:tr2bl w:val="nil"/>
                  </w:tcBorders>
                </w:tcPr>
                <w:p w14:paraId="05C63C57">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在不损害生态系统功能的前提下，适度发展旅游、农林牧产品生产和加工、生态农业、休闲农业等产业。</w:t>
                  </w:r>
                </w:p>
              </w:tc>
              <w:tc>
                <w:tcPr>
                  <w:tcW w:w="3190" w:type="dxa"/>
                  <w:tcBorders>
                    <w:tl2br w:val="nil"/>
                    <w:tr2bl w:val="nil"/>
                  </w:tcBorders>
                  <w:shd w:val="clear" w:color="auto" w:fill="auto"/>
                  <w:vAlign w:val="center"/>
                </w:tcPr>
                <w:p w14:paraId="1D0F8EF9">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14:textFill>
                        <w14:solidFill>
                          <w14:schemeClr w14:val="tx1"/>
                        </w14:solidFill>
                      </w14:textFill>
                    </w:rPr>
                    <w:t>本项目各类污染物均采取有效的处理措施，项目建成后不会损害当地生态系统功能。</w:t>
                  </w:r>
                </w:p>
              </w:tc>
              <w:tc>
                <w:tcPr>
                  <w:tcW w:w="741" w:type="dxa"/>
                  <w:tcBorders>
                    <w:tl2br w:val="nil"/>
                    <w:tr2bl w:val="nil"/>
                  </w:tcBorders>
                  <w:vAlign w:val="center"/>
                </w:tcPr>
                <w:p w14:paraId="5285778E">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tc>
            </w:tr>
            <w:tr w14:paraId="1CFAA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continue"/>
                  <w:tcBorders>
                    <w:tl2br w:val="nil"/>
                    <w:tr2bl w:val="nil"/>
                  </w:tcBorders>
                  <w:vAlign w:val="center"/>
                </w:tcPr>
                <w:p w14:paraId="347641EB">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p>
              </w:tc>
              <w:tc>
                <w:tcPr>
                  <w:tcW w:w="1591" w:type="dxa"/>
                  <w:tcBorders>
                    <w:tl2br w:val="nil"/>
                    <w:tr2bl w:val="nil"/>
                  </w:tcBorders>
                  <w:vAlign w:val="center"/>
                </w:tcPr>
                <w:p w14:paraId="15B6021C">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不符合空间布局要求活动的退出要求</w:t>
                  </w:r>
                </w:p>
              </w:tc>
              <w:tc>
                <w:tcPr>
                  <w:tcW w:w="6310" w:type="dxa"/>
                  <w:tcBorders>
                    <w:tl2br w:val="nil"/>
                    <w:tr2bl w:val="nil"/>
                  </w:tcBorders>
                </w:tcPr>
                <w:p w14:paraId="51D7AC2A">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执行辽宁省“三线一单”各类空间管控要求及抚顺市总体准入要求；1. 全面取缔禁养区内规模化畜禽养殖场。2. 加快建成区重污染企业搬迁改造或关闭退出。市政府已明确的退城企业，要明确时间表，逾期不退城的予以停产。</w:t>
                  </w:r>
                </w:p>
              </w:tc>
              <w:tc>
                <w:tcPr>
                  <w:tcW w:w="3190" w:type="dxa"/>
                  <w:tcBorders>
                    <w:tl2br w:val="nil"/>
                    <w:tr2bl w:val="nil"/>
                  </w:tcBorders>
                  <w:shd w:val="clear" w:color="auto" w:fill="auto"/>
                  <w:vAlign w:val="center"/>
                </w:tcPr>
                <w:p w14:paraId="3406336E">
                  <w:pPr>
                    <w:spacing w:before="48" w:beforeLines="20" w:line="288" w:lineRule="auto"/>
                    <w:rPr>
                      <w:color w:val="000000" w:themeColor="text1"/>
                      <w14:textFill>
                        <w14:solidFill>
                          <w14:schemeClr w14:val="tx1"/>
                        </w14:solidFill>
                      </w14:textFill>
                    </w:rPr>
                  </w:pPr>
                  <w:r>
                    <w:rPr>
                      <w:color w:val="000000" w:themeColor="text1"/>
                      <w14:textFill>
                        <w14:solidFill>
                          <w14:schemeClr w14:val="tx1"/>
                        </w14:solidFill>
                      </w14:textFill>
                    </w:rPr>
                    <w:t>1.执行辽宁省“三线一单”各类空间管控要求及抚顺市总体准入要求。</w:t>
                  </w:r>
                </w:p>
                <w:p w14:paraId="4D846F4E">
                  <w:pPr>
                    <w:spacing w:before="48" w:beforeLines="20" w:line="288" w:lineRule="auto"/>
                    <w:rPr>
                      <w:color w:val="000000" w:themeColor="text1"/>
                      <w14:textFill>
                        <w14:solidFill>
                          <w14:schemeClr w14:val="tx1"/>
                        </w14:solidFill>
                      </w14:textFill>
                    </w:rPr>
                  </w:pPr>
                  <w:r>
                    <w:rPr>
                      <w:color w:val="000000" w:themeColor="text1"/>
                      <w14:textFill>
                        <w14:solidFill>
                          <w14:schemeClr w14:val="tx1"/>
                        </w14:solidFill>
                      </w14:textFill>
                    </w:rPr>
                    <w:t>2.本项目不属于畜禽养殖和重污染企业。</w:t>
                  </w:r>
                </w:p>
                <w:p w14:paraId="5207EDFD">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14:textFill>
                        <w14:solidFill>
                          <w14:schemeClr w14:val="tx1"/>
                        </w14:solidFill>
                      </w14:textFill>
                    </w:rPr>
                    <w:t>3.本项目不属于退城企业和重污染企业。</w:t>
                  </w:r>
                </w:p>
              </w:tc>
              <w:tc>
                <w:tcPr>
                  <w:tcW w:w="741" w:type="dxa"/>
                  <w:tcBorders>
                    <w:tl2br w:val="nil"/>
                    <w:tr2bl w:val="nil"/>
                  </w:tcBorders>
                  <w:vAlign w:val="center"/>
                </w:tcPr>
                <w:p w14:paraId="15D01DAE">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tc>
            </w:tr>
            <w:tr w14:paraId="6E2E78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restart"/>
                  <w:tcBorders>
                    <w:tl2br w:val="nil"/>
                    <w:tr2bl w:val="nil"/>
                  </w:tcBorders>
                  <w:vAlign w:val="center"/>
                </w:tcPr>
                <w:p w14:paraId="0B92775E">
                  <w:pPr>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污染物排放管控</w:t>
                  </w:r>
                </w:p>
              </w:tc>
              <w:tc>
                <w:tcPr>
                  <w:tcW w:w="1591" w:type="dxa"/>
                  <w:tcBorders>
                    <w:tl2br w:val="nil"/>
                    <w:tr2bl w:val="nil"/>
                  </w:tcBorders>
                  <w:vAlign w:val="center"/>
                </w:tcPr>
                <w:p w14:paraId="55ECB5CE">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现有源提标升级改造</w:t>
                  </w:r>
                </w:p>
              </w:tc>
              <w:tc>
                <w:tcPr>
                  <w:tcW w:w="6310" w:type="dxa"/>
                  <w:tcBorders>
                    <w:tl2br w:val="nil"/>
                    <w:tr2bl w:val="nil"/>
                  </w:tcBorders>
                </w:tcPr>
                <w:p w14:paraId="647591C4">
                  <w:pPr>
                    <w:numPr>
                      <w:ilvl w:val="0"/>
                      <w:numId w:val="4"/>
                    </w:num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推进实行特别排放限值和超低排放。</w:t>
                  </w:r>
                </w:p>
                <w:p w14:paraId="388AADC1">
                  <w:pPr>
                    <w:numPr>
                      <w:ilvl w:val="0"/>
                      <w:numId w:val="4"/>
                    </w:num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 强化工业企业无组织排放管控。开展铸造等重点行业及燃煤锅炉无组织排放排查，建立管理台账，对物 料（含废渣）运输、装卸、储存、转移和工艺过程等无组织排放实施深度治理。</w:t>
                  </w:r>
                </w:p>
                <w:p w14:paraId="6EEDA5B7">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3. 加大不达标工业炉窑淘汰力度，加快淘汰中小型煤气发生炉。</w:t>
                  </w:r>
                </w:p>
                <w:p w14:paraId="7D61F6F4">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4. 加快城镇污水处理设施建设与改造，城镇污水处理厂要全部达到《城镇污水处理厂污染物排放标准》一级 A 排放标准。现有城镇污水处理设 施，要因地制宜进行改造。</w:t>
                  </w:r>
                </w:p>
              </w:tc>
              <w:tc>
                <w:tcPr>
                  <w:tcW w:w="3190" w:type="dxa"/>
                  <w:tcBorders>
                    <w:tl2br w:val="nil"/>
                    <w:tr2bl w:val="nil"/>
                  </w:tcBorders>
                  <w:shd w:val="clear" w:color="auto" w:fill="auto"/>
                  <w:vAlign w:val="center"/>
                </w:tcPr>
                <w:p w14:paraId="102447A9">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1.本项目蒸汽发生器废气执行《锅炉大气污染物排放标准》（GB13271-2014）表3中燃煤锅炉特别排放限值要求。</w:t>
                  </w:r>
                </w:p>
                <w:p w14:paraId="71A34DE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2.本项目不属于建材、火电、铸造等重点行业，不涉及燃煤锅炉，项目各个废气产污环节均采用合理有效的治理方式。</w:t>
                  </w:r>
                </w:p>
                <w:p w14:paraId="485E890D">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3.本项目不涉及工业炉窑。</w:t>
                  </w:r>
                </w:p>
                <w:p w14:paraId="5BEB94C3">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4.本项目不新增生活污水，</w:t>
                  </w:r>
                  <w:r>
                    <w:rPr>
                      <w:rStyle w:val="64"/>
                      <w:color w:val="000000" w:themeColor="text1"/>
                      <w14:textFill>
                        <w14:solidFill>
                          <w14:schemeClr w14:val="tx1"/>
                        </w14:solidFill>
                      </w14:textFill>
                    </w:rPr>
                    <w:t>蒸汽发生器排污水经化粪池处理后排入峡河乡污水处理设施，</w:t>
                  </w:r>
                  <w:r>
                    <w:rPr>
                      <w:color w:val="000000" w:themeColor="text1"/>
                      <w14:textFill>
                        <w14:solidFill>
                          <w14:schemeClr w14:val="tx1"/>
                        </w14:solidFill>
                      </w14:textFill>
                    </w:rPr>
                    <w:t>满足污水处理厂入厂要求</w:t>
                  </w:r>
                  <w:r>
                    <w:rPr>
                      <w:rStyle w:val="64"/>
                      <w:color w:val="000000" w:themeColor="text1"/>
                      <w14:textFill>
                        <w14:solidFill>
                          <w14:schemeClr w14:val="tx1"/>
                        </w14:solidFill>
                      </w14:textFill>
                    </w:rPr>
                    <w:t>；</w:t>
                  </w:r>
                  <w:r>
                    <w:rPr>
                      <w:color w:val="000000" w:themeColor="text1"/>
                      <w14:textFill>
                        <w14:solidFill>
                          <w14:schemeClr w14:val="tx1"/>
                        </w14:solidFill>
                      </w14:textFill>
                    </w:rPr>
                    <w:t>软水制备废水用于炉渣清理时洒水降尘，不外排。</w:t>
                  </w:r>
                </w:p>
              </w:tc>
              <w:tc>
                <w:tcPr>
                  <w:tcW w:w="741" w:type="dxa"/>
                  <w:tcBorders>
                    <w:tl2br w:val="nil"/>
                    <w:tr2bl w:val="nil"/>
                  </w:tcBorders>
                  <w:vAlign w:val="center"/>
                </w:tcPr>
                <w:p w14:paraId="4B3E948F">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2B54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continue"/>
                  <w:tcBorders>
                    <w:tl2br w:val="nil"/>
                    <w:tr2bl w:val="nil"/>
                  </w:tcBorders>
                  <w:vAlign w:val="center"/>
                </w:tcPr>
                <w:p w14:paraId="491CC617">
                  <w:pPr>
                    <w:spacing w:before="48" w:beforeLines="20" w:line="288" w:lineRule="auto"/>
                    <w:ind w:left="-105" w:leftChars="-50" w:right="-105" w:rightChars="-50"/>
                    <w:jc w:val="center"/>
                    <w:rPr>
                      <w:color w:val="000000" w:themeColor="text1"/>
                      <w:szCs w:val="21"/>
                      <w14:textFill>
                        <w14:solidFill>
                          <w14:schemeClr w14:val="tx1"/>
                        </w14:solidFill>
                      </w14:textFill>
                    </w:rPr>
                  </w:pPr>
                </w:p>
              </w:tc>
              <w:tc>
                <w:tcPr>
                  <w:tcW w:w="1591" w:type="dxa"/>
                  <w:tcBorders>
                    <w:tl2br w:val="nil"/>
                    <w:tr2bl w:val="nil"/>
                  </w:tcBorders>
                  <w:vAlign w:val="center"/>
                </w:tcPr>
                <w:p w14:paraId="64999C29">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削减排放量</w:t>
                  </w:r>
                </w:p>
              </w:tc>
              <w:tc>
                <w:tcPr>
                  <w:tcW w:w="6310" w:type="dxa"/>
                  <w:tcBorders>
                    <w:tl2br w:val="nil"/>
                    <w:tr2bl w:val="nil"/>
                  </w:tcBorders>
                </w:tcPr>
                <w:p w14:paraId="22EE929A">
                  <w:pPr>
                    <w:numPr>
                      <w:ilvl w:val="0"/>
                      <w:numId w:val="5"/>
                    </w:num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水环境质量目标要完成市级控制指标。到 2025 年全市河流水质 (Ⅲ类及以上水质）优良比例达 100%以上，城市建成区黑臭水体得到消除，城市集中式饮用水水源地水质优良比例达 100% ，全市地下水水质不下降。到 2035 年，全市河流水质优良比例进一步提高，巩固城市黑臭水体  治理成果，巩固城市集中式饮用水水源地水质优良比例成果，全市地下水质量不下降。2025 年区域内水环境污染物 COD 和氨氮排放量较2020年下降，2035 年 COD 和氨氮排放量进一步下降。</w:t>
                  </w:r>
                </w:p>
                <w:p w14:paraId="2A32B47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 大气环境质量目标要完成市级控制指标。2025 年 PM</w:t>
                  </w:r>
                  <w:r>
                    <w:rPr>
                      <w:color w:val="000000" w:themeColor="text1"/>
                      <w:szCs w:val="21"/>
                      <w:vertAlign w:val="subscript"/>
                      <w14:textFill>
                        <w14:solidFill>
                          <w14:schemeClr w14:val="tx1"/>
                        </w14:solidFill>
                      </w14:textFill>
                    </w:rPr>
                    <w:t>2.5</w:t>
                  </w:r>
                  <w:r>
                    <w:rPr>
                      <w:color w:val="000000" w:themeColor="text1"/>
                      <w:szCs w:val="21"/>
                      <w14:textFill>
                        <w14:solidFill>
                          <w14:schemeClr w14:val="tx1"/>
                        </w14:solidFill>
                      </w14:textFill>
                    </w:rPr>
                    <w:t xml:space="preserve"> 平均浓度达到35ug/m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 xml:space="preserve"> 的目标，2035 年空气质量进一步得到改善。2025 年区域内大气环境污染物二氧化硫、氮氧化物、细颗粒物、VOCs 排放量较 2020 年减少，2035 年大气环境污 染物排放量进一步减少。3. 到 2025 年，化工行业、工业涂装 VOCs 排放量比2020 年减少，包装印刷行业 VOCs 排放量比2020 年减少。重点工程实施挥发性有机物减排。</w:t>
                  </w:r>
                </w:p>
                <w:p w14:paraId="69150DD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4. 到 2025 年重点行业的重点重金属排放量要比 2020 年下降。</w:t>
                  </w:r>
                </w:p>
              </w:tc>
              <w:tc>
                <w:tcPr>
                  <w:tcW w:w="3190" w:type="dxa"/>
                  <w:tcBorders>
                    <w:tl2br w:val="nil"/>
                    <w:tr2bl w:val="nil"/>
                  </w:tcBorders>
                  <w:shd w:val="clear" w:color="auto" w:fill="auto"/>
                  <w:vAlign w:val="center"/>
                </w:tcPr>
                <w:p w14:paraId="5C528E31">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w:t>
                  </w:r>
                  <w:r>
                    <w:rPr>
                      <w:rStyle w:val="64"/>
                      <w:color w:val="000000" w:themeColor="text1"/>
                      <w:szCs w:val="21"/>
                      <w14:textFill>
                        <w14:solidFill>
                          <w14:schemeClr w14:val="tx1"/>
                        </w14:solidFill>
                      </w14:textFill>
                    </w:rPr>
                    <w:t>蒸汽发生器排污水经化粪池处理后排入峡河乡污水处理设施；</w:t>
                  </w:r>
                  <w:r>
                    <w:rPr>
                      <w:color w:val="000000" w:themeColor="text1"/>
                      <w:szCs w:val="21"/>
                      <w14:textFill>
                        <w14:solidFill>
                          <w14:schemeClr w14:val="tx1"/>
                        </w14:solidFill>
                      </w14:textFill>
                    </w:rPr>
                    <w:t>软水制备废水用于炉渣清理时洒水降尘，不外排，对周围环境影响较小。</w:t>
                  </w:r>
                </w:p>
                <w:p w14:paraId="447636D9">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2.本项目所在地大气环境污染物满足相关标准。</w:t>
                  </w:r>
                </w:p>
                <w:p w14:paraId="0AE73B1E">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3.</w:t>
                  </w:r>
                  <w:r>
                    <w:rPr>
                      <w:color w:val="000000" w:themeColor="text1"/>
                      <w:szCs w:val="18"/>
                      <w14:textFill>
                        <w14:solidFill>
                          <w14:schemeClr w14:val="tx1"/>
                        </w14:solidFill>
                      </w14:textFill>
                    </w:rPr>
                    <w:t>本项目不涉及</w:t>
                  </w:r>
                  <w:r>
                    <w:rPr>
                      <w:color w:val="000000" w:themeColor="text1"/>
                      <w14:textFill>
                        <w14:solidFill>
                          <w14:schemeClr w14:val="tx1"/>
                        </w14:solidFill>
                      </w14:textFill>
                    </w:rPr>
                    <w:t>化工行业、工业涂装行业、包装印刷行业，不产生挥发性有机物，对周边环境影响较小</w:t>
                  </w:r>
                  <w:r>
                    <w:rPr>
                      <w:color w:val="000000" w:themeColor="text1"/>
                      <w:szCs w:val="18"/>
                      <w14:textFill>
                        <w14:solidFill>
                          <w14:schemeClr w14:val="tx1"/>
                        </w14:solidFill>
                      </w14:textFill>
                    </w:rPr>
                    <w:t>。</w:t>
                  </w:r>
                </w:p>
                <w:p w14:paraId="6126EB1A">
                  <w:pPr>
                    <w:adjustRightInd w:val="0"/>
                    <w:snapToGrid w:val="0"/>
                    <w:spacing w:before="48" w:beforeLines="20" w:line="288" w:lineRule="auto"/>
                    <w:rPr>
                      <w:color w:val="000000" w:themeColor="text1"/>
                      <w:szCs w:val="18"/>
                      <w14:textFill>
                        <w14:solidFill>
                          <w14:schemeClr w14:val="tx1"/>
                        </w14:solidFill>
                      </w14:textFill>
                    </w:rPr>
                  </w:pPr>
                  <w:r>
                    <w:rPr>
                      <w:color w:val="000000" w:themeColor="text1"/>
                      <w:szCs w:val="21"/>
                      <w14:textFill>
                        <w14:solidFill>
                          <w14:schemeClr w14:val="tx1"/>
                        </w14:solidFill>
                      </w14:textFill>
                    </w:rPr>
                    <w:t>4..本项目不涉及</w:t>
                  </w:r>
                </w:p>
              </w:tc>
              <w:tc>
                <w:tcPr>
                  <w:tcW w:w="741" w:type="dxa"/>
                  <w:tcBorders>
                    <w:tl2br w:val="nil"/>
                    <w:tr2bl w:val="nil"/>
                  </w:tcBorders>
                  <w:vAlign w:val="center"/>
                </w:tcPr>
                <w:p w14:paraId="55330DEB">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6F5C1E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continue"/>
                  <w:tcBorders>
                    <w:tl2br w:val="nil"/>
                    <w:tr2bl w:val="nil"/>
                  </w:tcBorders>
                  <w:vAlign w:val="center"/>
                </w:tcPr>
                <w:p w14:paraId="4E5FD43D">
                  <w:pPr>
                    <w:spacing w:before="48" w:beforeLines="20" w:line="288" w:lineRule="auto"/>
                    <w:ind w:left="-105" w:leftChars="-50" w:right="-105" w:rightChars="-50"/>
                    <w:jc w:val="center"/>
                    <w:rPr>
                      <w:color w:val="000000" w:themeColor="text1"/>
                      <w:szCs w:val="21"/>
                      <w14:textFill>
                        <w14:solidFill>
                          <w14:schemeClr w14:val="tx1"/>
                        </w14:solidFill>
                      </w14:textFill>
                    </w:rPr>
                  </w:pPr>
                </w:p>
              </w:tc>
              <w:tc>
                <w:tcPr>
                  <w:tcW w:w="1591" w:type="dxa"/>
                  <w:tcBorders>
                    <w:tl2br w:val="nil"/>
                    <w:tr2bl w:val="nil"/>
                  </w:tcBorders>
                  <w:vAlign w:val="center"/>
                </w:tcPr>
                <w:p w14:paraId="154CCEC7">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污染物排放绩效水平准入</w:t>
                  </w:r>
                </w:p>
              </w:tc>
              <w:tc>
                <w:tcPr>
                  <w:tcW w:w="6310" w:type="dxa"/>
                  <w:tcBorders>
                    <w:tl2br w:val="nil"/>
                    <w:tr2bl w:val="nil"/>
                  </w:tcBorders>
                </w:tcPr>
                <w:p w14:paraId="3E57E296">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 至 2025 年，城镇污水处理率和县城污水处理率较 2020 年明显提高。2. 大中型矿山达到绿色矿山标准，小型矿山按照绿色矿山标准规范发展； 加强矿山采选废水的处理和综合利用工作，选矿废水全部综合利用，不外排，采矿废水应尽量回用。3. 对县内矿产资源开发活动集中区域，适时 执行重点污染物特别排放限值。4. 到 2025 年，主要农作物化肥、农药使用量实现零增长，利用率较 2020 年明显提高，测土配方施肥技术推广覆 盖率提高，控制农村面源污染，采取灌排分离等措施控制农田氮磷流失。6. 建立健全废弃农膜回收贮运和综合利用网络，开展废弃农膜回收利用 试点；到 2025 年，实现废旧农膜全面回收利用。7. 到 2025 年，规模化养殖场、养殖小区配套建设废弃物处理设施比例较 2020 年明显提高。8.     到 2025 年，秸秆综合利用率较 2020 年明显提高。</w:t>
                  </w:r>
                </w:p>
              </w:tc>
              <w:tc>
                <w:tcPr>
                  <w:tcW w:w="3190" w:type="dxa"/>
                  <w:tcBorders>
                    <w:tl2br w:val="nil"/>
                    <w:tr2bl w:val="nil"/>
                  </w:tcBorders>
                  <w:shd w:val="clear" w:color="auto" w:fill="auto"/>
                  <w:vAlign w:val="center"/>
                </w:tcPr>
                <w:p w14:paraId="520EA0D8">
                  <w:pPr>
                    <w:pStyle w:val="141"/>
                    <w:spacing w:before="48" w:beforeLines="20" w:line="288" w:lineRule="auto"/>
                    <w:jc w:val="both"/>
                    <w:rPr>
                      <w:color w:val="000000" w:themeColor="text1"/>
                      <w:szCs w:val="18"/>
                      <w14:textFill>
                        <w14:solidFill>
                          <w14:schemeClr w14:val="tx1"/>
                        </w14:solidFill>
                      </w14:textFill>
                    </w:rPr>
                  </w:pPr>
                  <w:r>
                    <w:rPr>
                      <w:color w:val="000000" w:themeColor="text1"/>
                      <w:szCs w:val="18"/>
                      <w14:textFill>
                        <w14:solidFill>
                          <w14:schemeClr w14:val="tx1"/>
                        </w14:solidFill>
                      </w14:textFill>
                    </w:rPr>
                    <w:t>1.本项目</w:t>
                  </w:r>
                  <w:r>
                    <w:rPr>
                      <w:rStyle w:val="64"/>
                      <w:color w:val="000000" w:themeColor="text1"/>
                      <w14:textFill>
                        <w14:solidFill>
                          <w14:schemeClr w14:val="tx1"/>
                        </w14:solidFill>
                      </w14:textFill>
                    </w:rPr>
                    <w:t>蒸汽发生器排污水经化粪池处理后排入峡河乡污水处理设施；</w:t>
                  </w:r>
                  <w:r>
                    <w:rPr>
                      <w:color w:val="000000" w:themeColor="text1"/>
                      <w14:textFill>
                        <w14:solidFill>
                          <w14:schemeClr w14:val="tx1"/>
                        </w14:solidFill>
                      </w14:textFill>
                    </w:rPr>
                    <w:t>软水制备废水用于炉渣清理时洒水降尘，不外排</w:t>
                  </w:r>
                  <w:r>
                    <w:rPr>
                      <w:color w:val="000000" w:themeColor="text1"/>
                      <w:szCs w:val="18"/>
                      <w14:textFill>
                        <w14:solidFill>
                          <w14:schemeClr w14:val="tx1"/>
                        </w14:solidFill>
                      </w14:textFill>
                    </w:rPr>
                    <w:t>。</w:t>
                  </w:r>
                </w:p>
                <w:p w14:paraId="7D903678">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2.本项目不涉及</w:t>
                  </w:r>
                </w:p>
                <w:p w14:paraId="4ABD7781">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3.本项目不涉及</w:t>
                  </w:r>
                </w:p>
                <w:p w14:paraId="4DD02358">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4.本项目不涉及</w:t>
                  </w:r>
                </w:p>
                <w:p w14:paraId="1645590B">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5.本项目不涉及</w:t>
                  </w:r>
                </w:p>
                <w:p w14:paraId="5BB06E65">
                  <w:pPr>
                    <w:adjustRightInd w:val="0"/>
                    <w:snapToGrid w:val="0"/>
                    <w:spacing w:before="48" w:beforeLines="20" w:line="288" w:lineRule="auto"/>
                    <w:rPr>
                      <w:color w:val="000000" w:themeColor="text1"/>
                      <w:szCs w:val="18"/>
                      <w14:textFill>
                        <w14:solidFill>
                          <w14:schemeClr w14:val="tx1"/>
                        </w14:solidFill>
                      </w14:textFill>
                    </w:rPr>
                  </w:pPr>
                  <w:r>
                    <w:rPr>
                      <w:color w:val="000000" w:themeColor="text1"/>
                      <w:szCs w:val="21"/>
                      <w14:textFill>
                        <w14:solidFill>
                          <w14:schemeClr w14:val="tx1"/>
                        </w14:solidFill>
                      </w14:textFill>
                    </w:rPr>
                    <w:t>6.本项目不涉及</w:t>
                  </w:r>
                </w:p>
              </w:tc>
              <w:tc>
                <w:tcPr>
                  <w:tcW w:w="741" w:type="dxa"/>
                  <w:tcBorders>
                    <w:tl2br w:val="nil"/>
                    <w:tr2bl w:val="nil"/>
                  </w:tcBorders>
                  <w:vAlign w:val="center"/>
                </w:tcPr>
                <w:p w14:paraId="059E81D9">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3C9F6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restart"/>
                  <w:tcBorders>
                    <w:tl2br w:val="nil"/>
                    <w:tr2bl w:val="nil"/>
                  </w:tcBorders>
                  <w:vAlign w:val="center"/>
                </w:tcPr>
                <w:p w14:paraId="76A8C69B">
                  <w:pPr>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环境风险防控</w:t>
                  </w:r>
                </w:p>
              </w:tc>
              <w:tc>
                <w:tcPr>
                  <w:tcW w:w="1591" w:type="dxa"/>
                  <w:tcBorders>
                    <w:tl2br w:val="nil"/>
                    <w:tr2bl w:val="nil"/>
                  </w:tcBorders>
                  <w:vAlign w:val="center"/>
                </w:tcPr>
                <w:p w14:paraId="359943E4">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用地环境风</w:t>
                  </w:r>
                </w:p>
                <w:p w14:paraId="784B0495">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险防控要求</w:t>
                  </w:r>
                </w:p>
              </w:tc>
              <w:tc>
                <w:tcPr>
                  <w:tcW w:w="6310" w:type="dxa"/>
                  <w:tcBorders>
                    <w:tl2br w:val="nil"/>
                    <w:tr2bl w:val="nil"/>
                  </w:tcBorders>
                </w:tcPr>
                <w:p w14:paraId="71554E3D">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 加强大伙房饮用水水源保护区生态环境监管体系建设，加强大伙房饮用水水源保护区及其水源涵养功能区的保护与生态环境风险防控；完成国 家要求的受污染耕地治理和修复面积指标。2. 严格控制在优先保护类耕地集中区域新建有色金属冶炼、石油加工、焦化、电镀、制革等行业企业，现有相关行业企业要采用新技术、新工艺，加快提标升级改造步伐。3. 已污染地块，应当依法开展土壤污染状况调查、治理与修复，符合相 应土壤环境质量要求后，方可进入用地程序。4. 严禁将城镇生活垃圾、污泥、工业废物直接用作肥料，禁止处理不达标的污泥进入耕地；禁止在 农用地排放、倾倒、使用污泥、清淤底泥、尾矿（渣）等可能对土壤造成污染的固体废物。</w:t>
                  </w:r>
                </w:p>
              </w:tc>
              <w:tc>
                <w:tcPr>
                  <w:tcW w:w="3190" w:type="dxa"/>
                  <w:tcBorders>
                    <w:tl2br w:val="nil"/>
                    <w:tr2bl w:val="nil"/>
                  </w:tcBorders>
                  <w:shd w:val="clear" w:color="auto" w:fill="auto"/>
                  <w:vAlign w:val="center"/>
                </w:tcPr>
                <w:p w14:paraId="521F04AB">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1.本项目不属于水源地和生态保护红线区，不涉及国家要求的受污染耕地治理和修复面积指标。</w:t>
                  </w:r>
                </w:p>
                <w:p w14:paraId="335A4DB3">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2.本项目不涉及。</w:t>
                  </w:r>
                </w:p>
                <w:p w14:paraId="071C979D">
                  <w:pPr>
                    <w:pStyle w:val="141"/>
                    <w:spacing w:before="48" w:beforeLines="20"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3.本项目不属于已污染地块。</w:t>
                  </w:r>
                </w:p>
                <w:p w14:paraId="7E737070">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4.本项目所产废布袋、废离子交换树脂定期由厂家回收处理。除尘灰、炉渣暂存于一般固废间，定期外售处理，不属于对土壤造成污染的固体废物。</w:t>
                  </w:r>
                </w:p>
              </w:tc>
              <w:tc>
                <w:tcPr>
                  <w:tcW w:w="741" w:type="dxa"/>
                  <w:tcBorders>
                    <w:tl2br w:val="nil"/>
                    <w:tr2bl w:val="nil"/>
                  </w:tcBorders>
                  <w:vAlign w:val="center"/>
                </w:tcPr>
                <w:p w14:paraId="742DB586">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1BE00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continue"/>
                  <w:tcBorders>
                    <w:tl2br w:val="nil"/>
                    <w:tr2bl w:val="nil"/>
                  </w:tcBorders>
                  <w:vAlign w:val="center"/>
                </w:tcPr>
                <w:p w14:paraId="057126C0">
                  <w:pPr>
                    <w:spacing w:before="48" w:beforeLines="20" w:line="288" w:lineRule="auto"/>
                    <w:ind w:left="-105" w:leftChars="-50" w:right="-105" w:rightChars="-50"/>
                    <w:jc w:val="center"/>
                    <w:rPr>
                      <w:color w:val="000000" w:themeColor="text1"/>
                      <w:szCs w:val="21"/>
                      <w14:textFill>
                        <w14:solidFill>
                          <w14:schemeClr w14:val="tx1"/>
                        </w14:solidFill>
                      </w14:textFill>
                    </w:rPr>
                  </w:pPr>
                </w:p>
              </w:tc>
              <w:tc>
                <w:tcPr>
                  <w:tcW w:w="1591" w:type="dxa"/>
                  <w:tcBorders>
                    <w:tl2br w:val="nil"/>
                    <w:tr2bl w:val="nil"/>
                  </w:tcBorders>
                  <w:vAlign w:val="center"/>
                </w:tcPr>
                <w:p w14:paraId="34AF8F5B">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企业环境风</w:t>
                  </w:r>
                </w:p>
                <w:p w14:paraId="4F594C3D">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险防控要求</w:t>
                  </w:r>
                </w:p>
              </w:tc>
              <w:tc>
                <w:tcPr>
                  <w:tcW w:w="6310" w:type="dxa"/>
                  <w:tcBorders>
                    <w:tl2br w:val="nil"/>
                    <w:tr2bl w:val="nil"/>
                  </w:tcBorders>
                </w:tcPr>
                <w:p w14:paraId="53868F9E">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固体废物在贮存、转移、利用、处置固体废物过程中，应配套防扬散、防流失、防渗漏及其他防止污染环境的措施。</w:t>
                  </w:r>
                </w:p>
              </w:tc>
              <w:tc>
                <w:tcPr>
                  <w:tcW w:w="3190" w:type="dxa"/>
                  <w:tcBorders>
                    <w:tl2br w:val="nil"/>
                    <w:tr2bl w:val="nil"/>
                  </w:tcBorders>
                  <w:shd w:val="clear" w:color="auto" w:fill="auto"/>
                  <w:vAlign w:val="center"/>
                </w:tcPr>
                <w:p w14:paraId="6DEA2C7F">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14:textFill>
                        <w14:solidFill>
                          <w14:schemeClr w14:val="tx1"/>
                        </w14:solidFill>
                      </w14:textFill>
                    </w:rPr>
                    <w:t>本项目固体废物均采用有效的处理方式。</w:t>
                  </w:r>
                </w:p>
              </w:tc>
              <w:tc>
                <w:tcPr>
                  <w:tcW w:w="741" w:type="dxa"/>
                  <w:tcBorders>
                    <w:tl2br w:val="nil"/>
                    <w:tr2bl w:val="nil"/>
                  </w:tcBorders>
                  <w:vAlign w:val="center"/>
                </w:tcPr>
                <w:p w14:paraId="0236B8BF">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328FA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restart"/>
                  <w:tcBorders>
                    <w:tl2br w:val="nil"/>
                    <w:tr2bl w:val="nil"/>
                  </w:tcBorders>
                  <w:vAlign w:val="center"/>
                </w:tcPr>
                <w:p w14:paraId="14D327A2">
                  <w:pPr>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资源开发效率要求</w:t>
                  </w:r>
                </w:p>
              </w:tc>
              <w:tc>
                <w:tcPr>
                  <w:tcW w:w="1591" w:type="dxa"/>
                  <w:tcBorders>
                    <w:tl2br w:val="nil"/>
                    <w:tr2bl w:val="nil"/>
                  </w:tcBorders>
                  <w:vAlign w:val="center"/>
                </w:tcPr>
                <w:p w14:paraId="3BA0D120">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水资源利用效率要求</w:t>
                  </w:r>
                </w:p>
              </w:tc>
              <w:tc>
                <w:tcPr>
                  <w:tcW w:w="6310" w:type="dxa"/>
                  <w:tcBorders>
                    <w:tl2br w:val="nil"/>
                    <w:tr2bl w:val="nil"/>
                  </w:tcBorders>
                </w:tcPr>
                <w:p w14:paraId="1BC86E1D">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用水总量降低，农业用水效率提高，农田灌溉水有效利用系数高于0.590 ，万元GDP 用水量比2020 年降低</w:t>
                  </w:r>
                </w:p>
              </w:tc>
              <w:tc>
                <w:tcPr>
                  <w:tcW w:w="3190" w:type="dxa"/>
                  <w:tcBorders>
                    <w:tl2br w:val="nil"/>
                    <w:tr2bl w:val="nil"/>
                  </w:tcBorders>
                  <w:shd w:val="clear" w:color="auto" w:fill="auto"/>
                  <w:vAlign w:val="center"/>
                </w:tcPr>
                <w:p w14:paraId="7B53564A">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1.本项目不涉及。</w:t>
                  </w:r>
                </w:p>
              </w:tc>
              <w:tc>
                <w:tcPr>
                  <w:tcW w:w="741" w:type="dxa"/>
                  <w:tcBorders>
                    <w:tl2br w:val="nil"/>
                    <w:tr2bl w:val="nil"/>
                  </w:tcBorders>
                  <w:vAlign w:val="center"/>
                </w:tcPr>
                <w:p w14:paraId="229BB9CF">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531D0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1" w:type="dxa"/>
                  <w:vMerge w:val="continue"/>
                  <w:tcBorders>
                    <w:tl2br w:val="nil"/>
                    <w:tr2bl w:val="nil"/>
                  </w:tcBorders>
                  <w:vAlign w:val="center"/>
                </w:tcPr>
                <w:p w14:paraId="71556778">
                  <w:pPr>
                    <w:spacing w:before="48" w:beforeLines="20" w:line="288" w:lineRule="auto"/>
                    <w:ind w:left="-105" w:leftChars="-50" w:right="-105" w:rightChars="-50"/>
                    <w:jc w:val="center"/>
                    <w:rPr>
                      <w:color w:val="000000" w:themeColor="text1"/>
                      <w:szCs w:val="21"/>
                      <w14:textFill>
                        <w14:solidFill>
                          <w14:schemeClr w14:val="tx1"/>
                        </w14:solidFill>
                      </w14:textFill>
                    </w:rPr>
                  </w:pPr>
                </w:p>
              </w:tc>
              <w:tc>
                <w:tcPr>
                  <w:tcW w:w="1591" w:type="dxa"/>
                  <w:tcBorders>
                    <w:tl2br w:val="nil"/>
                    <w:tr2bl w:val="nil"/>
                  </w:tcBorders>
                  <w:vAlign w:val="center"/>
                </w:tcPr>
                <w:p w14:paraId="13BB5C23">
                  <w:pPr>
                    <w:widowControl/>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能源利用效率要求</w:t>
                  </w:r>
                </w:p>
              </w:tc>
              <w:tc>
                <w:tcPr>
                  <w:tcW w:w="6310" w:type="dxa"/>
                  <w:tcBorders>
                    <w:tl2br w:val="nil"/>
                    <w:tr2bl w:val="nil"/>
                  </w:tcBorders>
                </w:tcPr>
                <w:p w14:paraId="0460E91A">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 到 2025 年，抚顺县生产总值能耗比 2020 年下降，煤炭占能源消费总量比重下降，非石化能源消费占能源消费总量比重提高，天然气消费比重 提高，新生产燃煤工业锅炉效率和燃气锅炉效率提高。2. 除依据城市供热专项规划确需保留的供暖锅炉以外，建成区20 蒸吨/小时（或 14 兆瓦）及以下燃煤锅炉全部予以淘汰。</w:t>
                  </w:r>
                </w:p>
              </w:tc>
              <w:tc>
                <w:tcPr>
                  <w:tcW w:w="3190" w:type="dxa"/>
                  <w:tcBorders>
                    <w:tl2br w:val="nil"/>
                    <w:tr2bl w:val="nil"/>
                  </w:tcBorders>
                  <w:shd w:val="clear" w:color="auto" w:fill="auto"/>
                  <w:vAlign w:val="center"/>
                </w:tcPr>
                <w:p w14:paraId="078B9F5E">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1.本项目使用燃料为生物质燃料，不涉及煤炭。</w:t>
                  </w:r>
                </w:p>
                <w:p w14:paraId="3AA72B19">
                  <w:pPr>
                    <w:adjustRightInd w:val="0"/>
                    <w:snapToGrid w:val="0"/>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2.本项目不涉及。</w:t>
                  </w:r>
                </w:p>
              </w:tc>
              <w:tc>
                <w:tcPr>
                  <w:tcW w:w="741" w:type="dxa"/>
                  <w:tcBorders>
                    <w:tl2br w:val="nil"/>
                    <w:tr2bl w:val="nil"/>
                  </w:tcBorders>
                  <w:vAlign w:val="center"/>
                </w:tcPr>
                <w:p w14:paraId="216A47D9">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bl>
          <w:p w14:paraId="1A5B5FF2">
            <w:pPr>
              <w:autoSpaceDE w:val="0"/>
              <w:autoSpaceDN w:val="0"/>
              <w:adjustRightInd w:val="0"/>
              <w:snapToGrid w:val="0"/>
              <w:spacing w:before="120" w:beforeLines="5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表1-4  本项目与ZH21042130001环境管控单元准入清单符合性分析一览表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4437"/>
              <w:gridCol w:w="5078"/>
              <w:gridCol w:w="883"/>
            </w:tblGrid>
            <w:tr w14:paraId="2D7F0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42" w:type="dxa"/>
                  <w:gridSpan w:val="2"/>
                  <w:tcBorders>
                    <w:tl2br w:val="nil"/>
                    <w:tr2bl w:val="nil"/>
                  </w:tcBorders>
                  <w:vAlign w:val="center"/>
                </w:tcPr>
                <w:p w14:paraId="07069C46">
                  <w:pPr>
                    <w:spacing w:before="48" w:beforeLines="20" w:line="288" w:lineRule="auto"/>
                    <w:ind w:left="-99" w:leftChars="-47" w:right="-94" w:rightChars="-45"/>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管控要求</w:t>
                  </w:r>
                </w:p>
              </w:tc>
              <w:tc>
                <w:tcPr>
                  <w:tcW w:w="5078" w:type="dxa"/>
                  <w:tcBorders>
                    <w:tl2br w:val="nil"/>
                    <w:tr2bl w:val="nil"/>
                  </w:tcBorders>
                  <w:vAlign w:val="center"/>
                </w:tcPr>
                <w:p w14:paraId="133E6E33">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项目情况</w:t>
                  </w:r>
                </w:p>
              </w:tc>
              <w:tc>
                <w:tcPr>
                  <w:tcW w:w="883" w:type="dxa"/>
                  <w:tcBorders>
                    <w:tl2br w:val="nil"/>
                    <w:tr2bl w:val="nil"/>
                  </w:tcBorders>
                  <w:vAlign w:val="center"/>
                </w:tcPr>
                <w:p w14:paraId="39734684">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符合情况</w:t>
                  </w:r>
                </w:p>
              </w:tc>
            </w:tr>
            <w:tr w14:paraId="11D9F5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5" w:type="dxa"/>
                  <w:tcBorders>
                    <w:tl2br w:val="nil"/>
                    <w:tr2bl w:val="nil"/>
                  </w:tcBorders>
                  <w:vAlign w:val="center"/>
                </w:tcPr>
                <w:p w14:paraId="64923B95">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14:textFill>
                        <w14:solidFill>
                          <w14:schemeClr w14:val="tx1"/>
                        </w14:solidFill>
                      </w14:textFill>
                    </w:rPr>
                    <w:t>空间布局约束</w:t>
                  </w:r>
                </w:p>
              </w:tc>
              <w:tc>
                <w:tcPr>
                  <w:tcW w:w="4437" w:type="dxa"/>
                  <w:tcBorders>
                    <w:tl2br w:val="nil"/>
                    <w:tr2bl w:val="nil"/>
                  </w:tcBorders>
                  <w:vAlign w:val="center"/>
                </w:tcPr>
                <w:p w14:paraId="2BE4A4B4">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spacing w:val="-3"/>
                      <w14:textFill>
                        <w14:solidFill>
                          <w14:schemeClr w14:val="tx1"/>
                        </w14:solidFill>
                      </w14:textFill>
                    </w:rPr>
                    <w:t>同抚顺市、抚顺县普适性准入要求。</w:t>
                  </w:r>
                </w:p>
              </w:tc>
              <w:tc>
                <w:tcPr>
                  <w:tcW w:w="5078" w:type="dxa"/>
                  <w:tcBorders>
                    <w:tl2br w:val="nil"/>
                    <w:tr2bl w:val="nil"/>
                  </w:tcBorders>
                  <w:vAlign w:val="center"/>
                </w:tcPr>
                <w:p w14:paraId="30E0597B">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szCs w:val="21"/>
                      <w14:textFill>
                        <w14:solidFill>
                          <w14:schemeClr w14:val="tx1"/>
                        </w14:solidFill>
                      </w14:textFill>
                    </w:rPr>
                    <w:t>见表1-2、表1-3相符性分析。</w:t>
                  </w:r>
                </w:p>
              </w:tc>
              <w:tc>
                <w:tcPr>
                  <w:tcW w:w="883" w:type="dxa"/>
                  <w:tcBorders>
                    <w:tl2br w:val="nil"/>
                    <w:tr2bl w:val="nil"/>
                  </w:tcBorders>
                  <w:vAlign w:val="center"/>
                </w:tcPr>
                <w:p w14:paraId="3153D245">
                  <w:pPr>
                    <w:spacing w:before="48" w:beforeLines="20" w:line="288" w:lineRule="auto"/>
                    <w:ind w:left="-105" w:leftChars="-50" w:right="-105" w:rightChars="-5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符合</w:t>
                  </w:r>
                </w:p>
              </w:tc>
            </w:tr>
            <w:tr w14:paraId="2E69D4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5" w:type="dxa"/>
                  <w:tcBorders>
                    <w:tl2br w:val="nil"/>
                    <w:tr2bl w:val="nil"/>
                  </w:tcBorders>
                  <w:vAlign w:val="center"/>
                </w:tcPr>
                <w:p w14:paraId="1E2F1299">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14:textFill>
                        <w14:solidFill>
                          <w14:schemeClr w14:val="tx1"/>
                        </w14:solidFill>
                      </w14:textFill>
                    </w:rPr>
                    <w:t>污染物排放管控</w:t>
                  </w:r>
                </w:p>
              </w:tc>
              <w:tc>
                <w:tcPr>
                  <w:tcW w:w="4437" w:type="dxa"/>
                  <w:tcBorders>
                    <w:tl2br w:val="nil"/>
                    <w:tr2bl w:val="nil"/>
                  </w:tcBorders>
                  <w:shd w:val="clear" w:color="auto" w:fill="auto"/>
                  <w:vAlign w:val="center"/>
                </w:tcPr>
                <w:p w14:paraId="239DA30F">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spacing w:val="-3"/>
                      <w14:textFill>
                        <w14:solidFill>
                          <w14:schemeClr w14:val="tx1"/>
                        </w14:solidFill>
                      </w14:textFill>
                    </w:rPr>
                    <w:t>同抚顺市、抚顺县普适性准入要求。</w:t>
                  </w:r>
                </w:p>
              </w:tc>
              <w:tc>
                <w:tcPr>
                  <w:tcW w:w="5078" w:type="dxa"/>
                  <w:tcBorders>
                    <w:tl2br w:val="nil"/>
                    <w:tr2bl w:val="nil"/>
                  </w:tcBorders>
                  <w:vAlign w:val="center"/>
                </w:tcPr>
                <w:p w14:paraId="67F7A596">
                  <w:pPr>
                    <w:adjustRightInd w:val="0"/>
                    <w:snapToGrid w:val="0"/>
                    <w:spacing w:before="48" w:beforeLines="20" w:line="288" w:lineRule="auto"/>
                    <w:rPr>
                      <w:color w:val="000000" w:themeColor="text1"/>
                      <w14:textFill>
                        <w14:solidFill>
                          <w14:schemeClr w14:val="tx1"/>
                        </w14:solidFill>
                      </w14:textFill>
                    </w:rPr>
                  </w:pPr>
                  <w:r>
                    <w:rPr>
                      <w:color w:val="000000" w:themeColor="text1"/>
                      <w:szCs w:val="21"/>
                      <w14:textFill>
                        <w14:solidFill>
                          <w14:schemeClr w14:val="tx1"/>
                        </w14:solidFill>
                      </w14:textFill>
                    </w:rPr>
                    <w:t>见表1-2、表1-3相符性分析。</w:t>
                  </w:r>
                </w:p>
              </w:tc>
              <w:tc>
                <w:tcPr>
                  <w:tcW w:w="883" w:type="dxa"/>
                  <w:tcBorders>
                    <w:tl2br w:val="nil"/>
                    <w:tr2bl w:val="nil"/>
                  </w:tcBorders>
                  <w:vAlign w:val="center"/>
                </w:tcPr>
                <w:p w14:paraId="2EE0903B">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757C8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5" w:type="dxa"/>
                  <w:tcBorders>
                    <w:tl2br w:val="nil"/>
                    <w:tr2bl w:val="nil"/>
                  </w:tcBorders>
                  <w:vAlign w:val="center"/>
                </w:tcPr>
                <w:p w14:paraId="48479CF7">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14:textFill>
                        <w14:solidFill>
                          <w14:schemeClr w14:val="tx1"/>
                        </w14:solidFill>
                      </w14:textFill>
                    </w:rPr>
                    <w:t>环境风险防控</w:t>
                  </w:r>
                </w:p>
              </w:tc>
              <w:tc>
                <w:tcPr>
                  <w:tcW w:w="4437" w:type="dxa"/>
                  <w:tcBorders>
                    <w:tl2br w:val="nil"/>
                    <w:tr2bl w:val="nil"/>
                  </w:tcBorders>
                  <w:shd w:val="clear" w:color="auto" w:fill="auto"/>
                  <w:vAlign w:val="center"/>
                </w:tcPr>
                <w:p w14:paraId="447A697F">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spacing w:val="-4"/>
                      <w14:textFill>
                        <w14:solidFill>
                          <w14:schemeClr w14:val="tx1"/>
                        </w14:solidFill>
                      </w14:textFill>
                    </w:rPr>
                    <w:t>同抚顺市、抚顺县普</w:t>
                  </w:r>
                  <w:r>
                    <w:rPr>
                      <w:color w:val="000000" w:themeColor="text1"/>
                      <w:spacing w:val="1"/>
                      <w14:textFill>
                        <w14:solidFill>
                          <w14:schemeClr w14:val="tx1"/>
                        </w14:solidFill>
                      </w14:textFill>
                    </w:rPr>
                    <w:t xml:space="preserve"> </w:t>
                  </w:r>
                  <w:r>
                    <w:rPr>
                      <w:color w:val="000000" w:themeColor="text1"/>
                      <w:spacing w:val="-2"/>
                      <w14:textFill>
                        <w14:solidFill>
                          <w14:schemeClr w14:val="tx1"/>
                        </w14:solidFill>
                      </w14:textFill>
                    </w:rPr>
                    <w:t>适性准入要求。</w:t>
                  </w:r>
                </w:p>
              </w:tc>
              <w:tc>
                <w:tcPr>
                  <w:tcW w:w="5078" w:type="dxa"/>
                  <w:tcBorders>
                    <w:tl2br w:val="nil"/>
                    <w:tr2bl w:val="nil"/>
                  </w:tcBorders>
                  <w:vAlign w:val="center"/>
                </w:tcPr>
                <w:p w14:paraId="797B0CB3">
                  <w:pPr>
                    <w:rPr>
                      <w:color w:val="000000" w:themeColor="text1"/>
                      <w14:textFill>
                        <w14:solidFill>
                          <w14:schemeClr w14:val="tx1"/>
                        </w14:solidFill>
                      </w14:textFill>
                    </w:rPr>
                  </w:pPr>
                  <w:r>
                    <w:rPr>
                      <w:color w:val="000000" w:themeColor="text1"/>
                      <w:szCs w:val="21"/>
                      <w14:textFill>
                        <w14:solidFill>
                          <w14:schemeClr w14:val="tx1"/>
                        </w14:solidFill>
                      </w14:textFill>
                    </w:rPr>
                    <w:t>见表1-2、表1-3相符性分析。</w:t>
                  </w:r>
                </w:p>
              </w:tc>
              <w:tc>
                <w:tcPr>
                  <w:tcW w:w="883" w:type="dxa"/>
                  <w:tcBorders>
                    <w:tl2br w:val="nil"/>
                    <w:tr2bl w:val="nil"/>
                  </w:tcBorders>
                  <w:vAlign w:val="center"/>
                </w:tcPr>
                <w:p w14:paraId="2F7BCD02">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5557A3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5" w:type="dxa"/>
                  <w:tcBorders>
                    <w:tl2br w:val="nil"/>
                    <w:tr2bl w:val="nil"/>
                  </w:tcBorders>
                  <w:vAlign w:val="center"/>
                </w:tcPr>
                <w:p w14:paraId="3A078EE4">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14:textFill>
                        <w14:solidFill>
                          <w14:schemeClr w14:val="tx1"/>
                        </w14:solidFill>
                      </w14:textFill>
                    </w:rPr>
                    <w:t>资源开发效率要求</w:t>
                  </w:r>
                </w:p>
              </w:tc>
              <w:tc>
                <w:tcPr>
                  <w:tcW w:w="4437" w:type="dxa"/>
                  <w:tcBorders>
                    <w:tl2br w:val="nil"/>
                    <w:tr2bl w:val="nil"/>
                  </w:tcBorders>
                  <w:shd w:val="clear" w:color="auto" w:fill="auto"/>
                  <w:vAlign w:val="center"/>
                </w:tcPr>
                <w:p w14:paraId="33611FEE">
                  <w:pPr>
                    <w:adjustRightInd w:val="0"/>
                    <w:snapToGrid w:val="0"/>
                    <w:spacing w:before="48" w:beforeLines="20" w:line="288" w:lineRule="auto"/>
                    <w:jc w:val="left"/>
                    <w:rPr>
                      <w:color w:val="000000" w:themeColor="text1"/>
                      <w14:textFill>
                        <w14:solidFill>
                          <w14:schemeClr w14:val="tx1"/>
                        </w14:solidFill>
                      </w14:textFill>
                    </w:rPr>
                  </w:pPr>
                  <w:r>
                    <w:rPr>
                      <w:color w:val="000000" w:themeColor="text1"/>
                      <w:spacing w:val="-4"/>
                      <w14:textFill>
                        <w14:solidFill>
                          <w14:schemeClr w14:val="tx1"/>
                        </w14:solidFill>
                      </w14:textFill>
                    </w:rPr>
                    <w:t>同抚顺市、抚顺县普</w:t>
                  </w:r>
                  <w:r>
                    <w:rPr>
                      <w:color w:val="000000" w:themeColor="text1"/>
                      <w:spacing w:val="1"/>
                      <w14:textFill>
                        <w14:solidFill>
                          <w14:schemeClr w14:val="tx1"/>
                        </w14:solidFill>
                      </w14:textFill>
                    </w:rPr>
                    <w:t xml:space="preserve"> </w:t>
                  </w:r>
                  <w:r>
                    <w:rPr>
                      <w:color w:val="000000" w:themeColor="text1"/>
                      <w:spacing w:val="-2"/>
                      <w14:textFill>
                        <w14:solidFill>
                          <w14:schemeClr w14:val="tx1"/>
                        </w14:solidFill>
                      </w14:textFill>
                    </w:rPr>
                    <w:t>适性准入要求。</w:t>
                  </w:r>
                </w:p>
              </w:tc>
              <w:tc>
                <w:tcPr>
                  <w:tcW w:w="5078" w:type="dxa"/>
                  <w:tcBorders>
                    <w:tl2br w:val="nil"/>
                    <w:tr2bl w:val="nil"/>
                  </w:tcBorders>
                  <w:vAlign w:val="center"/>
                </w:tcPr>
                <w:p w14:paraId="2A697BA6">
                  <w:pPr>
                    <w:wordWrap w:val="0"/>
                    <w:adjustRightInd w:val="0"/>
                    <w:snapToGrid w:val="0"/>
                    <w:spacing w:before="48" w:beforeLines="20" w:line="288" w:lineRule="auto"/>
                    <w:rPr>
                      <w:color w:val="000000" w:themeColor="text1"/>
                      <w14:textFill>
                        <w14:solidFill>
                          <w14:schemeClr w14:val="tx1"/>
                        </w14:solidFill>
                      </w14:textFill>
                    </w:rPr>
                  </w:pPr>
                  <w:r>
                    <w:rPr>
                      <w:color w:val="000000" w:themeColor="text1"/>
                      <w:szCs w:val="21"/>
                      <w14:textFill>
                        <w14:solidFill>
                          <w14:schemeClr w14:val="tx1"/>
                        </w14:solidFill>
                      </w14:textFill>
                    </w:rPr>
                    <w:t>见表1-2、表1-3相符性分析。</w:t>
                  </w:r>
                </w:p>
              </w:tc>
              <w:tc>
                <w:tcPr>
                  <w:tcW w:w="883" w:type="dxa"/>
                  <w:tcBorders>
                    <w:tl2br w:val="nil"/>
                    <w:tr2bl w:val="nil"/>
                  </w:tcBorders>
                  <w:vAlign w:val="center"/>
                </w:tcPr>
                <w:p w14:paraId="27BBCE5A">
                  <w:pPr>
                    <w:adjustRightInd w:val="0"/>
                    <w:snapToGrid w:val="0"/>
                    <w:spacing w:before="48" w:beforeLines="20" w:line="288"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bl>
          <w:p w14:paraId="1A91FF41">
            <w:pPr>
              <w:keepNext/>
              <w:spacing w:before="120" w:beforeLines="50"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4、环境管理政策相符性分析</w:t>
            </w:r>
          </w:p>
          <w:p w14:paraId="032F6AB0">
            <w:pPr>
              <w:keepNext/>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本项目与相关环保政策相符性分析见下表。</w:t>
            </w:r>
          </w:p>
          <w:p w14:paraId="231D3C17">
            <w:pPr>
              <w:keepNext/>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表1-5  环境管理政策相符性分析</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Layout w:type="autofit"/>
              <w:tblCellMar>
                <w:top w:w="0" w:type="dxa"/>
                <w:left w:w="108" w:type="dxa"/>
                <w:bottom w:w="0" w:type="dxa"/>
                <w:right w:w="108" w:type="dxa"/>
              </w:tblCellMar>
            </w:tblPr>
            <w:tblGrid>
              <w:gridCol w:w="629"/>
              <w:gridCol w:w="1241"/>
              <w:gridCol w:w="6386"/>
              <w:gridCol w:w="3489"/>
              <w:gridCol w:w="753"/>
            </w:tblGrid>
            <w:tr w14:paraId="3659B850">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Align w:val="center"/>
                </w:tcPr>
                <w:p w14:paraId="3B203E72">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496" w:type="pct"/>
                  <w:vAlign w:val="center"/>
                </w:tcPr>
                <w:p w14:paraId="2013C29A">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内容</w:t>
                  </w:r>
                </w:p>
              </w:tc>
              <w:tc>
                <w:tcPr>
                  <w:tcW w:w="2553" w:type="pct"/>
                  <w:vAlign w:val="center"/>
                </w:tcPr>
                <w:p w14:paraId="0CED525E">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环保政策要求</w:t>
                  </w:r>
                </w:p>
              </w:tc>
              <w:tc>
                <w:tcPr>
                  <w:tcW w:w="1395" w:type="pct"/>
                  <w:vAlign w:val="center"/>
                </w:tcPr>
                <w:p w14:paraId="346AF59D">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相符性分析</w:t>
                  </w:r>
                </w:p>
              </w:tc>
              <w:tc>
                <w:tcPr>
                  <w:tcW w:w="301" w:type="pct"/>
                  <w:vAlign w:val="center"/>
                </w:tcPr>
                <w:p w14:paraId="03E17EEB">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相符性</w:t>
                  </w:r>
                </w:p>
              </w:tc>
            </w:tr>
            <w:tr w14:paraId="5932BB12">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restart"/>
                  <w:vAlign w:val="center"/>
                </w:tcPr>
                <w:p w14:paraId="3AEDDACA">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496" w:type="pct"/>
                  <w:vMerge w:val="restart"/>
                  <w:vAlign w:val="center"/>
                </w:tcPr>
                <w:p w14:paraId="5A55B387">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《辽宁省深入打好污染防治攻坚战实施方案》（辽委发[2022]8号</w:t>
                  </w:r>
                </w:p>
              </w:tc>
              <w:tc>
                <w:tcPr>
                  <w:tcW w:w="2553" w:type="pct"/>
                  <w:vAlign w:val="center"/>
                </w:tcPr>
                <w:p w14:paraId="6D802765">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（一）加快推动绿色低碳发展：</w:t>
                  </w:r>
                </w:p>
                <w:p w14:paraId="65BB81E2">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5.加强生态环境分区管控。严格落实“三线一单”生态环境分区管控要求，优化区域生产力布局</w:t>
                  </w:r>
                </w:p>
              </w:tc>
              <w:tc>
                <w:tcPr>
                  <w:tcW w:w="1395" w:type="pct"/>
                  <w:vAlign w:val="center"/>
                </w:tcPr>
                <w:p w14:paraId="58C9FBDB">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本项目符合“三线一单”及分区管控要求。</w:t>
                  </w:r>
                </w:p>
              </w:tc>
              <w:tc>
                <w:tcPr>
                  <w:tcW w:w="301" w:type="pct"/>
                  <w:vAlign w:val="center"/>
                </w:tcPr>
                <w:p w14:paraId="50EE4E9B">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77C9F6D5">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vAlign w:val="center"/>
                </w:tcPr>
                <w:p w14:paraId="257D74B4">
                  <w:pPr>
                    <w:keepNext/>
                    <w:spacing w:line="288" w:lineRule="auto"/>
                    <w:jc w:val="center"/>
                    <w:rPr>
                      <w:color w:val="000000" w:themeColor="text1"/>
                      <w:szCs w:val="21"/>
                      <w14:textFill>
                        <w14:solidFill>
                          <w14:schemeClr w14:val="tx1"/>
                        </w14:solidFill>
                      </w14:textFill>
                    </w:rPr>
                  </w:pPr>
                </w:p>
              </w:tc>
              <w:tc>
                <w:tcPr>
                  <w:tcW w:w="496" w:type="pct"/>
                  <w:vMerge w:val="continue"/>
                  <w:vAlign w:val="center"/>
                </w:tcPr>
                <w:p w14:paraId="4DAB4140">
                  <w:pPr>
                    <w:keepNext/>
                    <w:spacing w:line="288" w:lineRule="auto"/>
                    <w:jc w:val="center"/>
                    <w:rPr>
                      <w:color w:val="000000" w:themeColor="text1"/>
                      <w:szCs w:val="21"/>
                      <w14:textFill>
                        <w14:solidFill>
                          <w14:schemeClr w14:val="tx1"/>
                        </w14:solidFill>
                      </w14:textFill>
                    </w:rPr>
                  </w:pPr>
                </w:p>
              </w:tc>
              <w:tc>
                <w:tcPr>
                  <w:tcW w:w="2553" w:type="pct"/>
                  <w:vAlign w:val="center"/>
                </w:tcPr>
                <w:p w14:paraId="2FACAD87">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（二）深入打好蓝天保卫战：</w:t>
                  </w:r>
                </w:p>
                <w:p w14:paraId="65364C71">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着力打好臭氧污染治理攻坚战。聚焦VOCs和氮氧化物协同减排，以5—9月为重点时段，以辽宁中部城市群为重点区域，实施“五大行动”，加快推进重点行业VOCs深度治理和氮氧化物减排。到2025年，全省挥发性有机物、氮氧化物总量比2020年分别下降2.89万吨和6.21万吨，遏制臭氧浓度上升趋势；</w:t>
                  </w:r>
                </w:p>
                <w:p w14:paraId="39B127DE">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4.加强大气面源和噪声污染治理。强化施工、道路、堆场、裸露地面等扬尘管控，推进低尘机械化清扫作业，加大城市出入口、城乡结合部等城乡重要路段清扫保洁力度。</w:t>
                  </w:r>
                </w:p>
              </w:tc>
              <w:tc>
                <w:tcPr>
                  <w:tcW w:w="1395" w:type="pct"/>
                  <w:vAlign w:val="center"/>
                </w:tcPr>
                <w:p w14:paraId="4531750A">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本项目运行过程中产生的蒸汽发生器燃烧废气经过合理有效治理后达标排放。</w:t>
                  </w:r>
                </w:p>
                <w:p w14:paraId="5B7FEF93">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本项目施工期</w:t>
                  </w:r>
                  <w:r>
                    <w:rPr>
                      <w:color w:val="000000" w:themeColor="text1"/>
                      <w14:textFill>
                        <w14:solidFill>
                          <w14:schemeClr w14:val="tx1"/>
                        </w14:solidFill>
                      </w14:textFill>
                    </w:rPr>
                    <w:t>废气、废水、固体废物及噪声均采取有效治理措施治理，对周围环境影响较小。</w:t>
                  </w:r>
                </w:p>
              </w:tc>
              <w:tc>
                <w:tcPr>
                  <w:tcW w:w="301" w:type="pct"/>
                  <w:vAlign w:val="center"/>
                </w:tcPr>
                <w:p w14:paraId="40ACE29B">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581A701C">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vAlign w:val="center"/>
                </w:tcPr>
                <w:p w14:paraId="05C9058A">
                  <w:pPr>
                    <w:keepNext/>
                    <w:spacing w:line="288" w:lineRule="auto"/>
                    <w:jc w:val="center"/>
                    <w:rPr>
                      <w:color w:val="000000" w:themeColor="text1"/>
                      <w:szCs w:val="21"/>
                      <w14:textFill>
                        <w14:solidFill>
                          <w14:schemeClr w14:val="tx1"/>
                        </w14:solidFill>
                      </w14:textFill>
                    </w:rPr>
                  </w:pPr>
                </w:p>
              </w:tc>
              <w:tc>
                <w:tcPr>
                  <w:tcW w:w="496" w:type="pct"/>
                  <w:vMerge w:val="continue"/>
                  <w:vAlign w:val="center"/>
                </w:tcPr>
                <w:p w14:paraId="3D46E325">
                  <w:pPr>
                    <w:keepNext/>
                    <w:spacing w:line="288" w:lineRule="auto"/>
                    <w:jc w:val="center"/>
                    <w:rPr>
                      <w:color w:val="000000" w:themeColor="text1"/>
                      <w:szCs w:val="21"/>
                      <w14:textFill>
                        <w14:solidFill>
                          <w14:schemeClr w14:val="tx1"/>
                        </w14:solidFill>
                      </w14:textFill>
                    </w:rPr>
                  </w:pPr>
                </w:p>
              </w:tc>
              <w:tc>
                <w:tcPr>
                  <w:tcW w:w="2553" w:type="pct"/>
                  <w:vAlign w:val="center"/>
                </w:tcPr>
                <w:p w14:paraId="09F2BB1C">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（五）维护生态环境安全：</w:t>
                  </w:r>
                </w:p>
                <w:p w14:paraId="3D6DE706">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6.严控环境安全风险。组织“一废一库一品”（危险废物、尾矿库、化学品）、涉重金属企业、化工厂区等重点领域环境风险调查评估。</w:t>
                  </w:r>
                </w:p>
              </w:tc>
              <w:tc>
                <w:tcPr>
                  <w:tcW w:w="1395" w:type="pct"/>
                  <w:vAlign w:val="center"/>
                </w:tcPr>
                <w:p w14:paraId="16324DCD">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本项目生产运行过程中产生的废布袋、废离子交换树脂定期由厂家回收处理。除尘灰、炉渣暂存于一般固废间，定期外售处理。</w:t>
                  </w:r>
                </w:p>
                <w:p w14:paraId="38345F38">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废机油、废油桶暂存于危废贮存点定期委托有资质单位处置。</w:t>
                  </w:r>
                </w:p>
              </w:tc>
              <w:tc>
                <w:tcPr>
                  <w:tcW w:w="301" w:type="pct"/>
                  <w:vAlign w:val="center"/>
                </w:tcPr>
                <w:p w14:paraId="299F2991">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7FD17611">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vAlign w:val="center"/>
                </w:tcPr>
                <w:p w14:paraId="763F1C91">
                  <w:pPr>
                    <w:keepNext/>
                    <w:spacing w:line="288" w:lineRule="auto"/>
                    <w:jc w:val="center"/>
                    <w:rPr>
                      <w:color w:val="000000" w:themeColor="text1"/>
                      <w:szCs w:val="21"/>
                      <w14:textFill>
                        <w14:solidFill>
                          <w14:schemeClr w14:val="tx1"/>
                        </w14:solidFill>
                      </w14:textFill>
                    </w:rPr>
                  </w:pPr>
                </w:p>
              </w:tc>
              <w:tc>
                <w:tcPr>
                  <w:tcW w:w="496" w:type="pct"/>
                  <w:vMerge w:val="continue"/>
                  <w:vAlign w:val="center"/>
                </w:tcPr>
                <w:p w14:paraId="66677F6D">
                  <w:pPr>
                    <w:keepNext/>
                    <w:spacing w:line="288" w:lineRule="auto"/>
                    <w:jc w:val="center"/>
                    <w:rPr>
                      <w:color w:val="000000" w:themeColor="text1"/>
                      <w:szCs w:val="21"/>
                      <w14:textFill>
                        <w14:solidFill>
                          <w14:schemeClr w14:val="tx1"/>
                        </w14:solidFill>
                      </w14:textFill>
                    </w:rPr>
                  </w:pPr>
                </w:p>
              </w:tc>
              <w:tc>
                <w:tcPr>
                  <w:tcW w:w="2553" w:type="pct"/>
                  <w:vAlign w:val="center"/>
                </w:tcPr>
                <w:p w14:paraId="3B4A802E">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（六）提高生态环境治理现代化水平：</w:t>
                  </w:r>
                </w:p>
                <w:p w14:paraId="6DD3691C">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4.加大生态环境监管执法力度。完善以排污许可制为核心的固定污染源监管体系，保持严厉打击违法犯罪行为的高压态势。强化企业自律，推动从“要我守法”向“我要守法”转变。</w:t>
                  </w:r>
                </w:p>
              </w:tc>
              <w:tc>
                <w:tcPr>
                  <w:tcW w:w="1395" w:type="pct"/>
                  <w:vAlign w:val="center"/>
                </w:tcPr>
                <w:p w14:paraId="1EA2FDE4">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企业在取得环境影响评价批复后，项目投产前，按照相关要求开展排污许可填报工作。</w:t>
                  </w:r>
                </w:p>
              </w:tc>
              <w:tc>
                <w:tcPr>
                  <w:tcW w:w="301" w:type="pct"/>
                  <w:vAlign w:val="center"/>
                </w:tcPr>
                <w:p w14:paraId="41064F93">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7F7E6552">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restart"/>
                  <w:vAlign w:val="center"/>
                </w:tcPr>
                <w:p w14:paraId="1EB2A653">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496" w:type="pct"/>
                  <w:vMerge w:val="restart"/>
                  <w:vAlign w:val="center"/>
                </w:tcPr>
                <w:p w14:paraId="281777AD">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《抚顺市深入打好污染防治攻坚战实施方案》抚委发[2023]1号</w:t>
                  </w:r>
                </w:p>
              </w:tc>
              <w:tc>
                <w:tcPr>
                  <w:tcW w:w="2553" w:type="pct"/>
                  <w:vAlign w:val="center"/>
                </w:tcPr>
                <w:p w14:paraId="1D04A99B">
                  <w:pPr>
                    <w:spacing w:line="288" w:lineRule="auto"/>
                    <w:jc w:val="left"/>
                    <w:rPr>
                      <w:color w:val="000000" w:themeColor="text1"/>
                      <w:szCs w:val="21"/>
                      <w14:textFill>
                        <w14:solidFill>
                          <w14:schemeClr w14:val="tx1"/>
                        </w14:solidFill>
                      </w14:textFill>
                    </w:rPr>
                  </w:pPr>
                  <w:r>
                    <w:rPr>
                      <w:color w:val="000000" w:themeColor="text1"/>
                      <w14:textFill>
                        <w14:solidFill>
                          <w14:schemeClr w14:val="tx1"/>
                        </w14:solidFill>
                      </w14:textFill>
                    </w:rPr>
                    <w:t>坚决遏制高耗能高排放项目盲目发展。严格把好新建、扩建钢铁、水泥熟料、平板玻璃、电解铝等高耗能高排放项目准入关。加强节能监察力度。支持符合规定特别是生产国内短缺重要产品、有利于碳达峰碳中和目标实现的项目发展。稳妥做好存量</w:t>
                  </w:r>
                  <w:r>
                    <w:rPr>
                      <w:rFonts w:eastAsia="TimesNewRomanPSMT"/>
                      <w:color w:val="000000" w:themeColor="text1"/>
                      <w14:textFill>
                        <w14:solidFill>
                          <w14:schemeClr w14:val="tx1"/>
                        </w14:solidFill>
                      </w14:textFill>
                    </w:rPr>
                    <w:t>“</w:t>
                  </w:r>
                  <w:r>
                    <w:rPr>
                      <w:color w:val="000000" w:themeColor="text1"/>
                      <w14:textFill>
                        <w14:solidFill>
                          <w14:schemeClr w14:val="tx1"/>
                        </w14:solidFill>
                      </w14:textFill>
                    </w:rPr>
                    <w:t>两高</w:t>
                  </w:r>
                  <w:r>
                    <w:rPr>
                      <w:rFonts w:eastAsia="TimesNewRomanPSMT"/>
                      <w:color w:val="000000" w:themeColor="text1"/>
                      <w14:textFill>
                        <w14:solidFill>
                          <w14:schemeClr w14:val="tx1"/>
                        </w14:solidFill>
                      </w14:textFill>
                    </w:rPr>
                    <w:t>”</w:t>
                  </w:r>
                  <w:r>
                    <w:rPr>
                      <w:color w:val="000000" w:themeColor="text1"/>
                      <w14:textFill>
                        <w14:solidFill>
                          <w14:schemeClr w14:val="tx1"/>
                        </w14:solidFill>
                      </w14:textFill>
                    </w:rPr>
                    <w:t>项目管理，合理设置政策过渡期，积极推进有节能减排潜力的项目改造升级。强化常态化监管，坚决停批停建不符合规定的</w:t>
                  </w:r>
                  <w:r>
                    <w:rPr>
                      <w:rFonts w:eastAsia="TimesNewRomanPSMT"/>
                      <w:color w:val="000000" w:themeColor="text1"/>
                      <w14:textFill>
                        <w14:solidFill>
                          <w14:schemeClr w14:val="tx1"/>
                        </w14:solidFill>
                      </w14:textFill>
                    </w:rPr>
                    <w:t>“</w:t>
                  </w:r>
                  <w:r>
                    <w:rPr>
                      <w:color w:val="000000" w:themeColor="text1"/>
                      <w14:textFill>
                        <w14:solidFill>
                          <w14:schemeClr w14:val="tx1"/>
                        </w14:solidFill>
                      </w14:textFill>
                    </w:rPr>
                    <w:t>两高</w:t>
                  </w:r>
                  <w:r>
                    <w:rPr>
                      <w:rFonts w:eastAsia="TimesNewRomanPSMT"/>
                      <w:color w:val="000000" w:themeColor="text1"/>
                      <w14:textFill>
                        <w14:solidFill>
                          <w14:schemeClr w14:val="tx1"/>
                        </w14:solidFill>
                      </w14:textFill>
                    </w:rPr>
                    <w:t>”</w:t>
                  </w:r>
                  <w:r>
                    <w:rPr>
                      <w:color w:val="000000" w:themeColor="text1"/>
                      <w14:textFill>
                        <w14:solidFill>
                          <w14:schemeClr w14:val="tx1"/>
                        </w14:solidFill>
                      </w14:textFill>
                    </w:rPr>
                    <w:t>项目。</w:t>
                  </w:r>
                </w:p>
              </w:tc>
              <w:tc>
                <w:tcPr>
                  <w:tcW w:w="1395" w:type="pct"/>
                  <w:vAlign w:val="center"/>
                </w:tcPr>
                <w:p w14:paraId="3F26020F">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本项目不属于两高项目。</w:t>
                  </w:r>
                </w:p>
              </w:tc>
              <w:tc>
                <w:tcPr>
                  <w:tcW w:w="301" w:type="pct"/>
                  <w:vAlign w:val="center"/>
                </w:tcPr>
                <w:p w14:paraId="52433A5F">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710B770">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vAlign w:val="center"/>
                </w:tcPr>
                <w:p w14:paraId="7A578792">
                  <w:pPr>
                    <w:keepNext/>
                    <w:spacing w:line="288" w:lineRule="auto"/>
                    <w:jc w:val="center"/>
                    <w:rPr>
                      <w:color w:val="000000" w:themeColor="text1"/>
                      <w:szCs w:val="21"/>
                      <w14:textFill>
                        <w14:solidFill>
                          <w14:schemeClr w14:val="tx1"/>
                        </w14:solidFill>
                      </w14:textFill>
                    </w:rPr>
                  </w:pPr>
                </w:p>
              </w:tc>
              <w:tc>
                <w:tcPr>
                  <w:tcW w:w="496" w:type="pct"/>
                  <w:vMerge w:val="continue"/>
                  <w:vAlign w:val="center"/>
                </w:tcPr>
                <w:p w14:paraId="0ACD9754">
                  <w:pPr>
                    <w:keepNext/>
                    <w:spacing w:line="288" w:lineRule="auto"/>
                    <w:jc w:val="center"/>
                    <w:rPr>
                      <w:color w:val="000000" w:themeColor="text1"/>
                      <w:szCs w:val="21"/>
                      <w14:textFill>
                        <w14:solidFill>
                          <w14:schemeClr w14:val="tx1"/>
                        </w14:solidFill>
                      </w14:textFill>
                    </w:rPr>
                  </w:pPr>
                </w:p>
              </w:tc>
              <w:tc>
                <w:tcPr>
                  <w:tcW w:w="2553" w:type="pct"/>
                  <w:vAlign w:val="center"/>
                </w:tcPr>
                <w:p w14:paraId="3D45FB94">
                  <w:pPr>
                    <w:keepNext/>
                    <w:spacing w:line="288" w:lineRule="auto"/>
                    <w:rPr>
                      <w:color w:val="000000" w:themeColor="text1"/>
                      <w14:textFill>
                        <w14:solidFill>
                          <w14:schemeClr w14:val="tx1"/>
                        </w14:solidFill>
                      </w14:textFill>
                    </w:rPr>
                  </w:pPr>
                  <w:r>
                    <w:rPr>
                      <w:color w:val="000000" w:themeColor="text1"/>
                      <w14:textFill>
                        <w14:solidFill>
                          <w14:schemeClr w14:val="tx1"/>
                        </w14:solidFill>
                      </w14:textFill>
                    </w:rPr>
                    <w:t>深入打好扬尘污染治理攻坚战。实施建筑施工扬尘污染管控行动。建立完善市政基础设施建设、建筑物拆迁、设备安装工程及装饰修缮工程施工工地清单，以基础设施建设施工工地、老旧小区改造施工工地、房地产开发项目建设工地等为重点，加强执法监管，对未达到“六个百分百”要求的工地，依法进行处罚并责令整改，逾期整改不到位的责令停止施工。</w:t>
                  </w:r>
                </w:p>
              </w:tc>
              <w:tc>
                <w:tcPr>
                  <w:tcW w:w="1395" w:type="pct"/>
                  <w:vAlign w:val="center"/>
                </w:tcPr>
                <w:p w14:paraId="2EC72657">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本项目施工期</w:t>
                  </w:r>
                  <w:r>
                    <w:rPr>
                      <w:color w:val="000000" w:themeColor="text1"/>
                      <w14:textFill>
                        <w14:solidFill>
                          <w14:schemeClr w14:val="tx1"/>
                        </w14:solidFill>
                      </w14:textFill>
                    </w:rPr>
                    <w:t>废气、废水、固体废物及噪声均采取有效治理措施，对周围环境影响较小</w:t>
                  </w:r>
                  <w:r>
                    <w:rPr>
                      <w:color w:val="000000" w:themeColor="text1"/>
                      <w:szCs w:val="21"/>
                      <w14:textFill>
                        <w14:solidFill>
                          <w14:schemeClr w14:val="tx1"/>
                        </w14:solidFill>
                      </w14:textFill>
                    </w:rPr>
                    <w:t>。</w:t>
                  </w:r>
                </w:p>
              </w:tc>
              <w:tc>
                <w:tcPr>
                  <w:tcW w:w="301" w:type="pct"/>
                  <w:vAlign w:val="center"/>
                </w:tcPr>
                <w:p w14:paraId="7CB9CA03">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321A3D8">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vAlign w:val="center"/>
                </w:tcPr>
                <w:p w14:paraId="1180ADBD">
                  <w:pPr>
                    <w:keepNext/>
                    <w:spacing w:line="288" w:lineRule="auto"/>
                    <w:jc w:val="center"/>
                    <w:rPr>
                      <w:color w:val="000000" w:themeColor="text1"/>
                      <w:szCs w:val="21"/>
                      <w14:textFill>
                        <w14:solidFill>
                          <w14:schemeClr w14:val="tx1"/>
                        </w14:solidFill>
                      </w14:textFill>
                    </w:rPr>
                  </w:pPr>
                </w:p>
              </w:tc>
              <w:tc>
                <w:tcPr>
                  <w:tcW w:w="496" w:type="pct"/>
                  <w:vMerge w:val="continue"/>
                  <w:vAlign w:val="center"/>
                </w:tcPr>
                <w:p w14:paraId="24F155FF">
                  <w:pPr>
                    <w:keepNext/>
                    <w:spacing w:line="288" w:lineRule="auto"/>
                    <w:jc w:val="center"/>
                    <w:rPr>
                      <w:color w:val="000000" w:themeColor="text1"/>
                      <w:szCs w:val="21"/>
                      <w14:textFill>
                        <w14:solidFill>
                          <w14:schemeClr w14:val="tx1"/>
                        </w14:solidFill>
                      </w14:textFill>
                    </w:rPr>
                  </w:pPr>
                </w:p>
              </w:tc>
              <w:tc>
                <w:tcPr>
                  <w:tcW w:w="2553" w:type="pct"/>
                  <w:vAlign w:val="center"/>
                </w:tcPr>
                <w:p w14:paraId="77571EA8">
                  <w:pPr>
                    <w:keepNext/>
                    <w:spacing w:line="288" w:lineRule="auto"/>
                    <w:rPr>
                      <w:color w:val="000000" w:themeColor="text1"/>
                      <w:szCs w:val="21"/>
                      <w14:textFill>
                        <w14:solidFill>
                          <w14:schemeClr w14:val="tx1"/>
                        </w14:solidFill>
                      </w14:textFill>
                    </w:rPr>
                  </w:pPr>
                  <w:r>
                    <w:rPr>
                      <w:color w:val="000000" w:themeColor="text1"/>
                      <w14:textFill>
                        <w14:solidFill>
                          <w14:schemeClr w14:val="tx1"/>
                        </w14:solidFill>
                      </w14:textFill>
                    </w:rPr>
                    <w:t>实施噪声污染防治行动。</w:t>
                  </w:r>
                </w:p>
              </w:tc>
              <w:tc>
                <w:tcPr>
                  <w:tcW w:w="1395" w:type="pct"/>
                  <w:vAlign w:val="center"/>
                </w:tcPr>
                <w:p w14:paraId="58100E21">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本项目产噪设备均采用低噪声设备、基础减振、建筑隔声等噪声污染治理措施。</w:t>
                  </w:r>
                </w:p>
              </w:tc>
              <w:tc>
                <w:tcPr>
                  <w:tcW w:w="301" w:type="pct"/>
                  <w:vAlign w:val="center"/>
                </w:tcPr>
                <w:p w14:paraId="73789A67">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42489255">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vAlign w:val="center"/>
                </w:tcPr>
                <w:p w14:paraId="57710DCA">
                  <w:pPr>
                    <w:keepNext/>
                    <w:spacing w:line="288" w:lineRule="auto"/>
                    <w:jc w:val="center"/>
                    <w:rPr>
                      <w:color w:val="000000" w:themeColor="text1"/>
                      <w:szCs w:val="21"/>
                      <w14:textFill>
                        <w14:solidFill>
                          <w14:schemeClr w14:val="tx1"/>
                        </w14:solidFill>
                      </w14:textFill>
                    </w:rPr>
                  </w:pPr>
                </w:p>
              </w:tc>
              <w:tc>
                <w:tcPr>
                  <w:tcW w:w="496" w:type="pct"/>
                  <w:vMerge w:val="continue"/>
                  <w:vAlign w:val="center"/>
                </w:tcPr>
                <w:p w14:paraId="112C6C45">
                  <w:pPr>
                    <w:keepNext/>
                    <w:spacing w:line="288" w:lineRule="auto"/>
                    <w:jc w:val="center"/>
                    <w:rPr>
                      <w:color w:val="000000" w:themeColor="text1"/>
                      <w:szCs w:val="21"/>
                      <w14:textFill>
                        <w14:solidFill>
                          <w14:schemeClr w14:val="tx1"/>
                        </w14:solidFill>
                      </w14:textFill>
                    </w:rPr>
                  </w:pPr>
                </w:p>
              </w:tc>
              <w:tc>
                <w:tcPr>
                  <w:tcW w:w="2553" w:type="pct"/>
                  <w:vAlign w:val="center"/>
                </w:tcPr>
                <w:p w14:paraId="01E8D389">
                  <w:pPr>
                    <w:keepNext/>
                    <w:spacing w:line="288" w:lineRule="auto"/>
                    <w:rPr>
                      <w:color w:val="000000" w:themeColor="text1"/>
                      <w:szCs w:val="21"/>
                      <w14:textFill>
                        <w14:solidFill>
                          <w14:schemeClr w14:val="tx1"/>
                        </w14:solidFill>
                      </w14:textFill>
                    </w:rPr>
                  </w:pPr>
                  <w:r>
                    <w:rPr>
                      <w:color w:val="000000" w:themeColor="text1"/>
                      <w14:textFill>
                        <w14:solidFill>
                          <w14:schemeClr w14:val="tx1"/>
                        </w14:solidFill>
                      </w14:textFill>
                    </w:rPr>
                    <w:t>持续打好浑河流域综合治理攻坚战。</w:t>
                  </w:r>
                </w:p>
              </w:tc>
              <w:tc>
                <w:tcPr>
                  <w:tcW w:w="1395" w:type="pct"/>
                  <w:vAlign w:val="center"/>
                </w:tcPr>
                <w:p w14:paraId="67A779DE">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软水制备废水用于炉渣清理时洒水降尘，不外排；蒸汽发生器排污水经化粪池处理后</w:t>
                  </w:r>
                  <w:r>
                    <w:rPr>
                      <w:color w:val="000000" w:themeColor="text1"/>
                      <w14:textFill>
                        <w14:solidFill>
                          <w14:schemeClr w14:val="tx1"/>
                        </w14:solidFill>
                      </w14:textFill>
                    </w:rPr>
                    <w:t>排入峡河乡污水处理设施</w:t>
                  </w:r>
                  <w:r>
                    <w:rPr>
                      <w:color w:val="000000" w:themeColor="text1"/>
                      <w:szCs w:val="21"/>
                      <w14:textFill>
                        <w14:solidFill>
                          <w14:schemeClr w14:val="tx1"/>
                        </w14:solidFill>
                      </w14:textFill>
                    </w:rPr>
                    <w:t>，对周围环境影响较小。</w:t>
                  </w:r>
                </w:p>
              </w:tc>
              <w:tc>
                <w:tcPr>
                  <w:tcW w:w="301" w:type="pct"/>
                  <w:vAlign w:val="center"/>
                </w:tcPr>
                <w:p w14:paraId="3A95E7CC">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38130812">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restart"/>
                  <w:vAlign w:val="center"/>
                </w:tcPr>
                <w:p w14:paraId="3352F0E9">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496" w:type="pct"/>
                  <w:vMerge w:val="restart"/>
                  <w:vAlign w:val="center"/>
                </w:tcPr>
                <w:p w14:paraId="1014F87C">
                  <w:pPr>
                    <w:keepNext/>
                    <w:spacing w:line="288" w:lineRule="auto"/>
                    <w:jc w:val="center"/>
                    <w:rPr>
                      <w:color w:val="000000" w:themeColor="text1"/>
                      <w:sz w:val="24"/>
                      <w14:textFill>
                        <w14:solidFill>
                          <w14:schemeClr w14:val="tx1"/>
                        </w14:solidFill>
                      </w14:textFill>
                    </w:rPr>
                  </w:pPr>
                  <w:r>
                    <w:rPr>
                      <w:color w:val="000000" w:themeColor="text1"/>
                      <w:szCs w:val="21"/>
                      <w14:textFill>
                        <w14:solidFill>
                          <w14:schemeClr w14:val="tx1"/>
                        </w14:solidFill>
                      </w14:textFill>
                    </w:rPr>
                    <w:t>《抚顺市“十四五”生态环境保护规划》</w:t>
                  </w:r>
                </w:p>
              </w:tc>
              <w:tc>
                <w:tcPr>
                  <w:tcW w:w="2553" w:type="pct"/>
                  <w:vAlign w:val="center"/>
                </w:tcPr>
                <w:p w14:paraId="4ABCAF9B">
                  <w:pPr>
                    <w:spacing w:line="288" w:lineRule="auto"/>
                    <w:jc w:val="left"/>
                    <w:rPr>
                      <w:color w:val="000000" w:themeColor="text1"/>
                      <w:szCs w:val="21"/>
                      <w14:textFill>
                        <w14:solidFill>
                          <w14:schemeClr w14:val="tx1"/>
                        </w14:solidFill>
                      </w14:textFill>
                    </w:rPr>
                  </w:pPr>
                  <w:bookmarkStart w:id="3" w:name="_Toc32086"/>
                  <w:r>
                    <w:rPr>
                      <w:color w:val="000000" w:themeColor="text1"/>
                      <w:szCs w:val="21"/>
                      <w14:textFill>
                        <w14:solidFill>
                          <w14:schemeClr w14:val="tx1"/>
                        </w14:solidFill>
                      </w14:textFill>
                    </w:rPr>
                    <w:t>（三）优化调整能源消费结构</w:t>
                  </w:r>
                  <w:bookmarkEnd w:id="3"/>
                </w:p>
                <w:p w14:paraId="3B6B5CE8">
                  <w:pPr>
                    <w:spacing w:line="288" w:lineRule="auto"/>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3.加快实施清洁能源替代。完善天然气产供储销体系，推进抚顺LNG站线扩建项目和省际管网互联互通，持续提升天然气消费量占一次能源消费比重。加快发展风能、太阳能、水能、生物质能、地热能等非化石能源，完成省定非化石能源占一次能源消费比重目标。加快推进清原抽水蓄能电站建设，积极探索辽宁绿色经济区（抚顺）风电建设。实施“光伏+”专项工程，重点依托工商业建筑、公共建筑屋顶、产业园区等，实施分布式太阳能光伏发电。加快发展纯电动汽车，扩大交通燃油替代规模。积极争取抚顺纳入北方地区清洁取暖政策支持范围，加快推进储能项目落地。持续推进清洁取暖，完善煤改电、煤改气供暖政策，扩大煤改电、煤改气供暖范围，提高城市集中供热比重。实施散煤替代工程，建成环保工程、民生工程。加快发展技术成熟的生物质成型燃料和生物质气化热电联产项目，推动形成一批生物质清洁供热占优势比重的乡镇区域。到2025年，清洁取暖率完成省政府下达指标。</w:t>
                  </w:r>
                </w:p>
              </w:tc>
              <w:tc>
                <w:tcPr>
                  <w:tcW w:w="1395" w:type="pct"/>
                  <w:vAlign w:val="center"/>
                </w:tcPr>
                <w:p w14:paraId="480E4B37">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w:t>
                  </w:r>
                  <w:r>
                    <w:rPr>
                      <w:color w:val="000000" w:themeColor="text1"/>
                      <w14:textFill>
                        <w14:solidFill>
                          <w14:schemeClr w14:val="tx1"/>
                        </w14:solidFill>
                      </w14:textFill>
                    </w:rPr>
                    <w:t>建设1台2.5t/h生物质蒸汽发生器</w:t>
                  </w:r>
                  <w:r>
                    <w:rPr>
                      <w:color w:val="000000" w:themeColor="text1"/>
                      <w:szCs w:val="21"/>
                      <w14:textFill>
                        <w14:solidFill>
                          <w14:schemeClr w14:val="tx1"/>
                        </w14:solidFill>
                      </w14:textFill>
                    </w:rPr>
                    <w:t>作为食用菌漂烫工序热源，不涉及燃煤锅炉。</w:t>
                  </w:r>
                </w:p>
              </w:tc>
              <w:tc>
                <w:tcPr>
                  <w:tcW w:w="301" w:type="pct"/>
                  <w:vAlign w:val="center"/>
                </w:tcPr>
                <w:p w14:paraId="1C4B031D">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2EBF30EE">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vAlign w:val="center"/>
                </w:tcPr>
                <w:p w14:paraId="12397C71">
                  <w:pPr>
                    <w:keepNext/>
                    <w:spacing w:line="288" w:lineRule="auto"/>
                    <w:jc w:val="center"/>
                    <w:rPr>
                      <w:color w:val="000000" w:themeColor="text1"/>
                      <w:sz w:val="24"/>
                      <w14:textFill>
                        <w14:solidFill>
                          <w14:schemeClr w14:val="tx1"/>
                        </w14:solidFill>
                      </w14:textFill>
                    </w:rPr>
                  </w:pPr>
                </w:p>
              </w:tc>
              <w:tc>
                <w:tcPr>
                  <w:tcW w:w="496" w:type="pct"/>
                  <w:vMerge w:val="continue"/>
                  <w:vAlign w:val="center"/>
                </w:tcPr>
                <w:p w14:paraId="42471692">
                  <w:pPr>
                    <w:keepNext/>
                    <w:spacing w:line="288" w:lineRule="auto"/>
                    <w:jc w:val="center"/>
                    <w:rPr>
                      <w:color w:val="000000" w:themeColor="text1"/>
                      <w:sz w:val="24"/>
                      <w14:textFill>
                        <w14:solidFill>
                          <w14:schemeClr w14:val="tx1"/>
                        </w14:solidFill>
                      </w14:textFill>
                    </w:rPr>
                  </w:pPr>
                </w:p>
              </w:tc>
              <w:tc>
                <w:tcPr>
                  <w:tcW w:w="2553" w:type="pct"/>
                  <w:vAlign w:val="center"/>
                </w:tcPr>
                <w:p w14:paraId="2BA8C475">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（五）加强固体废物治理统治</w:t>
                  </w:r>
                </w:p>
                <w:p w14:paraId="77F01E08">
                  <w:pPr>
                    <w:keepNext/>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3.加强固体废物利用污染防治。完善固体废物综合利用污染防治制度，推动固体废物综合利用二次污染环境防治工作。强化固体废物产出企业全过程污染环境防治责任，建立固体废物管理台账，记录产生固体废物的种类、数量、流向、贮存、利用、处置等信息，实施固体废物综合利用可追溯、可查询。加快建立行业规范条件和管理办法，对建设项目的规模、工艺技术装备、环境保护措施、能源资源利用等进行规范化管理，依规约束企业在生产经营活动中不符合环境保护标准的各类行为。</w:t>
                  </w:r>
                </w:p>
              </w:tc>
              <w:tc>
                <w:tcPr>
                  <w:tcW w:w="1395" w:type="pct"/>
                  <w:vAlign w:val="center"/>
                </w:tcPr>
                <w:p w14:paraId="538ED8BF">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炉渣、除尘灰收集后暂存于一般固废间外售处置；废离子交换树脂、废布袋由厂家回收处理；废机油、废油桶暂存于危废贮存点，定期委托有资质单位处置。按要求建立固体废物管理台账，记录产生固体废物的种类、数量、流向、贮存、利用、处置等信息。</w:t>
                  </w:r>
                </w:p>
              </w:tc>
              <w:tc>
                <w:tcPr>
                  <w:tcW w:w="301" w:type="pct"/>
                  <w:vAlign w:val="center"/>
                </w:tcPr>
                <w:p w14:paraId="770D2213">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1FB9BFA7">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restart"/>
                  <w:shd w:val="clear" w:color="auto" w:fill="auto"/>
                  <w:vAlign w:val="center"/>
                </w:tcPr>
                <w:p w14:paraId="1D002D9D">
                  <w:pPr>
                    <w:keepNext/>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496" w:type="pct"/>
                  <w:vMerge w:val="restart"/>
                  <w:shd w:val="clear" w:color="auto" w:fill="auto"/>
                  <w:vAlign w:val="center"/>
                </w:tcPr>
                <w:p w14:paraId="3338FDD8">
                  <w:pPr>
                    <w:keepNext/>
                    <w:spacing w:before="48" w:beforeLines="20" w:line="288" w:lineRule="auto"/>
                    <w:jc w:val="center"/>
                    <w:rPr>
                      <w:color w:val="000000" w:themeColor="text1"/>
                      <w:szCs w:val="21"/>
                      <w:lang w:val="zh-CN"/>
                      <w14:textFill>
                        <w14:solidFill>
                          <w14:schemeClr w14:val="tx1"/>
                        </w14:solidFill>
                      </w14:textFill>
                    </w:rPr>
                  </w:pPr>
                  <w:r>
                    <w:rPr>
                      <w:color w:val="000000" w:themeColor="text1"/>
                      <w:szCs w:val="21"/>
                      <w14:textFill>
                        <w14:solidFill>
                          <w14:schemeClr w14:val="tx1"/>
                        </w14:solidFill>
                      </w14:textFill>
                    </w:rPr>
                    <w:t>辽宁省人民政府关于印发《辽宁省空气质量持续改善行动实施方案》的通知（辽政发[2024]11号）</w:t>
                  </w:r>
                </w:p>
              </w:tc>
              <w:tc>
                <w:tcPr>
                  <w:tcW w:w="2553" w:type="pct"/>
                  <w:shd w:val="clear" w:color="auto" w:fill="auto"/>
                  <w:vAlign w:val="center"/>
                </w:tcPr>
                <w:p w14:paraId="4855AF46">
                  <w:pPr>
                    <w:spacing w:line="312" w:lineRule="auto"/>
                    <w:rPr>
                      <w:color w:val="000000" w:themeColor="text1"/>
                      <w14:textFill>
                        <w14:solidFill>
                          <w14:schemeClr w14:val="tx1"/>
                        </w14:solidFill>
                      </w14:textFill>
                    </w:rPr>
                  </w:pPr>
                  <w:r>
                    <w:rPr>
                      <w:color w:val="000000" w:themeColor="text1"/>
                      <w14:textFill>
                        <w14:solidFill>
                          <w14:schemeClr w14:val="tx1"/>
                        </w14:solidFill>
                      </w14:textFill>
                    </w:rPr>
                    <w:t>大力发展新能源和清洁能源。原则上不再新增自备燃煤机组，支持自备燃煤机组实施清洁能源替代。到2025年，非化石能源消费比重达到13.7%左右，电能占终端能源消费比重达到15%左右。实施工业炉窑清洁能源替代，有序推进以电代煤，积极稳妥推进以气代煤。</w:t>
                  </w:r>
                </w:p>
              </w:tc>
              <w:tc>
                <w:tcPr>
                  <w:tcW w:w="1395" w:type="pct"/>
                  <w:shd w:val="clear" w:color="auto" w:fill="auto"/>
                  <w:vAlign w:val="center"/>
                </w:tcPr>
                <w:p w14:paraId="7760D86F">
                  <w:pPr>
                    <w:spacing w:line="312" w:lineRule="auto"/>
                    <w:rPr>
                      <w:color w:val="000000" w:themeColor="text1"/>
                      <w14:textFill>
                        <w14:solidFill>
                          <w14:schemeClr w14:val="tx1"/>
                        </w14:solidFill>
                      </w14:textFill>
                    </w:rPr>
                  </w:pPr>
                  <w:r>
                    <w:rPr>
                      <w:color w:val="000000" w:themeColor="text1"/>
                      <w14:textFill>
                        <w14:solidFill>
                          <w14:schemeClr w14:val="tx1"/>
                        </w14:solidFill>
                      </w14:textFill>
                    </w:rPr>
                    <w:t>本项目建设生物质蒸汽发生器作为生产热源，不涉及燃煤锅炉，配套旋风除尘+布袋除尘设施等除尘设施，所用燃料为生物质成型颗粒，对周围环境影响较小。</w:t>
                  </w:r>
                </w:p>
              </w:tc>
              <w:tc>
                <w:tcPr>
                  <w:tcW w:w="301" w:type="pct"/>
                  <w:vAlign w:val="center"/>
                </w:tcPr>
                <w:p w14:paraId="5DD6DE7F">
                  <w:pPr>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4727CC97">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Merge w:val="continue"/>
                  <w:shd w:val="clear" w:color="auto" w:fill="auto"/>
                  <w:vAlign w:val="center"/>
                </w:tcPr>
                <w:p w14:paraId="5B9FB266">
                  <w:pPr>
                    <w:keepNext/>
                    <w:spacing w:before="48" w:beforeLines="20" w:line="288" w:lineRule="auto"/>
                    <w:jc w:val="center"/>
                    <w:rPr>
                      <w:color w:val="000000" w:themeColor="text1"/>
                      <w:szCs w:val="21"/>
                      <w14:textFill>
                        <w14:solidFill>
                          <w14:schemeClr w14:val="tx1"/>
                        </w14:solidFill>
                      </w14:textFill>
                    </w:rPr>
                  </w:pPr>
                </w:p>
              </w:tc>
              <w:tc>
                <w:tcPr>
                  <w:tcW w:w="496" w:type="pct"/>
                  <w:vMerge w:val="continue"/>
                  <w:shd w:val="clear" w:color="auto" w:fill="auto"/>
                  <w:vAlign w:val="center"/>
                </w:tcPr>
                <w:p w14:paraId="7AC93DB3">
                  <w:pPr>
                    <w:keepNext/>
                    <w:spacing w:before="48" w:beforeLines="20" w:line="288" w:lineRule="auto"/>
                    <w:jc w:val="center"/>
                    <w:rPr>
                      <w:color w:val="000000" w:themeColor="text1"/>
                      <w:szCs w:val="21"/>
                      <w:lang w:val="zh-CN"/>
                      <w14:textFill>
                        <w14:solidFill>
                          <w14:schemeClr w14:val="tx1"/>
                        </w14:solidFill>
                      </w14:textFill>
                    </w:rPr>
                  </w:pPr>
                </w:p>
              </w:tc>
              <w:tc>
                <w:tcPr>
                  <w:tcW w:w="2553" w:type="pct"/>
                  <w:shd w:val="clear" w:color="auto" w:fill="auto"/>
                  <w:vAlign w:val="center"/>
                </w:tcPr>
                <w:p w14:paraId="3A588438">
                  <w:pPr>
                    <w:pStyle w:val="108"/>
                    <w:spacing w:line="312" w:lineRule="auto"/>
                    <w:rPr>
                      <w:rFonts w:ascii="Times New Roman" w:eastAsia="宋体"/>
                      <w:color w:val="000000" w:themeColor="text1"/>
                      <w:szCs w:val="21"/>
                      <w14:textFill>
                        <w14:solidFill>
                          <w14:schemeClr w14:val="tx1"/>
                        </w14:solidFill>
                      </w14:textFill>
                    </w:rPr>
                  </w:pPr>
                  <w:r>
                    <w:rPr>
                      <w:rFonts w:ascii="Times New Roman" w:eastAsia="宋体"/>
                      <w:color w:val="000000" w:themeColor="text1"/>
                      <w:szCs w:val="21"/>
                      <w14:textFill>
                        <w14:solidFill>
                          <w14:schemeClr w14:val="tx1"/>
                        </w14:solidFill>
                      </w14:textFill>
                    </w:rPr>
                    <w:t>（五）积极开展燃煤锅炉关停整合。县级及以上城市建成区原则</w:t>
                  </w:r>
                </w:p>
                <w:p w14:paraId="6A13D861">
                  <w:pPr>
                    <w:pStyle w:val="108"/>
                    <w:spacing w:line="312" w:lineRule="auto"/>
                    <w:rPr>
                      <w:rFonts w:ascii="Times New Roman" w:eastAsia="宋体"/>
                      <w:color w:val="000000" w:themeColor="text1"/>
                      <w:szCs w:val="21"/>
                      <w14:textFill>
                        <w14:solidFill>
                          <w14:schemeClr w14:val="tx1"/>
                        </w14:solidFill>
                      </w14:textFill>
                    </w:rPr>
                  </w:pPr>
                  <w:r>
                    <w:rPr>
                      <w:rFonts w:ascii="Times New Roman" w:eastAsia="宋体"/>
                      <w:color w:val="000000" w:themeColor="text1"/>
                      <w:szCs w:val="21"/>
                      <w14:textFill>
                        <w14:solidFill>
                          <w14:schemeClr w14:val="tx1"/>
                        </w14:solidFill>
                      </w14:textFill>
                    </w:rPr>
                    <w:t>上不再新建35 蒸吨/小时及以下燃煤锅炉。到2025 年，PM2.5 未达标城市全域基本淘汰10 蒸吨/小时及以下燃煤锅炉，所有城市建成区基本淘汰35 蒸吨/小时及以下燃煤锅炉。</w:t>
                  </w:r>
                </w:p>
              </w:tc>
              <w:tc>
                <w:tcPr>
                  <w:tcW w:w="1395" w:type="pct"/>
                  <w:shd w:val="clear" w:color="auto" w:fill="auto"/>
                  <w:vAlign w:val="center"/>
                </w:tcPr>
                <w:p w14:paraId="3EDF8246">
                  <w:pPr>
                    <w:spacing w:line="312" w:lineRule="auto"/>
                    <w:rPr>
                      <w:color w:val="000000" w:themeColor="text1"/>
                      <w14:textFill>
                        <w14:solidFill>
                          <w14:schemeClr w14:val="tx1"/>
                        </w14:solidFill>
                      </w14:textFill>
                    </w:rPr>
                  </w:pPr>
                  <w:r>
                    <w:rPr>
                      <w:color w:val="000000" w:themeColor="text1"/>
                      <w14:textFill>
                        <w14:solidFill>
                          <w14:schemeClr w14:val="tx1"/>
                        </w14:solidFill>
                      </w14:textFill>
                    </w:rPr>
                    <w:t>本项目建设生物质蒸汽发生器作为生产热源，不涉及燃煤锅炉，配套旋风除尘+布袋除尘设施等除尘设施，所用燃料为生物质成型颗粒，对周围环境影响较小。</w:t>
                  </w:r>
                </w:p>
              </w:tc>
              <w:tc>
                <w:tcPr>
                  <w:tcW w:w="301" w:type="pct"/>
                  <w:vAlign w:val="center"/>
                </w:tcPr>
                <w:p w14:paraId="6231384A">
                  <w:pPr>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35EB4E61">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vAlign w:val="center"/>
                </w:tcPr>
                <w:p w14:paraId="67854665">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496" w:type="pct"/>
                  <w:vAlign w:val="center"/>
                </w:tcPr>
                <w:p w14:paraId="4B31FB67">
                  <w:pPr>
                    <w:keepNext/>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《抚顺市人民政府办公室关于印发抚顺市空气质量持续改善行动实施方案的通知》抚政办规[2025]3号</w:t>
                  </w:r>
                </w:p>
              </w:tc>
              <w:tc>
                <w:tcPr>
                  <w:tcW w:w="2553" w:type="pct"/>
                  <w:shd w:val="clear" w:color="auto" w:fill="auto"/>
                  <w:vAlign w:val="center"/>
                </w:tcPr>
                <w:p w14:paraId="4E7CA624">
                  <w:pPr>
                    <w:spacing w:line="288" w:lineRule="auto"/>
                    <w:rPr>
                      <w:color w:val="000000" w:themeColor="text1"/>
                      <w14:textFill>
                        <w14:solidFill>
                          <w14:schemeClr w14:val="tx1"/>
                        </w14:solidFill>
                      </w14:textFill>
                    </w:rPr>
                  </w:pPr>
                  <w:r>
                    <w:rPr>
                      <w:color w:val="000000" w:themeColor="text1"/>
                      <w14:textFill>
                        <w14:solidFill>
                          <w14:schemeClr w14:val="tx1"/>
                        </w14:solidFill>
                      </w14:textFill>
                    </w:rPr>
                    <w:t>二、优化产业结构，促进产业产品绿色升级</w:t>
                  </w:r>
                </w:p>
                <w:p w14:paraId="5B72C119">
                  <w:pPr>
                    <w:spacing w:line="288" w:lineRule="auto"/>
                    <w:rPr>
                      <w:color w:val="000000" w:themeColor="text1"/>
                      <w14:textFill>
                        <w14:solidFill>
                          <w14:schemeClr w14:val="tx1"/>
                        </w14:solidFill>
                      </w14:textFill>
                    </w:rPr>
                  </w:pPr>
                  <w:r>
                    <w:rPr>
                      <w:color w:val="000000" w:themeColor="text1"/>
                      <w14:textFill>
                        <w14:solidFill>
                          <w14:schemeClr w14:val="tx1"/>
                        </w14:solidFill>
                      </w14:textFill>
                    </w:rPr>
                    <w:t>（一)推动优化产业结构和布局。严格把控项目准入，坚决杜绝高耗能、高排放以及低水平项目的上马。所有新改扩建项目必须符合国家产业规划、生态环境分区管控方案以及碳排放达峰目标等要求。加快重点行业落后产能的退出步伐，大力推动钢铁石化、水泥、碳素等关键领域的设备更新换代，优化工艺流程加速淘汰落后低效与超期服役的老旧设备。</w:t>
                  </w:r>
                </w:p>
              </w:tc>
              <w:tc>
                <w:tcPr>
                  <w:tcW w:w="1395" w:type="pct"/>
                  <w:shd w:val="clear" w:color="auto" w:fill="auto"/>
                  <w:vAlign w:val="center"/>
                </w:tcPr>
                <w:p w14:paraId="1720658F">
                  <w:pPr>
                    <w:spacing w:line="288" w:lineRule="auto"/>
                    <w:rPr>
                      <w:color w:val="000000" w:themeColor="text1"/>
                      <w14:textFill>
                        <w14:solidFill>
                          <w14:schemeClr w14:val="tx1"/>
                        </w14:solidFill>
                      </w14:textFill>
                    </w:rPr>
                  </w:pPr>
                  <w:r>
                    <w:rPr>
                      <w:color w:val="000000" w:themeColor="text1"/>
                      <w14:textFill>
                        <w14:solidFill>
                          <w14:schemeClr w14:val="tx1"/>
                        </w14:solidFill>
                      </w14:textFill>
                    </w:rPr>
                    <w:t>本项目建设1台2.5t/h生物质蒸汽发生器作为食用菌漂烫工序热源使用，根据《产业结构调整指导目录》（2024 年本），属于允许类项目，符合国家产业规划。</w:t>
                  </w:r>
                </w:p>
              </w:tc>
              <w:tc>
                <w:tcPr>
                  <w:tcW w:w="301" w:type="pct"/>
                  <w:vAlign w:val="center"/>
                </w:tcPr>
                <w:p w14:paraId="4D52359C">
                  <w:pPr>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2ACEB67">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504" w:hRule="atLeast"/>
                <w:jc w:val="center"/>
              </w:trPr>
              <w:tc>
                <w:tcPr>
                  <w:tcW w:w="252" w:type="pct"/>
                  <w:shd w:val="clear" w:color="auto" w:fill="auto"/>
                  <w:vAlign w:val="center"/>
                </w:tcPr>
                <w:p w14:paraId="6910049F">
                  <w:pPr>
                    <w:pStyle w:val="108"/>
                    <w:spacing w:line="288" w:lineRule="auto"/>
                    <w:jc w:val="center"/>
                    <w:rPr>
                      <w:rFonts w:ascii="Times New Roman" w:eastAsia="宋体"/>
                      <w:color w:val="000000" w:themeColor="text1"/>
                      <w:szCs w:val="21"/>
                      <w14:textFill>
                        <w14:solidFill>
                          <w14:schemeClr w14:val="tx1"/>
                        </w14:solidFill>
                      </w14:textFill>
                    </w:rPr>
                  </w:pPr>
                  <w:r>
                    <w:rPr>
                      <w:rFonts w:ascii="Times New Roman" w:eastAsia="宋体"/>
                      <w:color w:val="000000" w:themeColor="text1"/>
                      <w:szCs w:val="21"/>
                      <w14:textFill>
                        <w14:solidFill>
                          <w14:schemeClr w14:val="tx1"/>
                        </w14:solidFill>
                      </w14:textFill>
                    </w:rPr>
                    <w:t>6</w:t>
                  </w:r>
                </w:p>
              </w:tc>
              <w:tc>
                <w:tcPr>
                  <w:tcW w:w="496" w:type="pct"/>
                  <w:shd w:val="clear" w:color="auto" w:fill="auto"/>
                  <w:vAlign w:val="center"/>
                </w:tcPr>
                <w:p w14:paraId="329411C5">
                  <w:pPr>
                    <w:pStyle w:val="108"/>
                    <w:spacing w:line="288" w:lineRule="auto"/>
                    <w:jc w:val="center"/>
                    <w:rPr>
                      <w:rFonts w:ascii="Times New Roman" w:eastAsia="宋体"/>
                      <w:color w:val="000000" w:themeColor="text1"/>
                      <w:szCs w:val="21"/>
                      <w14:textFill>
                        <w14:solidFill>
                          <w14:schemeClr w14:val="tx1"/>
                        </w14:solidFill>
                      </w14:textFill>
                    </w:rPr>
                  </w:pPr>
                  <w:r>
                    <w:rPr>
                      <w:rFonts w:ascii="Times New Roman" w:eastAsia="宋体"/>
                      <w:color w:val="000000" w:themeColor="text1"/>
                      <w:szCs w:val="21"/>
                      <w14:textFill>
                        <w14:solidFill>
                          <w14:schemeClr w14:val="tx1"/>
                        </w14:solidFill>
                      </w14:textFill>
                    </w:rPr>
                    <w:t>《生态环境部关于发布&lt;高污染燃料目录&gt;的通知》（国环规大气〔2017〕2号）</w:t>
                  </w:r>
                </w:p>
              </w:tc>
              <w:tc>
                <w:tcPr>
                  <w:tcW w:w="2553" w:type="pct"/>
                  <w:shd w:val="clear" w:color="auto" w:fill="auto"/>
                  <w:vAlign w:val="center"/>
                </w:tcPr>
                <w:p w14:paraId="6EEE31A5">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一）Ⅰ类1．单台出力小于20蒸吨/小时的锅炉和民用燃煤设备燃用的含硫量大于0.5%、灰分大于10%的煤炭及其制品（其中，型煤、焦炭、兰炭的组分含量大于表2中规定的限值）。2．石油焦、油页岩、原油、重油、渣油、煤焦油。（二）Ⅱ类1．除单台出力大于等于20蒸吨/小时锅炉以外燃用的煤炭及其制品。2.石油焦、油页岩、原油、重油、渣油、煤焦油。（三）Ⅲ类1．煤炭及其制品。2．石油焦、油页岩、原油、重油、渣油、煤焦油。3．非专用锅炉或未配置高效除尘设施的专用锅炉燃用的生物质成型燃料。四、本目录规定的是生产和生活使用的煤炭及其制品（包括原煤、散煤、煤矸石、煤泥、煤粉、水煤浆、型煤、焦炭、兰炭等）、油类等常规燃料。</w:t>
                  </w:r>
                </w:p>
              </w:tc>
              <w:tc>
                <w:tcPr>
                  <w:tcW w:w="1395" w:type="pct"/>
                  <w:shd w:val="clear" w:color="auto" w:fill="auto"/>
                  <w:vAlign w:val="center"/>
                </w:tcPr>
                <w:p w14:paraId="2B6065AB">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本项目使用生物质成型颗粒作为燃料，配置旋风除尘器+布袋除尘器，属于高效除尘设施，因此，本项目不属于高污染燃料禁燃区内禁止燃用的燃料组合，且本项目建设地点位于抚顺市高污染燃料禁燃区以外。</w:t>
                  </w:r>
                </w:p>
              </w:tc>
              <w:tc>
                <w:tcPr>
                  <w:tcW w:w="301" w:type="pct"/>
                  <w:vAlign w:val="center"/>
                </w:tcPr>
                <w:p w14:paraId="78B91543">
                  <w:pPr>
                    <w:spacing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bl>
          <w:p w14:paraId="12E41104">
            <w:pPr>
              <w:keepNext/>
              <w:spacing w:line="360" w:lineRule="auto"/>
              <w:ind w:firstLine="480" w:firstLineChars="200"/>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由上表可知，本项目符合《辽宁省深入打好污染防治攻坚战实施方案》（辽委发[2022]8号）、《抚顺市深入打好污染防治攻坚战实施方案》（抚委发[2023]1号）、《抚顺市“十四五”生态环境保护规划》</w:t>
            </w:r>
            <w:r>
              <w:rPr>
                <w:rStyle w:val="64"/>
                <w:color w:val="000000" w:themeColor="text1"/>
                <w:sz w:val="24"/>
                <w:lang w:val="zh-CN"/>
                <w14:textFill>
                  <w14:solidFill>
                    <w14:schemeClr w14:val="tx1"/>
                  </w14:solidFill>
                </w14:textFill>
              </w:rPr>
              <w:t>、辽宁省人民政府关于印发《辽宁省空气质量持续改善行动实施方案》的通知（辽政发[2024]11号）、《抚顺市人民政府办公室关于印发抚顺市空气质量持续改善行动实施方案的通知》（抚政办规[2025]3号）</w:t>
            </w:r>
            <w:r>
              <w:rPr>
                <w:rStyle w:val="64"/>
                <w:color w:val="000000" w:themeColor="text1"/>
                <w:sz w:val="24"/>
                <w14:textFill>
                  <w14:solidFill>
                    <w14:schemeClr w14:val="tx1"/>
                  </w14:solidFill>
                </w14:textFill>
              </w:rPr>
              <w:t>、《生态环境部关于发布&lt;高污染燃料目录&gt;的通知》（国环规大气〔2017〕2号）相关内容。</w:t>
            </w:r>
          </w:p>
          <w:p w14:paraId="02948591">
            <w:pPr>
              <w:keepNext/>
              <w:spacing w:line="360" w:lineRule="auto"/>
              <w:ind w:firstLine="480" w:firstLineChars="200"/>
              <w:rPr>
                <w:rStyle w:val="64"/>
                <w:color w:val="000000" w:themeColor="text1"/>
                <w:sz w:val="24"/>
                <w14:textFill>
                  <w14:solidFill>
                    <w14:schemeClr w14:val="tx1"/>
                  </w14:solidFill>
                </w14:textFill>
              </w:rPr>
            </w:pPr>
          </w:p>
          <w:p w14:paraId="62E7C3FB">
            <w:pPr>
              <w:keepNext/>
              <w:spacing w:line="360" w:lineRule="auto"/>
              <w:rPr>
                <w:rStyle w:val="64"/>
                <w:color w:val="000000" w:themeColor="text1"/>
                <w:sz w:val="24"/>
                <w14:textFill>
                  <w14:solidFill>
                    <w14:schemeClr w14:val="tx1"/>
                  </w14:solidFill>
                </w14:textFill>
              </w:rPr>
            </w:pPr>
          </w:p>
          <w:p w14:paraId="53119761">
            <w:pPr>
              <w:keepNext/>
              <w:spacing w:line="360" w:lineRule="auto"/>
              <w:rPr>
                <w:rStyle w:val="64"/>
                <w:color w:val="000000" w:themeColor="text1"/>
                <w:sz w:val="24"/>
                <w14:textFill>
                  <w14:solidFill>
                    <w14:schemeClr w14:val="tx1"/>
                  </w14:solidFill>
                </w14:textFill>
              </w:rPr>
            </w:pPr>
          </w:p>
          <w:p w14:paraId="5D7CC53B">
            <w:pPr>
              <w:keepNext/>
              <w:spacing w:line="360" w:lineRule="auto"/>
              <w:rPr>
                <w:rStyle w:val="64"/>
                <w:color w:val="000000" w:themeColor="text1"/>
                <w:sz w:val="24"/>
                <w14:textFill>
                  <w14:solidFill>
                    <w14:schemeClr w14:val="tx1"/>
                  </w14:solidFill>
                </w14:textFill>
              </w:rPr>
            </w:pPr>
          </w:p>
          <w:p w14:paraId="4FCA523A">
            <w:pPr>
              <w:keepNext/>
              <w:spacing w:line="360" w:lineRule="auto"/>
              <w:rPr>
                <w:rStyle w:val="64"/>
                <w:color w:val="000000" w:themeColor="text1"/>
                <w:sz w:val="24"/>
                <w14:textFill>
                  <w14:solidFill>
                    <w14:schemeClr w14:val="tx1"/>
                  </w14:solidFill>
                </w14:textFill>
              </w:rPr>
            </w:pPr>
          </w:p>
          <w:p w14:paraId="4FBD09B8">
            <w:pPr>
              <w:keepNext/>
              <w:spacing w:line="360" w:lineRule="auto"/>
              <w:rPr>
                <w:rStyle w:val="64"/>
                <w:color w:val="000000" w:themeColor="text1"/>
                <w:sz w:val="24"/>
                <w14:textFill>
                  <w14:solidFill>
                    <w14:schemeClr w14:val="tx1"/>
                  </w14:solidFill>
                </w14:textFill>
              </w:rPr>
            </w:pPr>
          </w:p>
          <w:p w14:paraId="47E88F73">
            <w:pPr>
              <w:keepNext/>
              <w:spacing w:line="360" w:lineRule="auto"/>
              <w:rPr>
                <w:rStyle w:val="64"/>
                <w:color w:val="000000" w:themeColor="text1"/>
                <w:sz w:val="24"/>
                <w14:textFill>
                  <w14:solidFill>
                    <w14:schemeClr w14:val="tx1"/>
                  </w14:solidFill>
                </w14:textFill>
              </w:rPr>
            </w:pPr>
          </w:p>
          <w:p w14:paraId="2B3E3B98">
            <w:pPr>
              <w:keepNext/>
              <w:spacing w:line="360" w:lineRule="auto"/>
              <w:rPr>
                <w:rStyle w:val="64"/>
                <w:color w:val="000000" w:themeColor="text1"/>
                <w:sz w:val="24"/>
                <w14:textFill>
                  <w14:solidFill>
                    <w14:schemeClr w14:val="tx1"/>
                  </w14:solidFill>
                </w14:textFill>
              </w:rPr>
            </w:pPr>
          </w:p>
          <w:p w14:paraId="23CBA6B9">
            <w:pPr>
              <w:keepNext/>
              <w:spacing w:line="360" w:lineRule="auto"/>
              <w:rPr>
                <w:rStyle w:val="64"/>
                <w:color w:val="000000" w:themeColor="text1"/>
                <w:sz w:val="24"/>
                <w14:textFill>
                  <w14:solidFill>
                    <w14:schemeClr w14:val="tx1"/>
                  </w14:solidFill>
                </w14:textFill>
              </w:rPr>
            </w:pPr>
          </w:p>
          <w:p w14:paraId="255E2E55">
            <w:pPr>
              <w:keepNext/>
              <w:spacing w:line="360" w:lineRule="auto"/>
              <w:rPr>
                <w:rStyle w:val="64"/>
                <w:color w:val="000000" w:themeColor="text1"/>
                <w:sz w:val="24"/>
                <w14:textFill>
                  <w14:solidFill>
                    <w14:schemeClr w14:val="tx1"/>
                  </w14:solidFill>
                </w14:textFill>
              </w:rPr>
            </w:pPr>
          </w:p>
          <w:p w14:paraId="50123725">
            <w:pPr>
              <w:keepNext/>
              <w:spacing w:line="360" w:lineRule="auto"/>
              <w:rPr>
                <w:rStyle w:val="64"/>
                <w:color w:val="000000" w:themeColor="text1"/>
                <w:sz w:val="24"/>
                <w14:textFill>
                  <w14:solidFill>
                    <w14:schemeClr w14:val="tx1"/>
                  </w14:solidFill>
                </w14:textFill>
              </w:rPr>
            </w:pPr>
          </w:p>
          <w:p w14:paraId="296A477D">
            <w:pPr>
              <w:keepNext/>
              <w:spacing w:line="360" w:lineRule="auto"/>
              <w:rPr>
                <w:rStyle w:val="64"/>
                <w:color w:val="000000" w:themeColor="text1"/>
                <w:sz w:val="24"/>
                <w14:textFill>
                  <w14:solidFill>
                    <w14:schemeClr w14:val="tx1"/>
                  </w14:solidFill>
                </w14:textFill>
              </w:rPr>
            </w:pPr>
          </w:p>
          <w:p w14:paraId="25F04027">
            <w:pPr>
              <w:keepNext/>
              <w:spacing w:line="360" w:lineRule="auto"/>
              <w:rPr>
                <w:rStyle w:val="64"/>
                <w:color w:val="000000" w:themeColor="text1"/>
                <w:sz w:val="24"/>
                <w14:textFill>
                  <w14:solidFill>
                    <w14:schemeClr w14:val="tx1"/>
                  </w14:solidFill>
                </w14:textFill>
              </w:rPr>
            </w:pPr>
          </w:p>
          <w:p w14:paraId="3E083B07">
            <w:pPr>
              <w:keepNext/>
              <w:spacing w:line="360" w:lineRule="auto"/>
              <w:rPr>
                <w:rStyle w:val="64"/>
                <w:color w:val="000000" w:themeColor="text1"/>
                <w:sz w:val="24"/>
                <w14:textFill>
                  <w14:solidFill>
                    <w14:schemeClr w14:val="tx1"/>
                  </w14:solidFill>
                </w14:textFill>
              </w:rPr>
            </w:pPr>
          </w:p>
          <w:p w14:paraId="34EAF836">
            <w:pPr>
              <w:keepNext/>
              <w:spacing w:line="360" w:lineRule="auto"/>
              <w:rPr>
                <w:rStyle w:val="64"/>
                <w:color w:val="000000" w:themeColor="text1"/>
                <w:sz w:val="24"/>
                <w14:textFill>
                  <w14:solidFill>
                    <w14:schemeClr w14:val="tx1"/>
                  </w14:solidFill>
                </w14:textFill>
              </w:rPr>
            </w:pPr>
          </w:p>
          <w:p w14:paraId="294C21B6">
            <w:pPr>
              <w:keepNext/>
              <w:spacing w:line="360" w:lineRule="auto"/>
              <w:rPr>
                <w:rStyle w:val="64"/>
                <w:color w:val="000000" w:themeColor="text1"/>
                <w:sz w:val="24"/>
                <w14:textFill>
                  <w14:solidFill>
                    <w14:schemeClr w14:val="tx1"/>
                  </w14:solidFill>
                </w14:textFill>
              </w:rPr>
            </w:pPr>
          </w:p>
          <w:p w14:paraId="5839D40B">
            <w:pPr>
              <w:keepNext/>
              <w:spacing w:line="360" w:lineRule="auto"/>
              <w:rPr>
                <w:rStyle w:val="64"/>
                <w:color w:val="000000" w:themeColor="text1"/>
                <w:sz w:val="24"/>
                <w14:textFill>
                  <w14:solidFill>
                    <w14:schemeClr w14:val="tx1"/>
                  </w14:solidFill>
                </w14:textFill>
              </w:rPr>
            </w:pPr>
          </w:p>
          <w:p w14:paraId="6C21F3C2">
            <w:pPr>
              <w:keepNext/>
              <w:spacing w:line="360" w:lineRule="auto"/>
              <w:rPr>
                <w:rStyle w:val="64"/>
                <w:color w:val="000000" w:themeColor="text1"/>
                <w:sz w:val="24"/>
                <w14:textFill>
                  <w14:solidFill>
                    <w14:schemeClr w14:val="tx1"/>
                  </w14:solidFill>
                </w14:textFill>
              </w:rPr>
            </w:pPr>
          </w:p>
        </w:tc>
      </w:tr>
    </w:tbl>
    <w:p w14:paraId="5B07749B">
      <w:pPr>
        <w:autoSpaceDE w:val="0"/>
        <w:autoSpaceDN w:val="0"/>
        <w:adjustRightInd w:val="0"/>
        <w:snapToGrid w:val="0"/>
        <w:jc w:val="center"/>
        <w:rPr>
          <w:color w:val="000000" w:themeColor="text1"/>
          <w:kern w:val="0"/>
          <w:sz w:val="24"/>
          <w14:textFill>
            <w14:solidFill>
              <w14:schemeClr w14:val="tx1"/>
            </w14:solidFill>
          </w14:textFill>
        </w:rPr>
        <w:sectPr>
          <w:pgSz w:w="16838" w:h="11906" w:orient="landscape"/>
          <w:pgMar w:top="1417" w:right="1417" w:bottom="1417" w:left="1417" w:header="851" w:footer="1077" w:gutter="0"/>
          <w:cols w:space="720" w:num="1"/>
          <w:docGrid w:linePitch="312" w:charSpace="0"/>
        </w:sectPr>
      </w:pPr>
    </w:p>
    <w:p w14:paraId="2E1CBA6E">
      <w:pPr>
        <w:pStyle w:val="2"/>
        <w:jc w:val="center"/>
        <w:rPr>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二、建设项目工程分析</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2" w:space="0"/>
        </w:tblBorders>
        <w:tblLayout w:type="autofit"/>
        <w:tblCellMar>
          <w:top w:w="0" w:type="dxa"/>
          <w:left w:w="108" w:type="dxa"/>
          <w:bottom w:w="0" w:type="dxa"/>
          <w:right w:w="108" w:type="dxa"/>
        </w:tblCellMar>
      </w:tblPr>
      <w:tblGrid>
        <w:gridCol w:w="454"/>
        <w:gridCol w:w="8834"/>
      </w:tblGrid>
      <w:tr w14:paraId="30B77609">
        <w:tblPrEx>
          <w:tblBorders>
            <w:top w:val="single" w:color="auto" w:sz="12" w:space="0"/>
            <w:left w:val="single" w:color="auto" w:sz="12" w:space="0"/>
            <w:bottom w:val="single" w:color="auto" w:sz="12" w:space="0"/>
            <w:right w:val="single" w:color="auto" w:sz="12" w:space="0"/>
            <w:insideH w:val="single" w:color="auto" w:sz="12" w:space="0"/>
            <w:insideV w:val="single" w:color="auto" w:sz="2" w:space="0"/>
          </w:tblBorders>
          <w:tblCellMar>
            <w:top w:w="0" w:type="dxa"/>
            <w:left w:w="108" w:type="dxa"/>
            <w:bottom w:w="0" w:type="dxa"/>
            <w:right w:w="108" w:type="dxa"/>
          </w:tblCellMar>
        </w:tblPrEx>
        <w:trPr>
          <w:trHeight w:val="23" w:hRule="atLeast"/>
          <w:jc w:val="center"/>
        </w:trPr>
        <w:tc>
          <w:tcPr>
            <w:tcW w:w="661" w:type="dxa"/>
            <w:vAlign w:val="center"/>
          </w:tcPr>
          <w:p w14:paraId="43BBA783">
            <w:pPr>
              <w:pStyle w:val="27"/>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Cs w:val="24"/>
                <w14:textFill>
                  <w14:solidFill>
                    <w14:schemeClr w14:val="tx1"/>
                  </w14:solidFill>
                </w14:textFill>
              </w:rPr>
              <w:t>建设内容</w:t>
            </w:r>
          </w:p>
        </w:tc>
        <w:tc>
          <w:tcPr>
            <w:tcW w:w="8627" w:type="dxa"/>
          </w:tcPr>
          <w:p w14:paraId="21B42FE7">
            <w:pPr>
              <w:pStyle w:val="3"/>
              <w:numPr>
                <w:ilvl w:val="0"/>
                <w:numId w:val="0"/>
              </w:numPr>
              <w:tabs>
                <w:tab w:val="left" w:pos="567"/>
                <w:tab w:val="clear" w:pos="756"/>
              </w:tabs>
              <w:rPr>
                <w:rFonts w:eastAsia="宋体"/>
                <w:b/>
                <w:color w:val="000000" w:themeColor="text1"/>
                <w:kern w:val="2"/>
                <w:sz w:val="24"/>
                <w:szCs w:val="24"/>
                <w14:textFill>
                  <w14:solidFill>
                    <w14:schemeClr w14:val="tx1"/>
                  </w14:solidFill>
                </w14:textFill>
              </w:rPr>
            </w:pPr>
            <w:bookmarkStart w:id="4" w:name="_Toc13363"/>
            <w:bookmarkStart w:id="5" w:name="_Toc31976"/>
            <w:bookmarkStart w:id="6" w:name="_Toc28236"/>
            <w:bookmarkStart w:id="7" w:name="_Toc42076764"/>
            <w:bookmarkStart w:id="8" w:name="_Toc26525"/>
            <w:bookmarkStart w:id="9" w:name="_Toc25903"/>
            <w:r>
              <w:rPr>
                <w:rFonts w:eastAsia="宋体"/>
                <w:b/>
                <w:color w:val="000000" w:themeColor="text1"/>
                <w:kern w:val="2"/>
                <w:sz w:val="24"/>
                <w:szCs w:val="24"/>
                <w14:textFill>
                  <w14:solidFill>
                    <w14:schemeClr w14:val="tx1"/>
                  </w14:solidFill>
                </w14:textFill>
              </w:rPr>
              <w:t>1、项目</w:t>
            </w:r>
            <w:bookmarkEnd w:id="4"/>
            <w:bookmarkEnd w:id="5"/>
            <w:bookmarkEnd w:id="6"/>
            <w:bookmarkEnd w:id="7"/>
            <w:bookmarkEnd w:id="8"/>
            <w:bookmarkEnd w:id="9"/>
            <w:r>
              <w:rPr>
                <w:rFonts w:eastAsia="宋体"/>
                <w:b/>
                <w:color w:val="000000" w:themeColor="text1"/>
                <w:kern w:val="2"/>
                <w:sz w:val="24"/>
                <w:szCs w:val="24"/>
                <w14:textFill>
                  <w14:solidFill>
                    <w14:schemeClr w14:val="tx1"/>
                  </w14:solidFill>
                </w14:textFill>
              </w:rPr>
              <w:t>概况</w:t>
            </w:r>
          </w:p>
          <w:p w14:paraId="33D48858">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color w:val="000000" w:themeColor="text1"/>
                <w:sz w:val="24"/>
                <w14:textFill>
                  <w14:solidFill>
                    <w14:schemeClr w14:val="tx1"/>
                  </w14:solidFill>
                </w14:textFill>
              </w:rPr>
              <w:t>抚顺中农农业科技发展有限公司（简称抚顺中农有限公司）成立于2024年11月，建设地址位于辽宁省抚顺市抚顺县峡河乡峡河村22号，厂区占地面积6350m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，主要从事食用菌加工生产。企业现有一套食用菌加工</w:t>
            </w:r>
            <w:r>
              <w:rPr>
                <w:rFonts w:hint="eastAsia"/>
                <w:color w:val="000000" w:themeColor="text1"/>
                <w:sz w:val="24"/>
                <w14:textFill>
                  <w14:solidFill>
                    <w14:schemeClr w14:val="tx1"/>
                  </w14:solidFill>
                </w14:textFill>
              </w:rPr>
              <w:t>冷冻</w:t>
            </w:r>
            <w:r>
              <w:rPr>
                <w:color w:val="000000" w:themeColor="text1"/>
                <w:sz w:val="24"/>
                <w14:textFill>
                  <w14:solidFill>
                    <w14:schemeClr w14:val="tx1"/>
                  </w14:solidFill>
                </w14:textFill>
              </w:rPr>
              <w:t>项目生产线，以外购鲜香菇为原料，经清洗、漂烫、冷却、脱水、包装、</w:t>
            </w:r>
            <w:r>
              <w:rPr>
                <w:rFonts w:hint="eastAsia"/>
                <w:color w:val="000000" w:themeColor="text1"/>
                <w:sz w:val="24"/>
                <w14:textFill>
                  <w14:solidFill>
                    <w14:schemeClr w14:val="tx1"/>
                  </w14:solidFill>
                </w14:textFill>
              </w:rPr>
              <w:t>冷冻</w:t>
            </w:r>
            <w:r>
              <w:rPr>
                <w:color w:val="000000" w:themeColor="text1"/>
                <w:sz w:val="24"/>
                <w14:textFill>
                  <w14:solidFill>
                    <w14:schemeClr w14:val="tx1"/>
                  </w14:solidFill>
                </w14:textFill>
              </w:rPr>
              <w:t>保鲜等工序，年冷冻食用菌100t/a，根据</w:t>
            </w:r>
            <w:r>
              <w:rPr>
                <w:rStyle w:val="64"/>
                <w:color w:val="000000" w:themeColor="text1"/>
                <w:sz w:val="24"/>
                <w:lang w:val="zh-CN"/>
                <w14:textFill>
                  <w14:solidFill>
                    <w14:schemeClr w14:val="tx1"/>
                  </w14:solidFill>
                </w14:textFill>
              </w:rPr>
              <w:t>《建设项目环境影响评价分类管理名录》（2021年版），</w:t>
            </w:r>
            <w:r>
              <w:rPr>
                <w:rStyle w:val="64"/>
                <w:color w:val="000000" w:themeColor="text1"/>
                <w:sz w:val="24"/>
                <w14:textFill>
                  <w14:solidFill>
                    <w14:schemeClr w14:val="tx1"/>
                  </w14:solidFill>
                </w14:textFill>
              </w:rPr>
              <w:t>食用菌加工无需办理环境影响评价手续。</w:t>
            </w:r>
          </w:p>
          <w:p w14:paraId="23601D6B">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企业配套建设生物质蒸汽发生器用于生产供热，根据</w:t>
            </w:r>
            <w:r>
              <w:rPr>
                <w:rStyle w:val="64"/>
                <w:color w:val="000000" w:themeColor="text1"/>
                <w:sz w:val="24"/>
                <w:lang w:val="zh-CN"/>
                <w14:textFill>
                  <w14:solidFill>
                    <w14:schemeClr w14:val="tx1"/>
                  </w14:solidFill>
                </w14:textFill>
              </w:rPr>
              <w:t>《建设项目环境影响评价分类管理名录》（2021年版），</w:t>
            </w:r>
            <w:r>
              <w:rPr>
                <w:rStyle w:val="64"/>
                <w:color w:val="000000" w:themeColor="text1"/>
                <w:sz w:val="24"/>
                <w14:textFill>
                  <w14:solidFill>
                    <w14:schemeClr w14:val="tx1"/>
                  </w14:solidFill>
                </w14:textFill>
              </w:rPr>
              <w:t>生物质蒸汽发生器属于</w:t>
            </w:r>
            <w:r>
              <w:rPr>
                <w:color w:val="000000" w:themeColor="text1"/>
                <w:sz w:val="24"/>
                <w14:textFill>
                  <w14:solidFill>
                    <w14:schemeClr w14:val="tx1"/>
                  </w14:solidFill>
                </w14:textFill>
              </w:rPr>
              <w:t>“四十一、电力、热力和供应业-91热力生产和供应工程（包括建设单位自建自用的供热工程）”中“使用其他高污染燃料的（高污染燃料指国环规大气〔2017〕2号《高污染燃料目录》中规定的燃料）”的项目</w:t>
            </w:r>
            <w:r>
              <w:rPr>
                <w:rStyle w:val="64"/>
                <w:color w:val="000000" w:themeColor="text1"/>
                <w:sz w:val="24"/>
                <w14:textFill>
                  <w14:solidFill>
                    <w14:schemeClr w14:val="tx1"/>
                  </w14:solidFill>
                </w14:textFill>
              </w:rPr>
              <w:t>，应编制建设项目环境影响评价报告表，</w:t>
            </w:r>
            <w:r>
              <w:rPr>
                <w:color w:val="000000" w:themeColor="text1"/>
                <w:sz w:val="24"/>
                <w:shd w:val="clear" w:color="auto" w:fill="FFFFFF"/>
                <w14:textFill>
                  <w14:solidFill>
                    <w14:schemeClr w14:val="tx1"/>
                  </w14:solidFill>
                </w14:textFill>
              </w:rPr>
              <w:t>企业此前</w:t>
            </w:r>
            <w:r>
              <w:rPr>
                <w:rFonts w:eastAsia="Segoe UI"/>
                <w:color w:val="000000" w:themeColor="text1"/>
                <w:sz w:val="24"/>
                <w:shd w:val="clear" w:color="auto" w:fill="FFFFFF"/>
                <w14:textFill>
                  <w14:solidFill>
                    <w14:schemeClr w14:val="tx1"/>
                  </w14:solidFill>
                </w14:textFill>
              </w:rPr>
              <w:t>未依法报批环境影响评价文件即擅自开工建设，</w:t>
            </w:r>
            <w:r>
              <w:rPr>
                <w:color w:val="000000" w:themeColor="text1"/>
                <w:sz w:val="24"/>
                <w:shd w:val="clear" w:color="auto" w:fill="FFFFFF"/>
                <w14:textFill>
                  <w14:solidFill>
                    <w14:schemeClr w14:val="tx1"/>
                  </w14:solidFill>
                </w14:textFill>
              </w:rPr>
              <w:t>构成</w:t>
            </w:r>
            <w:r>
              <w:rPr>
                <w:rFonts w:eastAsia="Segoe UI"/>
                <w:color w:val="000000" w:themeColor="text1"/>
                <w:sz w:val="24"/>
                <w:shd w:val="clear" w:color="auto" w:fill="FFFFFF"/>
                <w14:textFill>
                  <w14:solidFill>
                    <w14:schemeClr w14:val="tx1"/>
                  </w14:solidFill>
                </w14:textFill>
              </w:rPr>
              <w:t>未批先建</w:t>
            </w:r>
            <w:r>
              <w:rPr>
                <w:color w:val="000000" w:themeColor="text1"/>
                <w:sz w:val="24"/>
                <w:shd w:val="clear" w:color="auto" w:fill="FFFFFF"/>
                <w14:textFill>
                  <w14:solidFill>
                    <w14:schemeClr w14:val="tx1"/>
                  </w14:solidFill>
                </w14:textFill>
              </w:rPr>
              <w:t>情形。</w:t>
            </w:r>
            <w:r>
              <w:rPr>
                <w:rStyle w:val="64"/>
                <w:color w:val="000000" w:themeColor="text1"/>
                <w:sz w:val="24"/>
                <w14:textFill>
                  <w14:solidFill>
                    <w14:schemeClr w14:val="tx1"/>
                  </w14:solidFill>
                </w14:textFill>
              </w:rPr>
              <w:t>抚顺市生态环境局抚顺县分局对该行为进行违法处罚，本次环评主要为生物质蒸汽发生器补办环评手续，项目主要建设内容见下表。</w:t>
            </w:r>
          </w:p>
          <w:p w14:paraId="67CEBAFF">
            <w:pPr>
              <w:pStyle w:val="4"/>
              <w:numPr>
                <w:ilvl w:val="0"/>
                <w:numId w:val="0"/>
              </w:numPr>
              <w:tabs>
                <w:tab w:val="clear" w:pos="720"/>
              </w:tabs>
              <w:rPr>
                <w:rFonts w:eastAsia="宋体"/>
                <w:b/>
                <w:color w:val="000000" w:themeColor="text1"/>
                <w:kern w:val="2"/>
                <w:sz w:val="24"/>
                <w:szCs w:val="28"/>
                <w14:textFill>
                  <w14:solidFill>
                    <w14:schemeClr w14:val="tx1"/>
                  </w14:solidFill>
                </w14:textFill>
              </w:rPr>
            </w:pPr>
            <w:r>
              <w:rPr>
                <w:rFonts w:eastAsia="宋体"/>
                <w:b/>
                <w:color w:val="000000" w:themeColor="text1"/>
                <w:kern w:val="2"/>
                <w:sz w:val="24"/>
                <w:szCs w:val="28"/>
                <w14:textFill>
                  <w14:solidFill>
                    <w14:schemeClr w14:val="tx1"/>
                  </w14:solidFill>
                </w14:textFill>
              </w:rPr>
              <w:t>2、项目组成</w:t>
            </w:r>
          </w:p>
          <w:p w14:paraId="5883E3A9">
            <w:pPr>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本项目建设1台2.5t/h生物质蒸汽发生器</w:t>
            </w:r>
            <w:r>
              <w:rPr>
                <w:rStyle w:val="64"/>
                <w:color w:val="000000" w:themeColor="text1"/>
                <w:sz w:val="24"/>
                <w14:textFill>
                  <w14:solidFill>
                    <w14:schemeClr w14:val="tx1"/>
                  </w14:solidFill>
                </w14:textFill>
              </w:rPr>
              <w:t>，并配套辅助设施和环保设施，主要建设内容见下表。</w:t>
            </w:r>
          </w:p>
          <w:p w14:paraId="633DC0E1">
            <w:pPr>
              <w:pStyle w:val="13"/>
              <w:spacing w:before="120" w:beforeLines="50" w:after="0" w:line="240" w:lineRule="auto"/>
              <w:ind w:right="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表2-1 项目组成一览表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665"/>
              <w:gridCol w:w="1072"/>
              <w:gridCol w:w="5691"/>
              <w:gridCol w:w="1187"/>
            </w:tblGrid>
            <w:tr w14:paraId="14C7620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86" w:type="pct"/>
                  <w:vAlign w:val="center"/>
                </w:tcPr>
                <w:p w14:paraId="0630C9AA">
                  <w:pPr>
                    <w:spacing w:before="48" w:beforeLines="20" w:line="288" w:lineRule="auto"/>
                    <w:jc w:val="center"/>
                    <w:rPr>
                      <w:b/>
                      <w:bCs/>
                      <w:color w:val="000000" w:themeColor="text1"/>
                      <w:szCs w:val="21"/>
                      <w14:textFill>
                        <w14:solidFill>
                          <w14:schemeClr w14:val="tx1"/>
                        </w14:solidFill>
                      </w14:textFill>
                    </w:rPr>
                  </w:pPr>
                  <w:bookmarkStart w:id="10" w:name="_Hlk155821413"/>
                  <w:r>
                    <w:rPr>
                      <w:b/>
                      <w:bCs/>
                      <w:color w:val="000000" w:themeColor="text1"/>
                      <w:szCs w:val="21"/>
                      <w14:textFill>
                        <w14:solidFill>
                          <w14:schemeClr w14:val="tx1"/>
                        </w14:solidFill>
                      </w14:textFill>
                    </w:rPr>
                    <w:t>类别</w:t>
                  </w:r>
                </w:p>
              </w:tc>
              <w:tc>
                <w:tcPr>
                  <w:tcW w:w="622" w:type="pct"/>
                  <w:vAlign w:val="center"/>
                </w:tcPr>
                <w:p w14:paraId="7CC75125">
                  <w:pPr>
                    <w:spacing w:before="48" w:beforeLines="20" w:line="288" w:lineRule="auto"/>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项目名称</w:t>
                  </w:r>
                </w:p>
              </w:tc>
              <w:tc>
                <w:tcPr>
                  <w:tcW w:w="3302" w:type="pct"/>
                  <w:vAlign w:val="center"/>
                </w:tcPr>
                <w:p w14:paraId="3EAE125A">
                  <w:pPr>
                    <w:spacing w:before="48" w:beforeLines="20" w:line="288" w:lineRule="auto"/>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建设内容及规模</w:t>
                  </w:r>
                </w:p>
              </w:tc>
              <w:tc>
                <w:tcPr>
                  <w:tcW w:w="688" w:type="pct"/>
                  <w:vAlign w:val="center"/>
                </w:tcPr>
                <w:p w14:paraId="50102704">
                  <w:pPr>
                    <w:spacing w:before="48" w:beforeLines="20" w:line="288" w:lineRule="auto"/>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备注</w:t>
                  </w:r>
                </w:p>
              </w:tc>
            </w:tr>
            <w:tr w14:paraId="353BA91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06" w:hRule="atLeast"/>
                <w:jc w:val="center"/>
              </w:trPr>
              <w:tc>
                <w:tcPr>
                  <w:tcW w:w="386" w:type="pct"/>
                  <w:vAlign w:val="center"/>
                </w:tcPr>
                <w:p w14:paraId="3739C579">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主体工程</w:t>
                  </w:r>
                </w:p>
              </w:tc>
              <w:tc>
                <w:tcPr>
                  <w:tcW w:w="622" w:type="pct"/>
                  <w:shd w:val="clear" w:color="auto" w:fill="auto"/>
                  <w:vAlign w:val="center"/>
                </w:tcPr>
                <w:p w14:paraId="2DA44273">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锅炉房</w:t>
                  </w:r>
                </w:p>
              </w:tc>
              <w:tc>
                <w:tcPr>
                  <w:tcW w:w="3302" w:type="pct"/>
                  <w:shd w:val="clear" w:color="auto" w:fill="auto"/>
                  <w:vAlign w:val="center"/>
                </w:tcPr>
                <w:p w14:paraId="4EF4F689">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锅炉房位于厂区南侧，占地面积260m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，高3.5m，已建设1台2.5t/h生物质蒸汽发生器作为食用菌漂烫工序热源，配套废气处理措施等。</w:t>
                  </w:r>
                </w:p>
              </w:tc>
              <w:tc>
                <w:tcPr>
                  <w:tcW w:w="688" w:type="pct"/>
                  <w:shd w:val="clear" w:color="auto" w:fill="auto"/>
                  <w:vAlign w:val="center"/>
                </w:tcPr>
                <w:p w14:paraId="64BCE9AE">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已建</w:t>
                  </w:r>
                </w:p>
              </w:tc>
            </w:tr>
            <w:tr w14:paraId="28EB94F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06" w:hRule="atLeast"/>
                <w:jc w:val="center"/>
              </w:trPr>
              <w:tc>
                <w:tcPr>
                  <w:tcW w:w="386" w:type="pct"/>
                  <w:vAlign w:val="center"/>
                </w:tcPr>
                <w:p w14:paraId="133928BE">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储运工程</w:t>
                  </w:r>
                </w:p>
              </w:tc>
              <w:tc>
                <w:tcPr>
                  <w:tcW w:w="622" w:type="pct"/>
                  <w:shd w:val="clear" w:color="auto" w:fill="auto"/>
                  <w:vAlign w:val="center"/>
                </w:tcPr>
                <w:p w14:paraId="7E111D8D">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燃料贮存库</w:t>
                  </w:r>
                </w:p>
              </w:tc>
              <w:tc>
                <w:tcPr>
                  <w:tcW w:w="3302" w:type="pct"/>
                  <w:shd w:val="clear" w:color="auto" w:fill="auto"/>
                  <w:vAlign w:val="center"/>
                </w:tcPr>
                <w:p w14:paraId="14187655">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位于厂区东侧，占地面积</w:t>
                  </w:r>
                  <w:r>
                    <w:rPr>
                      <w:rFonts w:hint="eastAsia"/>
                      <w:color w:val="000000" w:themeColor="text1"/>
                      <w:szCs w:val="21"/>
                      <w14:textFill>
                        <w14:solidFill>
                          <w14:schemeClr w14:val="tx1"/>
                        </w14:solidFill>
                      </w14:textFill>
                    </w:rPr>
                    <w:t>40</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，用于贮存生物质成型燃料，</w:t>
                  </w:r>
                  <w:r>
                    <w:rPr>
                      <w:color w:val="000000" w:themeColor="text1"/>
                      <w14:textFill>
                        <w14:solidFill>
                          <w14:schemeClr w14:val="tx1"/>
                        </w14:solidFill>
                      </w14:textFill>
                    </w:rPr>
                    <w:t>袋装储存。燃料库房为封闭式仓库，库房内配备灭火器材，库房地面做防渗处理，并铺设防潮垫</w:t>
                  </w:r>
                  <w:r>
                    <w:rPr>
                      <w:color w:val="000000" w:themeColor="text1"/>
                      <w:szCs w:val="21"/>
                      <w14:textFill>
                        <w14:solidFill>
                          <w14:schemeClr w14:val="tx1"/>
                        </w14:solidFill>
                      </w14:textFill>
                    </w:rPr>
                    <w:t>。</w:t>
                  </w:r>
                </w:p>
              </w:tc>
              <w:tc>
                <w:tcPr>
                  <w:tcW w:w="688" w:type="pct"/>
                  <w:shd w:val="clear" w:color="auto" w:fill="auto"/>
                  <w:vAlign w:val="center"/>
                </w:tcPr>
                <w:p w14:paraId="7BDAED7D">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54E4496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86" w:type="pct"/>
                  <w:vAlign w:val="center"/>
                </w:tcPr>
                <w:p w14:paraId="46429928">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辅助工程</w:t>
                  </w:r>
                </w:p>
              </w:tc>
              <w:tc>
                <w:tcPr>
                  <w:tcW w:w="622" w:type="pct"/>
                  <w:vAlign w:val="center"/>
                </w:tcPr>
                <w:p w14:paraId="28B52DAA">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办公区</w:t>
                  </w:r>
                </w:p>
              </w:tc>
              <w:tc>
                <w:tcPr>
                  <w:tcW w:w="3302" w:type="pct"/>
                  <w:vAlign w:val="center"/>
                </w:tcPr>
                <w:p w14:paraId="7EF0E421">
                  <w:pPr>
                    <w:spacing w:before="48" w:beforeLines="20" w:line="288" w:lineRule="auto"/>
                    <w:rPr>
                      <w:color w:val="000000" w:themeColor="text1"/>
                      <w14:textFill>
                        <w14:solidFill>
                          <w14:schemeClr w14:val="tx1"/>
                        </w14:solidFill>
                      </w14:textFill>
                    </w:rPr>
                  </w:pPr>
                  <w:r>
                    <w:rPr>
                      <w:color w:val="000000" w:themeColor="text1"/>
                      <w:szCs w:val="21"/>
                      <w14:textFill>
                        <w14:solidFill>
                          <w14:schemeClr w14:val="tx1"/>
                        </w14:solidFill>
                      </w14:textFill>
                    </w:rPr>
                    <w:t>建筑面积300m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，位于厂区北侧，主要用于日常办公及休息。</w:t>
                  </w:r>
                </w:p>
              </w:tc>
              <w:tc>
                <w:tcPr>
                  <w:tcW w:w="688" w:type="pct"/>
                  <w:vAlign w:val="center"/>
                </w:tcPr>
                <w:p w14:paraId="600384E0">
                  <w:pPr>
                    <w:spacing w:before="48" w:beforeLines="20" w:line="288" w:lineRule="auto"/>
                    <w:jc w:val="center"/>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已建</w:t>
                  </w:r>
                </w:p>
              </w:tc>
            </w:tr>
            <w:tr w14:paraId="00DED15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86" w:type="pct"/>
                  <w:vMerge w:val="restart"/>
                  <w:vAlign w:val="center"/>
                </w:tcPr>
                <w:p w14:paraId="09BC0CCA">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公用工程</w:t>
                  </w:r>
                </w:p>
              </w:tc>
              <w:tc>
                <w:tcPr>
                  <w:tcW w:w="622" w:type="pct"/>
                  <w:vAlign w:val="center"/>
                </w:tcPr>
                <w:p w14:paraId="0BB911FC">
                  <w:pPr>
                    <w:pStyle w:val="9"/>
                    <w:spacing w:before="48" w:beforeLines="20" w:line="288" w:lineRule="auto"/>
                    <w:ind w:firstLine="0" w:firstLineChars="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供水</w:t>
                  </w:r>
                </w:p>
              </w:tc>
              <w:tc>
                <w:tcPr>
                  <w:tcW w:w="3302" w:type="pct"/>
                  <w:vAlign w:val="center"/>
                </w:tcPr>
                <w:p w14:paraId="4C2803C1">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本项目用水依托市政供水。</w:t>
                  </w:r>
                </w:p>
              </w:tc>
              <w:tc>
                <w:tcPr>
                  <w:tcW w:w="688" w:type="pct"/>
                  <w:vAlign w:val="center"/>
                </w:tcPr>
                <w:p w14:paraId="1F254C80">
                  <w:pPr>
                    <w:pStyle w:val="136"/>
                    <w:spacing w:before="48" w:beforeLines="20" w:line="288" w:lineRule="auto"/>
                    <w:jc w:val="center"/>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依托</w:t>
                  </w:r>
                </w:p>
              </w:tc>
            </w:tr>
            <w:tr w14:paraId="166398D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86" w:type="pct"/>
                  <w:vMerge w:val="continue"/>
                  <w:vAlign w:val="center"/>
                </w:tcPr>
                <w:p w14:paraId="5011D387">
                  <w:pPr>
                    <w:spacing w:before="48" w:beforeLines="20" w:line="288" w:lineRule="auto"/>
                    <w:jc w:val="center"/>
                    <w:rPr>
                      <w:color w:val="000000" w:themeColor="text1"/>
                      <w:szCs w:val="21"/>
                      <w14:textFill>
                        <w14:solidFill>
                          <w14:schemeClr w14:val="tx1"/>
                        </w14:solidFill>
                      </w14:textFill>
                    </w:rPr>
                  </w:pPr>
                </w:p>
              </w:tc>
              <w:tc>
                <w:tcPr>
                  <w:tcW w:w="622" w:type="pct"/>
                  <w:vAlign w:val="center"/>
                </w:tcPr>
                <w:p w14:paraId="7200891D">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排水</w:t>
                  </w:r>
                </w:p>
              </w:tc>
              <w:tc>
                <w:tcPr>
                  <w:tcW w:w="3302" w:type="pct"/>
                  <w:vAlign w:val="center"/>
                </w:tcPr>
                <w:p w14:paraId="23F7274C">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本项目产生的生产废水经化粪池处理后排入峡河乡污水处理设施。</w:t>
                  </w:r>
                </w:p>
              </w:tc>
              <w:tc>
                <w:tcPr>
                  <w:tcW w:w="688" w:type="pct"/>
                  <w:vAlign w:val="center"/>
                </w:tcPr>
                <w:p w14:paraId="1789BC6F">
                  <w:pPr>
                    <w:spacing w:before="48" w:beforeLines="20" w:line="288" w:lineRule="auto"/>
                    <w:jc w:val="center"/>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依托</w:t>
                  </w:r>
                </w:p>
              </w:tc>
            </w:tr>
            <w:tr w14:paraId="13B61E4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86" w:type="pct"/>
                  <w:vMerge w:val="continue"/>
                  <w:vAlign w:val="center"/>
                </w:tcPr>
                <w:p w14:paraId="64326BCD">
                  <w:pPr>
                    <w:spacing w:before="48" w:beforeLines="20" w:line="288" w:lineRule="auto"/>
                    <w:jc w:val="center"/>
                    <w:rPr>
                      <w:color w:val="000000" w:themeColor="text1"/>
                      <w:szCs w:val="21"/>
                      <w14:textFill>
                        <w14:solidFill>
                          <w14:schemeClr w14:val="tx1"/>
                        </w14:solidFill>
                      </w14:textFill>
                    </w:rPr>
                  </w:pPr>
                </w:p>
              </w:tc>
              <w:tc>
                <w:tcPr>
                  <w:tcW w:w="622" w:type="pct"/>
                  <w:vAlign w:val="center"/>
                </w:tcPr>
                <w:p w14:paraId="12803A45">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供电</w:t>
                  </w:r>
                </w:p>
              </w:tc>
              <w:tc>
                <w:tcPr>
                  <w:tcW w:w="3302" w:type="pct"/>
                  <w:vAlign w:val="center"/>
                </w:tcPr>
                <w:p w14:paraId="7FD3A543">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供电由当地电网引入。</w:t>
                  </w:r>
                </w:p>
              </w:tc>
              <w:tc>
                <w:tcPr>
                  <w:tcW w:w="688" w:type="pct"/>
                  <w:vAlign w:val="center"/>
                </w:tcPr>
                <w:p w14:paraId="06978BB0">
                  <w:pPr>
                    <w:spacing w:before="48" w:beforeLines="20" w:line="288" w:lineRule="auto"/>
                    <w:jc w:val="center"/>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依托</w:t>
                  </w:r>
                </w:p>
              </w:tc>
            </w:tr>
            <w:tr w14:paraId="124915B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386" w:type="pct"/>
                  <w:vMerge w:val="continue"/>
                  <w:vAlign w:val="center"/>
                </w:tcPr>
                <w:p w14:paraId="30C99B47">
                  <w:pPr>
                    <w:spacing w:before="48" w:beforeLines="20" w:line="288" w:lineRule="auto"/>
                    <w:jc w:val="center"/>
                    <w:rPr>
                      <w:color w:val="000000" w:themeColor="text1"/>
                      <w:szCs w:val="21"/>
                      <w14:textFill>
                        <w14:solidFill>
                          <w14:schemeClr w14:val="tx1"/>
                        </w14:solidFill>
                      </w14:textFill>
                    </w:rPr>
                  </w:pPr>
                </w:p>
              </w:tc>
              <w:tc>
                <w:tcPr>
                  <w:tcW w:w="622" w:type="pct"/>
                  <w:vAlign w:val="center"/>
                </w:tcPr>
                <w:p w14:paraId="070653E3">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供热</w:t>
                  </w:r>
                </w:p>
              </w:tc>
              <w:tc>
                <w:tcPr>
                  <w:tcW w:w="3302" w:type="pct"/>
                  <w:vAlign w:val="center"/>
                </w:tcPr>
                <w:p w14:paraId="260F9138">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本项目生产用热由1台2.5t/h生物质蒸汽发生器提供，冬季采暖采用电取暖。</w:t>
                  </w:r>
                </w:p>
              </w:tc>
              <w:tc>
                <w:tcPr>
                  <w:tcW w:w="688" w:type="pct"/>
                  <w:vAlign w:val="center"/>
                </w:tcPr>
                <w:p w14:paraId="3D6346F5">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已建</w:t>
                  </w:r>
                </w:p>
              </w:tc>
            </w:tr>
            <w:tr w14:paraId="274F4ED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074" w:hRule="atLeast"/>
                <w:jc w:val="center"/>
              </w:trPr>
              <w:tc>
                <w:tcPr>
                  <w:tcW w:w="386" w:type="pct"/>
                  <w:vMerge w:val="restart"/>
                  <w:vAlign w:val="center"/>
                </w:tcPr>
                <w:p w14:paraId="4257A91C">
                  <w:pPr>
                    <w:rPr>
                      <w:color w:val="000000" w:themeColor="text1"/>
                      <w14:textFill>
                        <w14:solidFill>
                          <w14:schemeClr w14:val="tx1"/>
                        </w14:solidFill>
                      </w14:textFill>
                    </w:rPr>
                  </w:pPr>
                  <w:r>
                    <w:rPr>
                      <w:color w:val="000000" w:themeColor="text1"/>
                      <w14:textFill>
                        <w14:solidFill>
                          <w14:schemeClr w14:val="tx1"/>
                        </w14:solidFill>
                      </w14:textFill>
                    </w:rPr>
                    <w:t>环保工程</w:t>
                  </w:r>
                </w:p>
              </w:tc>
              <w:tc>
                <w:tcPr>
                  <w:tcW w:w="622" w:type="pct"/>
                  <w:vAlign w:val="center"/>
                </w:tcPr>
                <w:p w14:paraId="5F67A966">
                  <w:pPr>
                    <w:jc w:val="center"/>
                    <w:rPr>
                      <w:color w:val="000000" w:themeColor="text1"/>
                      <w14:textFill>
                        <w14:solidFill>
                          <w14:schemeClr w14:val="tx1"/>
                        </w14:solidFill>
                      </w14:textFill>
                    </w:rPr>
                  </w:pPr>
                  <w:r>
                    <w:rPr>
                      <w:color w:val="000000" w:themeColor="text1"/>
                      <w14:textFill>
                        <w14:solidFill>
                          <w14:schemeClr w14:val="tx1"/>
                        </w14:solidFill>
                      </w14:textFill>
                    </w:rPr>
                    <w:t>废气</w:t>
                  </w:r>
                </w:p>
              </w:tc>
              <w:tc>
                <w:tcPr>
                  <w:tcW w:w="3302" w:type="pct"/>
                  <w:shd w:val="clear" w:color="auto" w:fill="auto"/>
                  <w:vAlign w:val="center"/>
                </w:tcPr>
                <w:p w14:paraId="4E48F085">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生物质蒸汽发生器配套低氮燃烧技术，产生的燃烧烟气经旋风除尘+布袋除尘处理后通过DA001（30m）排气筒排放。</w:t>
                  </w:r>
                </w:p>
              </w:tc>
              <w:tc>
                <w:tcPr>
                  <w:tcW w:w="688" w:type="pct"/>
                  <w:vAlign w:val="center"/>
                </w:tcPr>
                <w:p w14:paraId="52CADC0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2054212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386" w:type="pct"/>
                  <w:vMerge w:val="continue"/>
                  <w:vAlign w:val="center"/>
                </w:tcPr>
                <w:p w14:paraId="09590E9E">
                  <w:pPr>
                    <w:rPr>
                      <w:color w:val="000000" w:themeColor="text1"/>
                      <w14:textFill>
                        <w14:solidFill>
                          <w14:schemeClr w14:val="tx1"/>
                        </w14:solidFill>
                      </w14:textFill>
                    </w:rPr>
                  </w:pPr>
                </w:p>
              </w:tc>
              <w:tc>
                <w:tcPr>
                  <w:tcW w:w="622" w:type="pct"/>
                  <w:shd w:val="clear" w:color="auto" w:fill="auto"/>
                  <w:vAlign w:val="center"/>
                </w:tcPr>
                <w:p w14:paraId="6908C9D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3302" w:type="pct"/>
                  <w:shd w:val="clear" w:color="auto" w:fill="auto"/>
                  <w:vAlign w:val="center"/>
                </w:tcPr>
                <w:p w14:paraId="33278C0E">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本项目蒸汽发生器排污水经化粪池处理后，排入峡河乡污水处理设施；</w:t>
                  </w:r>
                </w:p>
                <w:p w14:paraId="051ABC19">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软水制备废水用于炉渣清理时洒水降尘，不外排。</w:t>
                  </w:r>
                </w:p>
              </w:tc>
              <w:tc>
                <w:tcPr>
                  <w:tcW w:w="688" w:type="pct"/>
                  <w:vAlign w:val="center"/>
                </w:tcPr>
                <w:p w14:paraId="4436404E">
                  <w:pPr>
                    <w:jc w:val="center"/>
                    <w:rPr>
                      <w:color w:val="000000" w:themeColor="text1"/>
                      <w14:textFill>
                        <w14:solidFill>
                          <w14:schemeClr w14:val="tx1"/>
                        </w14:solidFill>
                      </w14:textFill>
                    </w:rPr>
                  </w:pPr>
                  <w:r>
                    <w:rPr>
                      <w:color w:val="000000" w:themeColor="text1"/>
                      <w14:textFill>
                        <w14:solidFill>
                          <w14:schemeClr w14:val="tx1"/>
                        </w14:solidFill>
                      </w14:textFill>
                    </w:rPr>
                    <w:t>新建</w:t>
                  </w:r>
                </w:p>
              </w:tc>
            </w:tr>
            <w:tr w14:paraId="715045E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386" w:type="pct"/>
                  <w:vMerge w:val="continue"/>
                  <w:vAlign w:val="center"/>
                </w:tcPr>
                <w:p w14:paraId="27ABBE4F">
                  <w:pPr>
                    <w:rPr>
                      <w:color w:val="000000" w:themeColor="text1"/>
                      <w14:textFill>
                        <w14:solidFill>
                          <w14:schemeClr w14:val="tx1"/>
                        </w14:solidFill>
                      </w14:textFill>
                    </w:rPr>
                  </w:pPr>
                </w:p>
              </w:tc>
              <w:tc>
                <w:tcPr>
                  <w:tcW w:w="622" w:type="pct"/>
                  <w:shd w:val="clear" w:color="auto" w:fill="auto"/>
                  <w:vAlign w:val="center"/>
                </w:tcPr>
                <w:p w14:paraId="6A39E741">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3302" w:type="pct"/>
                  <w:shd w:val="clear" w:color="auto" w:fill="auto"/>
                  <w:vAlign w:val="center"/>
                </w:tcPr>
                <w:p w14:paraId="1DA83530">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优先选用低噪声设备，合理布局，基础减振，建筑隔声等。</w:t>
                  </w:r>
                </w:p>
              </w:tc>
              <w:tc>
                <w:tcPr>
                  <w:tcW w:w="688" w:type="pct"/>
                  <w:vAlign w:val="center"/>
                </w:tcPr>
                <w:p w14:paraId="639F84F8">
                  <w:pPr>
                    <w:jc w:val="center"/>
                    <w:rPr>
                      <w:color w:val="000000" w:themeColor="text1"/>
                      <w14:textFill>
                        <w14:solidFill>
                          <w14:schemeClr w14:val="tx1"/>
                        </w14:solidFill>
                      </w14:textFill>
                    </w:rPr>
                  </w:pPr>
                  <w:r>
                    <w:rPr>
                      <w:color w:val="000000" w:themeColor="text1"/>
                      <w:szCs w:val="21"/>
                      <w14:textFill>
                        <w14:solidFill>
                          <w14:schemeClr w14:val="tx1"/>
                        </w14:solidFill>
                      </w14:textFill>
                    </w:rPr>
                    <w:t>新建</w:t>
                  </w:r>
                </w:p>
              </w:tc>
            </w:tr>
            <w:tr w14:paraId="7333F74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351" w:hRule="atLeast"/>
                <w:jc w:val="center"/>
              </w:trPr>
              <w:tc>
                <w:tcPr>
                  <w:tcW w:w="386" w:type="pct"/>
                  <w:vMerge w:val="continue"/>
                  <w:vAlign w:val="center"/>
                </w:tcPr>
                <w:p w14:paraId="62F948AE">
                  <w:pPr>
                    <w:rPr>
                      <w:color w:val="000000" w:themeColor="text1"/>
                      <w14:textFill>
                        <w14:solidFill>
                          <w14:schemeClr w14:val="tx1"/>
                        </w14:solidFill>
                      </w14:textFill>
                    </w:rPr>
                  </w:pPr>
                </w:p>
              </w:tc>
              <w:tc>
                <w:tcPr>
                  <w:tcW w:w="622" w:type="pct"/>
                  <w:vAlign w:val="center"/>
                </w:tcPr>
                <w:p w14:paraId="2EB064B4">
                  <w:pPr>
                    <w:jc w:val="center"/>
                    <w:rPr>
                      <w:color w:val="000000" w:themeColor="text1"/>
                      <w14:textFill>
                        <w14:solidFill>
                          <w14:schemeClr w14:val="tx1"/>
                        </w14:solidFill>
                      </w14:textFill>
                    </w:rPr>
                  </w:pPr>
                  <w:r>
                    <w:rPr>
                      <w:color w:val="000000" w:themeColor="text1"/>
                      <w14:textFill>
                        <w14:solidFill>
                          <w14:schemeClr w14:val="tx1"/>
                        </w14:solidFill>
                      </w14:textFill>
                    </w:rPr>
                    <w:t>固废</w:t>
                  </w:r>
                </w:p>
              </w:tc>
              <w:tc>
                <w:tcPr>
                  <w:tcW w:w="3302" w:type="pct"/>
                  <w:shd w:val="clear" w:color="auto" w:fill="auto"/>
                  <w:vAlign w:val="center"/>
                </w:tcPr>
                <w:p w14:paraId="041F0368">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炉渣、除尘灰收集后暂存于一般固废间（50m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）外售处理；废离子交换树脂、废布袋由厂家回收处理。</w:t>
                  </w:r>
                </w:p>
                <w:p w14:paraId="0C273E25">
                  <w:pPr>
                    <w:spacing w:before="48" w:beforeLines="20"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设备维护保养产生的废机油、废油桶为危险废物，暂存于危废贮存点（5m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），定期委托有资质单位处置。</w:t>
                  </w:r>
                </w:p>
              </w:tc>
              <w:tc>
                <w:tcPr>
                  <w:tcW w:w="688" w:type="pct"/>
                  <w:vAlign w:val="center"/>
                </w:tcPr>
                <w:p w14:paraId="50A0A780">
                  <w:pPr>
                    <w:jc w:val="center"/>
                    <w:rPr>
                      <w:color w:val="000000" w:themeColor="text1"/>
                      <w14:textFill>
                        <w14:solidFill>
                          <w14:schemeClr w14:val="tx1"/>
                        </w14:solidFill>
                      </w14:textFill>
                    </w:rPr>
                  </w:pPr>
                  <w:r>
                    <w:rPr>
                      <w:color w:val="000000" w:themeColor="text1"/>
                      <w:szCs w:val="21"/>
                      <w14:textFill>
                        <w14:solidFill>
                          <w14:schemeClr w14:val="tx1"/>
                        </w14:solidFill>
                      </w14:textFill>
                    </w:rPr>
                    <w:t>新建</w:t>
                  </w:r>
                </w:p>
              </w:tc>
            </w:tr>
            <w:bookmarkEnd w:id="10"/>
          </w:tbl>
          <w:p w14:paraId="16DE5973">
            <w:pPr>
              <w:pStyle w:val="3"/>
              <w:numPr>
                <w:ilvl w:val="0"/>
                <w:numId w:val="0"/>
              </w:numPr>
              <w:tabs>
                <w:tab w:val="left" w:pos="567"/>
                <w:tab w:val="clear" w:pos="756"/>
              </w:tabs>
              <w:rPr>
                <w:rFonts w:eastAsia="宋体"/>
                <w:b/>
                <w:color w:val="000000" w:themeColor="text1"/>
                <w:kern w:val="2"/>
                <w:sz w:val="24"/>
                <w:szCs w:val="24"/>
                <w14:textFill>
                  <w14:solidFill>
                    <w14:schemeClr w14:val="tx1"/>
                  </w14:solidFill>
                </w14:textFill>
              </w:rPr>
            </w:pPr>
            <w:bookmarkStart w:id="11" w:name="_Toc42076775"/>
            <w:bookmarkStart w:id="12" w:name="_Toc42076774"/>
            <w:r>
              <w:rPr>
                <w:rFonts w:eastAsia="宋体"/>
                <w:b/>
                <w:color w:val="000000" w:themeColor="text1"/>
                <w:kern w:val="2"/>
                <w:sz w:val="24"/>
                <w:szCs w:val="24"/>
                <w14:textFill>
                  <w14:solidFill>
                    <w14:schemeClr w14:val="tx1"/>
                  </w14:solidFill>
                </w14:textFill>
              </w:rPr>
              <w:t>3、产品方案</w:t>
            </w:r>
          </w:p>
          <w:p w14:paraId="4B828C7A">
            <w:pPr>
              <w:pStyle w:val="21"/>
              <w:spacing w:after="0" w:line="360" w:lineRule="auto"/>
              <w:ind w:left="0" w:leftChars="0" w:firstLine="480" w:firstLineChars="200"/>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本项目产品方案见下表。</w:t>
            </w:r>
          </w:p>
          <w:p w14:paraId="6B3306DC">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表2-2 产品方案一览表</w:t>
            </w:r>
          </w:p>
          <w:tbl>
            <w:tblPr>
              <w:tblStyle w:val="32"/>
              <w:tblW w:w="4999"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71"/>
              <w:gridCol w:w="2872"/>
              <w:gridCol w:w="2873"/>
            </w:tblGrid>
            <w:tr w14:paraId="44943C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6" w:type="pct"/>
                  <w:tcBorders>
                    <w:tl2br w:val="nil"/>
                    <w:tr2bl w:val="nil"/>
                  </w:tcBorders>
                  <w:vAlign w:val="center"/>
                </w:tcPr>
                <w:p w14:paraId="738D6AF1">
                  <w:pPr>
                    <w:jc w:val="center"/>
                    <w:rPr>
                      <w:color w:val="000000" w:themeColor="text1"/>
                      <w14:textFill>
                        <w14:solidFill>
                          <w14:schemeClr w14:val="tx1"/>
                        </w14:solidFill>
                      </w14:textFill>
                    </w:rPr>
                  </w:pPr>
                  <w:r>
                    <w:rPr>
                      <w:color w:val="000000" w:themeColor="text1"/>
                      <w14:textFill>
                        <w14:solidFill>
                          <w14:schemeClr w14:val="tx1"/>
                        </w14:solidFill>
                      </w14:textFill>
                    </w:rPr>
                    <w:t>产品</w:t>
                  </w:r>
                </w:p>
              </w:tc>
              <w:tc>
                <w:tcPr>
                  <w:tcW w:w="1666" w:type="pct"/>
                  <w:tcBorders>
                    <w:tl2br w:val="nil"/>
                    <w:tr2bl w:val="nil"/>
                  </w:tcBorders>
                  <w:vAlign w:val="center"/>
                </w:tcPr>
                <w:p w14:paraId="20DFDC47">
                  <w:pPr>
                    <w:jc w:val="center"/>
                    <w:rPr>
                      <w:color w:val="000000" w:themeColor="text1"/>
                      <w14:textFill>
                        <w14:solidFill>
                          <w14:schemeClr w14:val="tx1"/>
                        </w14:solidFill>
                      </w14:textFill>
                    </w:rPr>
                  </w:pPr>
                  <w:r>
                    <w:rPr>
                      <w:color w:val="000000" w:themeColor="text1"/>
                      <w14:textFill>
                        <w14:solidFill>
                          <w14:schemeClr w14:val="tx1"/>
                        </w14:solidFill>
                      </w14:textFill>
                    </w:rPr>
                    <w:t>产能</w:t>
                  </w:r>
                </w:p>
              </w:tc>
              <w:tc>
                <w:tcPr>
                  <w:tcW w:w="1667" w:type="pct"/>
                  <w:tcBorders>
                    <w:tl2br w:val="nil"/>
                    <w:tr2bl w:val="nil"/>
                  </w:tcBorders>
                  <w:vAlign w:val="center"/>
                </w:tcPr>
                <w:p w14:paraId="3BC9851A">
                  <w:pPr>
                    <w:jc w:val="center"/>
                    <w:rPr>
                      <w:color w:val="000000" w:themeColor="text1"/>
                      <w14:textFill>
                        <w14:solidFill>
                          <w14:schemeClr w14:val="tx1"/>
                        </w14:solidFill>
                      </w14:textFill>
                    </w:rPr>
                  </w:pPr>
                  <w:r>
                    <w:rPr>
                      <w:color w:val="000000" w:themeColor="text1"/>
                      <w14:textFill>
                        <w14:solidFill>
                          <w14:schemeClr w14:val="tx1"/>
                        </w14:solidFill>
                      </w14:textFill>
                    </w:rPr>
                    <w:t>单位</w:t>
                  </w:r>
                </w:p>
              </w:tc>
            </w:tr>
            <w:tr w14:paraId="45737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6" w:type="pct"/>
                  <w:tcBorders>
                    <w:tl2br w:val="nil"/>
                    <w:tr2bl w:val="nil"/>
                  </w:tcBorders>
                  <w:vAlign w:val="center"/>
                </w:tcPr>
                <w:p w14:paraId="7CB5FB55">
                  <w:pPr>
                    <w:jc w:val="center"/>
                    <w:rPr>
                      <w:color w:val="000000" w:themeColor="text1"/>
                      <w14:textFill>
                        <w14:solidFill>
                          <w14:schemeClr w14:val="tx1"/>
                        </w14:solidFill>
                      </w14:textFill>
                    </w:rPr>
                  </w:pPr>
                  <w:r>
                    <w:rPr>
                      <w:color w:val="000000" w:themeColor="text1"/>
                      <w14:textFill>
                        <w14:solidFill>
                          <w14:schemeClr w14:val="tx1"/>
                        </w14:solidFill>
                      </w14:textFill>
                    </w:rPr>
                    <w:t>蒸汽</w:t>
                  </w:r>
                </w:p>
              </w:tc>
              <w:tc>
                <w:tcPr>
                  <w:tcW w:w="1666" w:type="pct"/>
                  <w:tcBorders>
                    <w:tl2br w:val="nil"/>
                    <w:tr2bl w:val="nil"/>
                  </w:tcBorders>
                  <w:vAlign w:val="center"/>
                </w:tcPr>
                <w:p w14:paraId="5F2BD828">
                  <w:pPr>
                    <w:jc w:val="center"/>
                    <w:rPr>
                      <w:color w:val="000000" w:themeColor="text1"/>
                      <w14:textFill>
                        <w14:solidFill>
                          <w14:schemeClr w14:val="tx1"/>
                        </w14:solidFill>
                      </w14:textFill>
                    </w:rPr>
                  </w:pPr>
                  <w:r>
                    <w:rPr>
                      <w:color w:val="000000" w:themeColor="text1"/>
                      <w14:textFill>
                        <w14:solidFill>
                          <w14:schemeClr w14:val="tx1"/>
                        </w14:solidFill>
                      </w14:textFill>
                    </w:rPr>
                    <w:t>4000</w:t>
                  </w:r>
                </w:p>
              </w:tc>
              <w:tc>
                <w:tcPr>
                  <w:tcW w:w="1667" w:type="pct"/>
                  <w:tcBorders>
                    <w:tl2br w:val="nil"/>
                    <w:tr2bl w:val="nil"/>
                  </w:tcBorders>
                  <w:vAlign w:val="center"/>
                </w:tcPr>
                <w:p w14:paraId="43A1606F">
                  <w:pPr>
                    <w:jc w:val="center"/>
                    <w:rPr>
                      <w:color w:val="000000" w:themeColor="text1"/>
                      <w14:textFill>
                        <w14:solidFill>
                          <w14:schemeClr w14:val="tx1"/>
                        </w14:solidFill>
                      </w14:textFill>
                    </w:rPr>
                  </w:pPr>
                  <w:r>
                    <w:rPr>
                      <w:color w:val="000000" w:themeColor="text1"/>
                      <w14:textFill>
                        <w14:solidFill>
                          <w14:schemeClr w14:val="tx1"/>
                        </w14:solidFill>
                      </w14:textFill>
                    </w:rPr>
                    <w:t>t/a</w:t>
                  </w:r>
                </w:p>
              </w:tc>
            </w:tr>
          </w:tbl>
          <w:p w14:paraId="5CFE00E6">
            <w:pPr>
              <w:pStyle w:val="3"/>
              <w:numPr>
                <w:ilvl w:val="0"/>
                <w:numId w:val="0"/>
              </w:numPr>
              <w:tabs>
                <w:tab w:val="left" w:pos="567"/>
                <w:tab w:val="clear" w:pos="756"/>
              </w:tabs>
              <w:rPr>
                <w:rFonts w:eastAsia="宋体"/>
                <w:b/>
                <w:color w:val="000000" w:themeColor="text1"/>
                <w:kern w:val="2"/>
                <w:sz w:val="24"/>
                <w:szCs w:val="24"/>
                <w14:textFill>
                  <w14:solidFill>
                    <w14:schemeClr w14:val="tx1"/>
                  </w14:solidFill>
                </w14:textFill>
              </w:rPr>
            </w:pPr>
            <w:r>
              <w:rPr>
                <w:rFonts w:eastAsia="宋体"/>
                <w:b/>
                <w:color w:val="000000" w:themeColor="text1"/>
                <w:kern w:val="2"/>
                <w:sz w:val="24"/>
                <w:szCs w:val="24"/>
                <w14:textFill>
                  <w14:solidFill>
                    <w14:schemeClr w14:val="tx1"/>
                  </w14:solidFill>
                </w14:textFill>
              </w:rPr>
              <w:t>4、主要生产设备</w:t>
            </w:r>
          </w:p>
          <w:p w14:paraId="36C86F92">
            <w:pPr>
              <w:pStyle w:val="21"/>
              <w:spacing w:after="0" w:line="360" w:lineRule="auto"/>
              <w:ind w:left="0" w:leftChars="0" w:firstLine="480" w:firstLineChars="200"/>
              <w:rPr>
                <w:color w:val="000000" w:themeColor="text1"/>
                <w14:textFill>
                  <w14:solidFill>
                    <w14:schemeClr w14:val="tx1"/>
                  </w14:solidFill>
                </w14:textFill>
              </w:rPr>
            </w:pPr>
            <w:r>
              <w:rPr>
                <w:color w:val="000000" w:themeColor="text1"/>
                <w:sz w:val="24"/>
                <w:szCs w:val="32"/>
                <w14:textFill>
                  <w14:solidFill>
                    <w14:schemeClr w14:val="tx1"/>
                  </w14:solidFill>
                </w14:textFill>
              </w:rPr>
              <w:t>本项目主要设备见下表</w:t>
            </w:r>
            <w:r>
              <w:rPr>
                <w:color w:val="000000" w:themeColor="text1"/>
                <w14:textFill>
                  <w14:solidFill>
                    <w14:schemeClr w14:val="tx1"/>
                  </w14:solidFill>
                </w14:textFill>
              </w:rPr>
              <w:t>。</w:t>
            </w:r>
          </w:p>
          <w:p w14:paraId="56878198">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表2-</w:t>
            </w:r>
            <w:r>
              <w:rPr>
                <w:rFonts w:hint="eastAsia"/>
                <w:b/>
                <w:bCs/>
                <w:color w:val="000000" w:themeColor="text1"/>
                <w:szCs w:val="21"/>
                <w14:textFill>
                  <w14:solidFill>
                    <w14:schemeClr w14:val="tx1"/>
                  </w14:solidFill>
                </w14:textFill>
              </w:rPr>
              <w:t>3</w:t>
            </w:r>
            <w:r>
              <w:rPr>
                <w:b/>
                <w:bCs/>
                <w:color w:val="000000" w:themeColor="text1"/>
                <w:szCs w:val="21"/>
                <w14:textFill>
                  <w14:solidFill>
                    <w14:schemeClr w14:val="tx1"/>
                  </w14:solidFill>
                </w14:textFill>
              </w:rPr>
              <w:t xml:space="preserve">  主要生产设备一览表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10"/>
              <w:gridCol w:w="1949"/>
              <w:gridCol w:w="3447"/>
              <w:gridCol w:w="1309"/>
            </w:tblGrid>
            <w:tr w14:paraId="0AA735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8" w:type="pct"/>
                  <w:tcBorders>
                    <w:tl2br w:val="nil"/>
                    <w:tr2bl w:val="nil"/>
                  </w:tcBorders>
                  <w:vAlign w:val="center"/>
                </w:tcPr>
                <w:p w14:paraId="26FF065B">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设备所在位置</w:t>
                  </w:r>
                </w:p>
              </w:tc>
              <w:tc>
                <w:tcPr>
                  <w:tcW w:w="1131" w:type="pct"/>
                  <w:tcBorders>
                    <w:tl2br w:val="nil"/>
                    <w:tr2bl w:val="nil"/>
                  </w:tcBorders>
                  <w:vAlign w:val="center"/>
                </w:tcPr>
                <w:p w14:paraId="7646E89B">
                  <w:pPr>
                    <w:jc w:val="center"/>
                    <w:rPr>
                      <w:color w:val="000000" w:themeColor="text1"/>
                      <w:kern w:val="10"/>
                      <w:szCs w:val="21"/>
                      <w14:textFill>
                        <w14:solidFill>
                          <w14:schemeClr w14:val="tx1"/>
                        </w14:solidFill>
                      </w14:textFill>
                    </w:rPr>
                  </w:pPr>
                  <w:r>
                    <w:rPr>
                      <w:color w:val="000000" w:themeColor="text1"/>
                      <w:szCs w:val="21"/>
                      <w14:textFill>
                        <w14:solidFill>
                          <w14:schemeClr w14:val="tx1"/>
                        </w14:solidFill>
                      </w14:textFill>
                    </w:rPr>
                    <w:t>设备名称</w:t>
                  </w:r>
                </w:p>
              </w:tc>
              <w:tc>
                <w:tcPr>
                  <w:tcW w:w="2000" w:type="pct"/>
                  <w:tcBorders>
                    <w:tl2br w:val="nil"/>
                    <w:tr2bl w:val="nil"/>
                  </w:tcBorders>
                  <w:vAlign w:val="center"/>
                </w:tcPr>
                <w:p w14:paraId="29B63204">
                  <w:pPr>
                    <w:jc w:val="center"/>
                    <w:rPr>
                      <w:color w:val="000000" w:themeColor="text1"/>
                      <w:kern w:val="10"/>
                      <w:szCs w:val="21"/>
                      <w14:textFill>
                        <w14:solidFill>
                          <w14:schemeClr w14:val="tx1"/>
                        </w14:solidFill>
                      </w14:textFill>
                    </w:rPr>
                  </w:pPr>
                  <w:r>
                    <w:rPr>
                      <w:color w:val="000000" w:themeColor="text1"/>
                      <w:szCs w:val="21"/>
                      <w14:textFill>
                        <w14:solidFill>
                          <w14:schemeClr w14:val="tx1"/>
                        </w14:solidFill>
                      </w14:textFill>
                    </w:rPr>
                    <w:t>规格型号</w:t>
                  </w:r>
                </w:p>
              </w:tc>
              <w:tc>
                <w:tcPr>
                  <w:tcW w:w="759" w:type="pct"/>
                  <w:tcBorders>
                    <w:tl2br w:val="nil"/>
                    <w:tr2bl w:val="nil"/>
                  </w:tcBorders>
                  <w:vAlign w:val="center"/>
                </w:tcPr>
                <w:p w14:paraId="7F5A2B1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数量（台）</w:t>
                  </w:r>
                </w:p>
              </w:tc>
            </w:tr>
            <w:tr w14:paraId="5BC35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restart"/>
                  <w:tcBorders>
                    <w:tl2br w:val="nil"/>
                    <w:tr2bl w:val="nil"/>
                  </w:tcBorders>
                  <w:vAlign w:val="center"/>
                </w:tcPr>
                <w:p w14:paraId="19901195">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锅炉房</w:t>
                  </w:r>
                </w:p>
              </w:tc>
              <w:tc>
                <w:tcPr>
                  <w:tcW w:w="1131" w:type="pct"/>
                  <w:tcBorders>
                    <w:tl2br w:val="nil"/>
                    <w:tr2bl w:val="nil"/>
                  </w:tcBorders>
                  <w:shd w:val="clear" w:color="auto" w:fill="auto"/>
                  <w:vAlign w:val="center"/>
                </w:tcPr>
                <w:p w14:paraId="37B7DBA8">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生物质蒸汽发生器</w:t>
                  </w:r>
                </w:p>
              </w:tc>
              <w:tc>
                <w:tcPr>
                  <w:tcW w:w="2000" w:type="pct"/>
                  <w:tcBorders>
                    <w:tl2br w:val="nil"/>
                    <w:tr2bl w:val="nil"/>
                  </w:tcBorders>
                  <w:shd w:val="clear" w:color="auto" w:fill="auto"/>
                  <w:vAlign w:val="center"/>
                </w:tcPr>
                <w:p w14:paraId="75B29F5C">
                  <w:pPr>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ZWWS-2.5-SM</w:t>
                  </w:r>
                </w:p>
              </w:tc>
              <w:tc>
                <w:tcPr>
                  <w:tcW w:w="759" w:type="pct"/>
                  <w:tcBorders>
                    <w:tl2br w:val="nil"/>
                    <w:tr2bl w:val="nil"/>
                  </w:tcBorders>
                  <w:shd w:val="clear" w:color="auto" w:fill="auto"/>
                  <w:vAlign w:val="center"/>
                </w:tcPr>
                <w:p w14:paraId="4740D577">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w:t>
                  </w:r>
                </w:p>
              </w:tc>
            </w:tr>
            <w:tr w14:paraId="6E0103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continue"/>
                  <w:tcBorders>
                    <w:tl2br w:val="nil"/>
                    <w:tr2bl w:val="nil"/>
                  </w:tcBorders>
                  <w:vAlign w:val="center"/>
                </w:tcPr>
                <w:p w14:paraId="23A919F4">
                  <w:pPr>
                    <w:jc w:val="center"/>
                    <w:rPr>
                      <w:bCs/>
                      <w:color w:val="000000" w:themeColor="text1"/>
                      <w:szCs w:val="21"/>
                      <w14:textFill>
                        <w14:solidFill>
                          <w14:schemeClr w14:val="tx1"/>
                        </w14:solidFill>
                      </w14:textFill>
                    </w:rPr>
                  </w:pPr>
                </w:p>
              </w:tc>
              <w:tc>
                <w:tcPr>
                  <w:tcW w:w="1131" w:type="pct"/>
                  <w:tcBorders>
                    <w:tl2br w:val="nil"/>
                    <w:tr2bl w:val="nil"/>
                  </w:tcBorders>
                  <w:vAlign w:val="center"/>
                </w:tcPr>
                <w:p w14:paraId="594514F1">
                  <w:pPr>
                    <w:snapToGrid w:val="0"/>
                    <w:jc w:val="center"/>
                    <w:textAlignment w:val="baseline"/>
                    <w:rPr>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鼓风机</w:t>
                  </w:r>
                </w:p>
              </w:tc>
              <w:tc>
                <w:tcPr>
                  <w:tcW w:w="2000" w:type="pct"/>
                  <w:tcBorders>
                    <w:tl2br w:val="nil"/>
                    <w:tr2bl w:val="nil"/>
                  </w:tcBorders>
                  <w:vAlign w:val="center"/>
                </w:tcPr>
                <w:p w14:paraId="4B261E39">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鼓风机型号：Y5-47</w:t>
                  </w:r>
                </w:p>
                <w:p w14:paraId="743D8E61">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功率：4kw</w:t>
                  </w:r>
                </w:p>
                <w:p w14:paraId="1874C971">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风量：2780m³/h</w:t>
                  </w:r>
                </w:p>
                <w:p w14:paraId="499EE070">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风压转速：2410Pa/2800r/min</w:t>
                  </w:r>
                </w:p>
              </w:tc>
              <w:tc>
                <w:tcPr>
                  <w:tcW w:w="759" w:type="pct"/>
                  <w:tcBorders>
                    <w:tl2br w:val="nil"/>
                    <w:tr2bl w:val="nil"/>
                  </w:tcBorders>
                  <w:shd w:val="clear" w:color="auto" w:fill="auto"/>
                  <w:vAlign w:val="center"/>
                </w:tcPr>
                <w:p w14:paraId="28EB0DF3">
                  <w:pPr>
                    <w:jc w:val="center"/>
                    <w:rPr>
                      <w:color w:val="000000" w:themeColor="text1"/>
                      <w:kern w:val="10"/>
                      <w:szCs w:val="21"/>
                      <w14:textFill>
                        <w14:solidFill>
                          <w14:schemeClr w14:val="tx1"/>
                        </w14:solidFill>
                      </w14:textFill>
                    </w:rPr>
                  </w:pPr>
                  <w:r>
                    <w:rPr>
                      <w:color w:val="000000" w:themeColor="text1"/>
                      <w:kern w:val="10"/>
                      <w:szCs w:val="21"/>
                      <w14:textFill>
                        <w14:solidFill>
                          <w14:schemeClr w14:val="tx1"/>
                        </w14:solidFill>
                      </w14:textFill>
                    </w:rPr>
                    <w:t>1</w:t>
                  </w:r>
                </w:p>
              </w:tc>
            </w:tr>
            <w:tr w14:paraId="6DDE3D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continue"/>
                  <w:tcBorders>
                    <w:tl2br w:val="nil"/>
                    <w:tr2bl w:val="nil"/>
                  </w:tcBorders>
                  <w:vAlign w:val="center"/>
                </w:tcPr>
                <w:p w14:paraId="1D5BCC25">
                  <w:pPr>
                    <w:jc w:val="center"/>
                    <w:rPr>
                      <w:bCs/>
                      <w:color w:val="000000" w:themeColor="text1"/>
                      <w:szCs w:val="21"/>
                      <w14:textFill>
                        <w14:solidFill>
                          <w14:schemeClr w14:val="tx1"/>
                        </w14:solidFill>
                      </w14:textFill>
                    </w:rPr>
                  </w:pPr>
                </w:p>
              </w:tc>
              <w:tc>
                <w:tcPr>
                  <w:tcW w:w="1131" w:type="pct"/>
                  <w:tcBorders>
                    <w:tl2br w:val="nil"/>
                    <w:tr2bl w:val="nil"/>
                  </w:tcBorders>
                  <w:vAlign w:val="center"/>
                </w:tcPr>
                <w:p w14:paraId="7AA3FB40">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引风机</w:t>
                  </w:r>
                </w:p>
              </w:tc>
              <w:tc>
                <w:tcPr>
                  <w:tcW w:w="2000" w:type="pct"/>
                  <w:tcBorders>
                    <w:tl2br w:val="nil"/>
                    <w:tr2bl w:val="nil"/>
                  </w:tcBorders>
                  <w:vAlign w:val="center"/>
                </w:tcPr>
                <w:p w14:paraId="3D253E40">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引风机型号：DF-10</w:t>
                  </w:r>
                </w:p>
                <w:p w14:paraId="7F5F0557">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功率：2200w </w:t>
                  </w:r>
                </w:p>
                <w:p w14:paraId="46CA7948">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风量：2780m³/h</w:t>
                  </w:r>
                </w:p>
                <w:p w14:paraId="2614B0C5">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风压：2300Pa</w:t>
                  </w:r>
                </w:p>
                <w:p w14:paraId="3952954C">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转速：2800r/min</w:t>
                  </w:r>
                </w:p>
              </w:tc>
              <w:tc>
                <w:tcPr>
                  <w:tcW w:w="759" w:type="pct"/>
                  <w:tcBorders>
                    <w:tl2br w:val="nil"/>
                    <w:tr2bl w:val="nil"/>
                  </w:tcBorders>
                  <w:shd w:val="clear" w:color="auto" w:fill="auto"/>
                  <w:vAlign w:val="center"/>
                </w:tcPr>
                <w:p w14:paraId="6BCC53AF">
                  <w:pPr>
                    <w:jc w:val="center"/>
                    <w:rPr>
                      <w:color w:val="000000" w:themeColor="text1"/>
                      <w:kern w:val="10"/>
                      <w:szCs w:val="21"/>
                      <w14:textFill>
                        <w14:solidFill>
                          <w14:schemeClr w14:val="tx1"/>
                        </w14:solidFill>
                      </w14:textFill>
                    </w:rPr>
                  </w:pPr>
                  <w:r>
                    <w:rPr>
                      <w:color w:val="000000" w:themeColor="text1"/>
                      <w:kern w:val="10"/>
                      <w:szCs w:val="21"/>
                      <w14:textFill>
                        <w14:solidFill>
                          <w14:schemeClr w14:val="tx1"/>
                        </w14:solidFill>
                      </w14:textFill>
                    </w:rPr>
                    <w:t>1</w:t>
                  </w:r>
                </w:p>
              </w:tc>
            </w:tr>
            <w:tr w14:paraId="05BCA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continue"/>
                  <w:tcBorders>
                    <w:tl2br w:val="nil"/>
                    <w:tr2bl w:val="nil"/>
                  </w:tcBorders>
                  <w:vAlign w:val="center"/>
                </w:tcPr>
                <w:p w14:paraId="3A8C40C4">
                  <w:pPr>
                    <w:jc w:val="center"/>
                    <w:rPr>
                      <w:bCs/>
                      <w:color w:val="000000" w:themeColor="text1"/>
                      <w:szCs w:val="21"/>
                      <w14:textFill>
                        <w14:solidFill>
                          <w14:schemeClr w14:val="tx1"/>
                        </w14:solidFill>
                      </w14:textFill>
                    </w:rPr>
                  </w:pPr>
                </w:p>
              </w:tc>
              <w:tc>
                <w:tcPr>
                  <w:tcW w:w="1131" w:type="pct"/>
                  <w:tcBorders>
                    <w:tl2br w:val="nil"/>
                    <w:tr2bl w:val="nil"/>
                  </w:tcBorders>
                  <w:vAlign w:val="center"/>
                </w:tcPr>
                <w:p w14:paraId="1F77BD14">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水泵</w:t>
                  </w:r>
                </w:p>
              </w:tc>
              <w:tc>
                <w:tcPr>
                  <w:tcW w:w="2000" w:type="pct"/>
                  <w:tcBorders>
                    <w:tl2br w:val="nil"/>
                    <w:tr2bl w:val="nil"/>
                  </w:tcBorders>
                  <w:vAlign w:val="center"/>
                </w:tcPr>
                <w:p w14:paraId="663DBC58">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CDL4-220,流量：4m³/h扬程：176m功率：4kw</w:t>
                  </w:r>
                </w:p>
              </w:tc>
              <w:tc>
                <w:tcPr>
                  <w:tcW w:w="759" w:type="pct"/>
                  <w:tcBorders>
                    <w:tl2br w:val="nil"/>
                    <w:tr2bl w:val="nil"/>
                  </w:tcBorders>
                  <w:shd w:val="clear" w:color="auto" w:fill="auto"/>
                  <w:vAlign w:val="center"/>
                </w:tcPr>
                <w:p w14:paraId="08820204">
                  <w:pPr>
                    <w:jc w:val="center"/>
                    <w:rPr>
                      <w:color w:val="000000" w:themeColor="text1"/>
                      <w:kern w:val="10"/>
                      <w:szCs w:val="21"/>
                      <w14:textFill>
                        <w14:solidFill>
                          <w14:schemeClr w14:val="tx1"/>
                        </w14:solidFill>
                      </w14:textFill>
                    </w:rPr>
                  </w:pPr>
                  <w:r>
                    <w:rPr>
                      <w:color w:val="000000" w:themeColor="text1"/>
                      <w:kern w:val="10"/>
                      <w:szCs w:val="21"/>
                      <w14:textFill>
                        <w14:solidFill>
                          <w14:schemeClr w14:val="tx1"/>
                        </w14:solidFill>
                      </w14:textFill>
                    </w:rPr>
                    <w:t>1</w:t>
                  </w:r>
                </w:p>
              </w:tc>
            </w:tr>
            <w:tr w14:paraId="436772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continue"/>
                  <w:tcBorders>
                    <w:tl2br w:val="nil"/>
                    <w:tr2bl w:val="nil"/>
                  </w:tcBorders>
                  <w:vAlign w:val="center"/>
                </w:tcPr>
                <w:p w14:paraId="205EF1D3">
                  <w:pPr>
                    <w:jc w:val="center"/>
                    <w:rPr>
                      <w:bCs/>
                      <w:color w:val="000000" w:themeColor="text1"/>
                      <w:szCs w:val="21"/>
                      <w14:textFill>
                        <w14:solidFill>
                          <w14:schemeClr w14:val="tx1"/>
                        </w14:solidFill>
                      </w14:textFill>
                    </w:rPr>
                  </w:pPr>
                </w:p>
              </w:tc>
              <w:tc>
                <w:tcPr>
                  <w:tcW w:w="1131" w:type="pct"/>
                  <w:tcBorders>
                    <w:tl2br w:val="nil"/>
                    <w:tr2bl w:val="nil"/>
                  </w:tcBorders>
                  <w:vAlign w:val="center"/>
                </w:tcPr>
                <w:p w14:paraId="1C27334E">
                  <w:pPr>
                    <w:snapToGrid w:val="0"/>
                    <w:jc w:val="center"/>
                    <w:textAlignment w:val="baseline"/>
                    <w:rPr>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布袋除尘器</w:t>
                  </w:r>
                </w:p>
              </w:tc>
              <w:tc>
                <w:tcPr>
                  <w:tcW w:w="2000" w:type="pct"/>
                  <w:tcBorders>
                    <w:tl2br w:val="nil"/>
                    <w:tr2bl w:val="nil"/>
                  </w:tcBorders>
                  <w:shd w:val="clear" w:color="auto" w:fill="auto"/>
                  <w:vAlign w:val="center"/>
                </w:tcPr>
                <w:p w14:paraId="5488036E">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额定处理烟气量：5200m³/h，过滤风速：1.0m/min,总有效过滤面积：92㎡，本体运行阻力：1200Pa，总体除尘总效率：≥99.95%</w:t>
                  </w:r>
                </w:p>
              </w:tc>
              <w:tc>
                <w:tcPr>
                  <w:tcW w:w="759" w:type="pct"/>
                  <w:tcBorders>
                    <w:tl2br w:val="nil"/>
                    <w:tr2bl w:val="nil"/>
                  </w:tcBorders>
                  <w:shd w:val="clear" w:color="auto" w:fill="auto"/>
                  <w:vAlign w:val="center"/>
                </w:tcPr>
                <w:p w14:paraId="16A3611F">
                  <w:pPr>
                    <w:jc w:val="center"/>
                    <w:rPr>
                      <w:color w:val="000000" w:themeColor="text1"/>
                      <w:kern w:val="10"/>
                      <w:szCs w:val="21"/>
                      <w14:textFill>
                        <w14:solidFill>
                          <w14:schemeClr w14:val="tx1"/>
                        </w14:solidFill>
                      </w14:textFill>
                    </w:rPr>
                  </w:pPr>
                  <w:r>
                    <w:rPr>
                      <w:color w:val="000000" w:themeColor="text1"/>
                      <w:kern w:val="10"/>
                      <w:szCs w:val="21"/>
                      <w14:textFill>
                        <w14:solidFill>
                          <w14:schemeClr w14:val="tx1"/>
                        </w14:solidFill>
                      </w14:textFill>
                    </w:rPr>
                    <w:t>1</w:t>
                  </w:r>
                </w:p>
              </w:tc>
            </w:tr>
            <w:tr w14:paraId="5D3F7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continue"/>
                  <w:tcBorders>
                    <w:tl2br w:val="nil"/>
                    <w:tr2bl w:val="nil"/>
                  </w:tcBorders>
                  <w:vAlign w:val="center"/>
                </w:tcPr>
                <w:p w14:paraId="208DF3BA">
                  <w:pPr>
                    <w:jc w:val="center"/>
                    <w:rPr>
                      <w:bCs/>
                      <w:color w:val="000000" w:themeColor="text1"/>
                      <w:szCs w:val="21"/>
                      <w14:textFill>
                        <w14:solidFill>
                          <w14:schemeClr w14:val="tx1"/>
                        </w14:solidFill>
                      </w14:textFill>
                    </w:rPr>
                  </w:pPr>
                </w:p>
              </w:tc>
              <w:tc>
                <w:tcPr>
                  <w:tcW w:w="1131" w:type="pct"/>
                  <w:tcBorders>
                    <w:tl2br w:val="nil"/>
                    <w:tr2bl w:val="nil"/>
                  </w:tcBorders>
                  <w:vAlign w:val="center"/>
                </w:tcPr>
                <w:p w14:paraId="1C9DE871">
                  <w:pPr>
                    <w:snapToGrid w:val="0"/>
                    <w:jc w:val="center"/>
                    <w:textAlignment w:val="baseline"/>
                    <w:rPr>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旋风除尘器</w:t>
                  </w:r>
                </w:p>
              </w:tc>
              <w:tc>
                <w:tcPr>
                  <w:tcW w:w="2000" w:type="pct"/>
                  <w:tcBorders>
                    <w:tl2br w:val="nil"/>
                    <w:tr2bl w:val="nil"/>
                  </w:tcBorders>
                  <w:shd w:val="clear" w:color="auto" w:fill="auto"/>
                  <w:vAlign w:val="center"/>
                </w:tcPr>
                <w:p w14:paraId="17139411">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烟气处理量：4500m³/h，入口烟气温度：110-140℃，入口烟气流速：16-20m/s</w:t>
                  </w:r>
                </w:p>
              </w:tc>
              <w:tc>
                <w:tcPr>
                  <w:tcW w:w="759" w:type="pct"/>
                  <w:tcBorders>
                    <w:tl2br w:val="nil"/>
                    <w:tr2bl w:val="nil"/>
                  </w:tcBorders>
                  <w:shd w:val="clear" w:color="auto" w:fill="auto"/>
                  <w:vAlign w:val="center"/>
                </w:tcPr>
                <w:p w14:paraId="5A50555A">
                  <w:pPr>
                    <w:jc w:val="center"/>
                    <w:rPr>
                      <w:color w:val="000000" w:themeColor="text1"/>
                      <w:kern w:val="10"/>
                      <w:szCs w:val="21"/>
                      <w14:textFill>
                        <w14:solidFill>
                          <w14:schemeClr w14:val="tx1"/>
                        </w14:solidFill>
                      </w14:textFill>
                    </w:rPr>
                  </w:pPr>
                  <w:r>
                    <w:rPr>
                      <w:color w:val="000000" w:themeColor="text1"/>
                      <w:kern w:val="10"/>
                      <w:szCs w:val="21"/>
                      <w14:textFill>
                        <w14:solidFill>
                          <w14:schemeClr w14:val="tx1"/>
                        </w14:solidFill>
                      </w14:textFill>
                    </w:rPr>
                    <w:t>1</w:t>
                  </w:r>
                </w:p>
              </w:tc>
            </w:tr>
            <w:tr w14:paraId="2D1F10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continue"/>
                  <w:tcBorders>
                    <w:tl2br w:val="nil"/>
                    <w:tr2bl w:val="nil"/>
                  </w:tcBorders>
                  <w:vAlign w:val="center"/>
                </w:tcPr>
                <w:p w14:paraId="1211C90B">
                  <w:pPr>
                    <w:jc w:val="center"/>
                    <w:rPr>
                      <w:bCs/>
                      <w:color w:val="000000" w:themeColor="text1"/>
                      <w:szCs w:val="21"/>
                      <w14:textFill>
                        <w14:solidFill>
                          <w14:schemeClr w14:val="tx1"/>
                        </w14:solidFill>
                      </w14:textFill>
                    </w:rPr>
                  </w:pPr>
                </w:p>
              </w:tc>
              <w:tc>
                <w:tcPr>
                  <w:tcW w:w="1131" w:type="pct"/>
                  <w:tcBorders>
                    <w:tl2br w:val="nil"/>
                    <w:tr2bl w:val="nil"/>
                  </w:tcBorders>
                  <w:vAlign w:val="center"/>
                </w:tcPr>
                <w:p w14:paraId="7C0EC564">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软水制备系统</w:t>
                  </w:r>
                </w:p>
              </w:tc>
              <w:tc>
                <w:tcPr>
                  <w:tcW w:w="2000" w:type="pct"/>
                  <w:tcBorders>
                    <w:tl2br w:val="nil"/>
                    <w:tr2bl w:val="nil"/>
                  </w:tcBorders>
                  <w:vAlign w:val="center"/>
                </w:tcPr>
                <w:p w14:paraId="2DD924D7">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1吨/软水机</w:t>
                  </w:r>
                </w:p>
              </w:tc>
              <w:tc>
                <w:tcPr>
                  <w:tcW w:w="759" w:type="pct"/>
                  <w:tcBorders>
                    <w:tl2br w:val="nil"/>
                    <w:tr2bl w:val="nil"/>
                  </w:tcBorders>
                  <w:shd w:val="clear" w:color="auto" w:fill="auto"/>
                  <w:vAlign w:val="center"/>
                </w:tcPr>
                <w:p w14:paraId="4EBBE9B8">
                  <w:pPr>
                    <w:jc w:val="center"/>
                    <w:rPr>
                      <w:color w:val="000000" w:themeColor="text1"/>
                      <w:kern w:val="10"/>
                      <w:szCs w:val="21"/>
                      <w14:textFill>
                        <w14:solidFill>
                          <w14:schemeClr w14:val="tx1"/>
                        </w14:solidFill>
                      </w14:textFill>
                    </w:rPr>
                  </w:pPr>
                  <w:r>
                    <w:rPr>
                      <w:color w:val="000000" w:themeColor="text1"/>
                      <w:kern w:val="10"/>
                      <w:szCs w:val="21"/>
                      <w14:textFill>
                        <w14:solidFill>
                          <w14:schemeClr w14:val="tx1"/>
                        </w14:solidFill>
                      </w14:textFill>
                    </w:rPr>
                    <w:t>1</w:t>
                  </w:r>
                </w:p>
              </w:tc>
            </w:tr>
            <w:tr w14:paraId="5A98B2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08" w:type="pct"/>
                  <w:vMerge w:val="continue"/>
                  <w:tcBorders>
                    <w:tl2br w:val="nil"/>
                    <w:tr2bl w:val="nil"/>
                  </w:tcBorders>
                  <w:vAlign w:val="center"/>
                </w:tcPr>
                <w:p w14:paraId="181834AF">
                  <w:pPr>
                    <w:jc w:val="center"/>
                    <w:rPr>
                      <w:bCs/>
                      <w:color w:val="000000" w:themeColor="text1"/>
                      <w:szCs w:val="21"/>
                      <w14:textFill>
                        <w14:solidFill>
                          <w14:schemeClr w14:val="tx1"/>
                        </w14:solidFill>
                      </w14:textFill>
                    </w:rPr>
                  </w:pPr>
                </w:p>
              </w:tc>
              <w:tc>
                <w:tcPr>
                  <w:tcW w:w="1131" w:type="pct"/>
                  <w:tcBorders>
                    <w:tl2br w:val="nil"/>
                    <w:tr2bl w:val="nil"/>
                  </w:tcBorders>
                  <w:vAlign w:val="center"/>
                </w:tcPr>
                <w:p w14:paraId="48FE6217">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软水箱</w:t>
                  </w:r>
                </w:p>
              </w:tc>
              <w:tc>
                <w:tcPr>
                  <w:tcW w:w="2000" w:type="pct"/>
                  <w:tcBorders>
                    <w:tl2br w:val="nil"/>
                    <w:tr2bl w:val="nil"/>
                  </w:tcBorders>
                  <w:vAlign w:val="center"/>
                </w:tcPr>
                <w:p w14:paraId="2EF67073">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2立方米</w:t>
                  </w:r>
                </w:p>
              </w:tc>
              <w:tc>
                <w:tcPr>
                  <w:tcW w:w="759" w:type="pct"/>
                  <w:tcBorders>
                    <w:tl2br w:val="nil"/>
                    <w:tr2bl w:val="nil"/>
                  </w:tcBorders>
                  <w:shd w:val="clear" w:color="auto" w:fill="auto"/>
                  <w:vAlign w:val="center"/>
                </w:tcPr>
                <w:p w14:paraId="0293FDD2">
                  <w:pPr>
                    <w:jc w:val="center"/>
                    <w:rPr>
                      <w:color w:val="000000" w:themeColor="text1"/>
                      <w:kern w:val="10"/>
                      <w:szCs w:val="21"/>
                      <w14:textFill>
                        <w14:solidFill>
                          <w14:schemeClr w14:val="tx1"/>
                        </w14:solidFill>
                      </w14:textFill>
                    </w:rPr>
                  </w:pPr>
                  <w:r>
                    <w:rPr>
                      <w:color w:val="000000" w:themeColor="text1"/>
                      <w:kern w:val="10"/>
                      <w:szCs w:val="21"/>
                      <w14:textFill>
                        <w14:solidFill>
                          <w14:schemeClr w14:val="tx1"/>
                        </w14:solidFill>
                      </w14:textFill>
                    </w:rPr>
                    <w:t>1</w:t>
                  </w:r>
                </w:p>
              </w:tc>
            </w:tr>
          </w:tbl>
          <w:p w14:paraId="0CA463E6">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表2-</w:t>
            </w:r>
            <w:r>
              <w:rPr>
                <w:rFonts w:hint="eastAsia"/>
                <w:b/>
                <w:bCs/>
                <w:color w:val="000000" w:themeColor="text1"/>
                <w:szCs w:val="21"/>
                <w14:textFill>
                  <w14:solidFill>
                    <w14:schemeClr w14:val="tx1"/>
                  </w14:solidFill>
                </w14:textFill>
              </w:rPr>
              <w:t>4</w:t>
            </w:r>
            <w:r>
              <w:rPr>
                <w:b/>
                <w:bCs/>
                <w:color w:val="000000" w:themeColor="text1"/>
                <w:szCs w:val="21"/>
                <w14:textFill>
                  <w14:solidFill>
                    <w14:schemeClr w14:val="tx1"/>
                  </w14:solidFill>
                </w14:textFill>
              </w:rPr>
              <w:t>蒸汽发生器参数一览表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79"/>
              <w:gridCol w:w="2349"/>
              <w:gridCol w:w="1779"/>
              <w:gridCol w:w="1908"/>
            </w:tblGrid>
            <w:tr w14:paraId="142E7D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6" w:type="pct"/>
                  <w:vAlign w:val="center"/>
                </w:tcPr>
                <w:p w14:paraId="569D9144">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设备类型</w:t>
                  </w:r>
                </w:p>
              </w:tc>
              <w:tc>
                <w:tcPr>
                  <w:tcW w:w="1363" w:type="pct"/>
                  <w:vAlign w:val="center"/>
                </w:tcPr>
                <w:p w14:paraId="26FB8C85">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生物质蒸汽发生器</w:t>
                  </w:r>
                </w:p>
              </w:tc>
              <w:tc>
                <w:tcPr>
                  <w:tcW w:w="1032" w:type="pct"/>
                  <w:vAlign w:val="center"/>
                </w:tcPr>
                <w:p w14:paraId="62A4E418">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型号</w:t>
                  </w:r>
                </w:p>
              </w:tc>
              <w:tc>
                <w:tcPr>
                  <w:tcW w:w="1107" w:type="pct"/>
                  <w:vAlign w:val="center"/>
                </w:tcPr>
                <w:p w14:paraId="3954452A">
                  <w:pPr>
                    <w:snapToGrid w:val="0"/>
                    <w:jc w:val="center"/>
                    <w:textAlignment w:val="baseline"/>
                    <w:rPr>
                      <w:rStyle w:val="64"/>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ZWWS-2.5-SM</w:t>
                  </w:r>
                </w:p>
              </w:tc>
            </w:tr>
            <w:tr w14:paraId="7CF761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6" w:type="pct"/>
                  <w:shd w:val="clear" w:color="auto" w:fill="auto"/>
                  <w:vAlign w:val="center"/>
                </w:tcPr>
                <w:p w14:paraId="07A8F111">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容积</w:t>
                  </w:r>
                </w:p>
              </w:tc>
              <w:tc>
                <w:tcPr>
                  <w:tcW w:w="1363" w:type="pct"/>
                  <w:shd w:val="clear" w:color="auto" w:fill="auto"/>
                  <w:vAlign w:val="center"/>
                </w:tcPr>
                <w:p w14:paraId="1ED74732">
                  <w:pPr>
                    <w:snapToGrid w:val="0"/>
                    <w:jc w:val="center"/>
                    <w:textAlignment w:val="baseline"/>
                    <w:rPr>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49.7L</w:t>
                  </w:r>
                </w:p>
              </w:tc>
              <w:tc>
                <w:tcPr>
                  <w:tcW w:w="1032" w:type="pct"/>
                  <w:vAlign w:val="center"/>
                </w:tcPr>
                <w:p w14:paraId="7B0842B7">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额定蒸发量</w:t>
                  </w:r>
                </w:p>
              </w:tc>
              <w:tc>
                <w:tcPr>
                  <w:tcW w:w="1107" w:type="pct"/>
                  <w:vAlign w:val="center"/>
                </w:tcPr>
                <w:p w14:paraId="753E9FBB">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2.5t/h</w:t>
                  </w:r>
                </w:p>
              </w:tc>
            </w:tr>
            <w:tr w14:paraId="706E60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6" w:type="pct"/>
                  <w:shd w:val="clear" w:color="auto" w:fill="auto"/>
                  <w:vAlign w:val="center"/>
                </w:tcPr>
                <w:p w14:paraId="393435A8">
                  <w:pPr>
                    <w:snapToGrid w:val="0"/>
                    <w:jc w:val="center"/>
                    <w:textAlignment w:val="baseline"/>
                    <w:rPr>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适用能源</w:t>
                  </w:r>
                </w:p>
              </w:tc>
              <w:tc>
                <w:tcPr>
                  <w:tcW w:w="1363" w:type="pct"/>
                  <w:shd w:val="clear" w:color="auto" w:fill="auto"/>
                  <w:vAlign w:val="center"/>
                </w:tcPr>
                <w:p w14:paraId="7F60AC14">
                  <w:pPr>
                    <w:snapToGrid w:val="0"/>
                    <w:jc w:val="center"/>
                    <w:textAlignment w:val="baseline"/>
                    <w:rPr>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生物质颗粒</w:t>
                  </w:r>
                </w:p>
              </w:tc>
              <w:tc>
                <w:tcPr>
                  <w:tcW w:w="1032" w:type="pct"/>
                  <w:vAlign w:val="center"/>
                </w:tcPr>
                <w:p w14:paraId="71844240">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蒸汽压力</w:t>
                  </w:r>
                </w:p>
              </w:tc>
              <w:tc>
                <w:tcPr>
                  <w:tcW w:w="1107" w:type="pct"/>
                  <w:vAlign w:val="center"/>
                </w:tcPr>
                <w:p w14:paraId="270C4A20">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0.8MPa</w:t>
                  </w:r>
                </w:p>
              </w:tc>
            </w:tr>
            <w:tr w14:paraId="24C20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6" w:type="pct"/>
                  <w:shd w:val="clear" w:color="auto" w:fill="auto"/>
                  <w:vAlign w:val="center"/>
                </w:tcPr>
                <w:p w14:paraId="3A119872">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额定蒸汽温度</w:t>
                  </w:r>
                </w:p>
              </w:tc>
              <w:tc>
                <w:tcPr>
                  <w:tcW w:w="1363" w:type="pct"/>
                  <w:shd w:val="clear" w:color="auto" w:fill="auto"/>
                  <w:vAlign w:val="center"/>
                </w:tcPr>
                <w:p w14:paraId="0D778159">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175.5℃</w:t>
                  </w:r>
                </w:p>
              </w:tc>
              <w:tc>
                <w:tcPr>
                  <w:tcW w:w="1032" w:type="pct"/>
                  <w:vAlign w:val="center"/>
                </w:tcPr>
                <w:p w14:paraId="3C792B92">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给水温度</w:t>
                  </w:r>
                </w:p>
              </w:tc>
              <w:tc>
                <w:tcPr>
                  <w:tcW w:w="1107" w:type="pct"/>
                  <w:vAlign w:val="center"/>
                </w:tcPr>
                <w:p w14:paraId="0C8AB820">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20℃</w:t>
                  </w:r>
                </w:p>
              </w:tc>
            </w:tr>
            <w:tr w14:paraId="071BF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6" w:type="pct"/>
                  <w:shd w:val="clear" w:color="auto" w:fill="auto"/>
                  <w:vAlign w:val="center"/>
                </w:tcPr>
                <w:p w14:paraId="42E1D30D">
                  <w:pPr>
                    <w:snapToGrid w:val="0"/>
                    <w:jc w:val="center"/>
                    <w:textAlignment w:val="baseline"/>
                    <w:rPr>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组装完成后尺寸（长×宽×高度）</w:t>
                  </w:r>
                </w:p>
              </w:tc>
              <w:tc>
                <w:tcPr>
                  <w:tcW w:w="1363" w:type="pct"/>
                  <w:shd w:val="clear" w:color="auto" w:fill="auto"/>
                  <w:vAlign w:val="center"/>
                </w:tcPr>
                <w:p w14:paraId="7DCF4836">
                  <w:pPr>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5*1.5*2.9m</w:t>
                  </w:r>
                </w:p>
              </w:tc>
              <w:tc>
                <w:tcPr>
                  <w:tcW w:w="1032" w:type="pct"/>
                  <w:vAlign w:val="center"/>
                </w:tcPr>
                <w:p w14:paraId="7E52F659">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燃料消耗量</w:t>
                  </w:r>
                </w:p>
              </w:tc>
              <w:tc>
                <w:tcPr>
                  <w:tcW w:w="1107" w:type="pct"/>
                  <w:vAlign w:val="center"/>
                </w:tcPr>
                <w:p w14:paraId="23C44D54">
                  <w:pPr>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400kg/h</w:t>
                  </w:r>
                </w:p>
              </w:tc>
            </w:tr>
          </w:tbl>
          <w:p w14:paraId="570E389A">
            <w:pPr>
              <w:pStyle w:val="3"/>
              <w:numPr>
                <w:ilvl w:val="0"/>
                <w:numId w:val="0"/>
              </w:numPr>
              <w:tabs>
                <w:tab w:val="left" w:pos="567"/>
                <w:tab w:val="clear" w:pos="756"/>
              </w:tabs>
              <w:rPr>
                <w:rFonts w:eastAsia="宋体"/>
                <w:b/>
                <w:color w:val="000000" w:themeColor="text1"/>
                <w:kern w:val="2"/>
                <w:sz w:val="24"/>
                <w:szCs w:val="24"/>
                <w14:textFill>
                  <w14:solidFill>
                    <w14:schemeClr w14:val="tx1"/>
                  </w14:solidFill>
                </w14:textFill>
              </w:rPr>
            </w:pPr>
            <w:r>
              <w:rPr>
                <w:rFonts w:eastAsia="宋体"/>
                <w:b/>
                <w:color w:val="000000" w:themeColor="text1"/>
                <w:kern w:val="2"/>
                <w:sz w:val="24"/>
                <w:szCs w:val="24"/>
                <w14:textFill>
                  <w14:solidFill>
                    <w14:schemeClr w14:val="tx1"/>
                  </w14:solidFill>
                </w14:textFill>
              </w:rPr>
              <w:t>6、主要原辅材料和能源消耗</w:t>
            </w:r>
          </w:p>
          <w:p w14:paraId="43434D08">
            <w:pPr>
              <w:autoSpaceDE w:val="0"/>
              <w:autoSpaceDN w:val="0"/>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本项目主要原辅材料及能源消耗见下表。</w:t>
            </w:r>
          </w:p>
          <w:p w14:paraId="650496EC">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表2-</w:t>
            </w:r>
            <w:r>
              <w:rPr>
                <w:rFonts w:hint="eastAsia"/>
                <w:b/>
                <w:bCs/>
                <w:color w:val="000000" w:themeColor="text1"/>
                <w:szCs w:val="21"/>
                <w14:textFill>
                  <w14:solidFill>
                    <w14:schemeClr w14:val="tx1"/>
                  </w14:solidFill>
                </w14:textFill>
              </w:rPr>
              <w:t>5</w:t>
            </w:r>
            <w:r>
              <w:rPr>
                <w:b/>
                <w:bCs/>
                <w:color w:val="000000" w:themeColor="text1"/>
                <w:szCs w:val="21"/>
                <w14:textFill>
                  <w14:solidFill>
                    <w14:schemeClr w14:val="tx1"/>
                  </w14:solidFill>
                </w14:textFill>
              </w:rPr>
              <w:t xml:space="preserve">  主要原辅材料及能源消耗表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506"/>
              <w:gridCol w:w="1911"/>
              <w:gridCol w:w="1977"/>
              <w:gridCol w:w="1066"/>
              <w:gridCol w:w="1407"/>
            </w:tblGrid>
            <w:tr w14:paraId="40CD6B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4" w:type="pct"/>
                  <w:vAlign w:val="center"/>
                </w:tcPr>
                <w:p w14:paraId="1D7FCC5D">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序号</w:t>
                  </w:r>
                </w:p>
              </w:tc>
              <w:tc>
                <w:tcPr>
                  <w:tcW w:w="874" w:type="pct"/>
                  <w:vAlign w:val="center"/>
                </w:tcPr>
                <w:p w14:paraId="6A4FEA2C">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名称</w:t>
                  </w:r>
                </w:p>
              </w:tc>
              <w:tc>
                <w:tcPr>
                  <w:tcW w:w="1109" w:type="pct"/>
                  <w:vAlign w:val="center"/>
                </w:tcPr>
                <w:p w14:paraId="7D94DAB0">
                  <w:pPr>
                    <w:pStyle w:val="23"/>
                    <w:ind w:right="-105" w:rightChars="-5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年用量</w:t>
                  </w:r>
                  <w:r>
                    <w:rPr>
                      <w:bCs/>
                      <w:color w:val="000000" w:themeColor="text1"/>
                      <w:sz w:val="21"/>
                      <w:szCs w:val="21"/>
                      <w14:textFill>
                        <w14:solidFill>
                          <w14:schemeClr w14:val="tx1"/>
                        </w14:solidFill>
                      </w14:textFill>
                    </w:rPr>
                    <w:t>t/a</w:t>
                  </w:r>
                </w:p>
              </w:tc>
              <w:tc>
                <w:tcPr>
                  <w:tcW w:w="1147" w:type="pct"/>
                  <w:vAlign w:val="center"/>
                </w:tcPr>
                <w:p w14:paraId="5C2214F7">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最大储存量</w:t>
                  </w:r>
                  <w:r>
                    <w:rPr>
                      <w:bCs/>
                      <w:color w:val="000000" w:themeColor="text1"/>
                      <w:sz w:val="21"/>
                      <w:szCs w:val="21"/>
                      <w14:textFill>
                        <w14:solidFill>
                          <w14:schemeClr w14:val="tx1"/>
                        </w14:solidFill>
                      </w14:textFill>
                    </w:rPr>
                    <w:t>t/a</w:t>
                  </w:r>
                </w:p>
              </w:tc>
              <w:tc>
                <w:tcPr>
                  <w:tcW w:w="618" w:type="pct"/>
                  <w:shd w:val="clear" w:color="auto" w:fill="auto"/>
                  <w:vAlign w:val="center"/>
                </w:tcPr>
                <w:p w14:paraId="3B3BD8B5">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来源</w:t>
                  </w:r>
                </w:p>
              </w:tc>
              <w:tc>
                <w:tcPr>
                  <w:tcW w:w="816" w:type="pct"/>
                  <w:shd w:val="clear" w:color="auto" w:fill="auto"/>
                  <w:vAlign w:val="center"/>
                </w:tcPr>
                <w:p w14:paraId="66F05D7B">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储存位置</w:t>
                  </w:r>
                </w:p>
              </w:tc>
            </w:tr>
            <w:tr w14:paraId="2E09D7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4" w:type="pct"/>
                  <w:shd w:val="clear" w:color="auto" w:fill="auto"/>
                  <w:vAlign w:val="center"/>
                </w:tcPr>
                <w:p w14:paraId="462B36A0">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w:t>
                  </w:r>
                </w:p>
              </w:tc>
              <w:tc>
                <w:tcPr>
                  <w:tcW w:w="874" w:type="pct"/>
                  <w:vAlign w:val="center"/>
                </w:tcPr>
                <w:p w14:paraId="13A2A76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生物质</w:t>
                  </w:r>
                </w:p>
              </w:tc>
              <w:tc>
                <w:tcPr>
                  <w:tcW w:w="1109" w:type="pct"/>
                  <w:vAlign w:val="center"/>
                </w:tcPr>
                <w:p w14:paraId="2860889E">
                  <w:pPr>
                    <w:adjustRightIn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640</w:t>
                  </w:r>
                </w:p>
              </w:tc>
              <w:tc>
                <w:tcPr>
                  <w:tcW w:w="1147" w:type="pct"/>
                  <w:vAlign w:val="center"/>
                </w:tcPr>
                <w:p w14:paraId="5273A5DF">
                  <w:pPr>
                    <w:adjustRightIn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40</w:t>
                  </w:r>
                </w:p>
              </w:tc>
              <w:tc>
                <w:tcPr>
                  <w:tcW w:w="618" w:type="pct"/>
                  <w:shd w:val="clear" w:color="auto" w:fill="auto"/>
                  <w:vAlign w:val="center"/>
                </w:tcPr>
                <w:p w14:paraId="09EE1272">
                  <w:pPr>
                    <w:pStyle w:val="12"/>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外购</w:t>
                  </w:r>
                </w:p>
              </w:tc>
              <w:tc>
                <w:tcPr>
                  <w:tcW w:w="816" w:type="pct"/>
                  <w:vAlign w:val="center"/>
                </w:tcPr>
                <w:p w14:paraId="57631D62">
                  <w:pPr>
                    <w:adjustRightInd w:val="0"/>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燃料贮存库</w:t>
                  </w:r>
                </w:p>
              </w:tc>
            </w:tr>
            <w:tr w14:paraId="7D46A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4" w:type="pct"/>
                  <w:shd w:val="clear" w:color="auto" w:fill="auto"/>
                  <w:vAlign w:val="center"/>
                </w:tcPr>
                <w:p w14:paraId="7A315340">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c>
                <w:tcPr>
                  <w:tcW w:w="874" w:type="pct"/>
                  <w:vAlign w:val="center"/>
                </w:tcPr>
                <w:p w14:paraId="41A952A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新鲜水</w:t>
                  </w:r>
                </w:p>
              </w:tc>
              <w:tc>
                <w:tcPr>
                  <w:tcW w:w="1109" w:type="pct"/>
                  <w:vAlign w:val="center"/>
                </w:tcPr>
                <w:p w14:paraId="275B76F4">
                  <w:pPr>
                    <w:adjustRightIn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70.59</w:t>
                  </w:r>
                </w:p>
              </w:tc>
              <w:tc>
                <w:tcPr>
                  <w:tcW w:w="1147" w:type="pct"/>
                  <w:vAlign w:val="center"/>
                </w:tcPr>
                <w:p w14:paraId="6CD0967B">
                  <w:pPr>
                    <w:adjustRightIn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c>
                <w:tcPr>
                  <w:tcW w:w="618" w:type="pct"/>
                  <w:shd w:val="clear" w:color="auto" w:fill="auto"/>
                  <w:vAlign w:val="center"/>
                </w:tcPr>
                <w:p w14:paraId="628CC6BB">
                  <w:pPr>
                    <w:pStyle w:val="12"/>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外购</w:t>
                  </w:r>
                </w:p>
              </w:tc>
              <w:tc>
                <w:tcPr>
                  <w:tcW w:w="816" w:type="pct"/>
                  <w:vAlign w:val="center"/>
                </w:tcPr>
                <w:p w14:paraId="66C49810">
                  <w:pPr>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6F6B6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4" w:type="pct"/>
                  <w:vAlign w:val="center"/>
                </w:tcPr>
                <w:p w14:paraId="404BF761">
                  <w:pPr>
                    <w:pStyle w:val="2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w:t>
                  </w:r>
                </w:p>
              </w:tc>
              <w:tc>
                <w:tcPr>
                  <w:tcW w:w="874" w:type="pct"/>
                  <w:vAlign w:val="center"/>
                </w:tcPr>
                <w:p w14:paraId="26C32CF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电</w:t>
                  </w:r>
                </w:p>
              </w:tc>
              <w:tc>
                <w:tcPr>
                  <w:tcW w:w="1109" w:type="pct"/>
                  <w:vAlign w:val="center"/>
                </w:tcPr>
                <w:p w14:paraId="47C22920">
                  <w:pPr>
                    <w:adjustRightInd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12万</w:t>
                  </w:r>
                  <w:r>
                    <w:rPr>
                      <w:rStyle w:val="34"/>
                      <w:b w:val="0"/>
                      <w:color w:val="000000" w:themeColor="text1"/>
                      <w:szCs w:val="21"/>
                      <w:shd w:val="clear" w:color="auto" w:fill="FFFFFF"/>
                      <w14:textFill>
                        <w14:solidFill>
                          <w14:schemeClr w14:val="tx1"/>
                        </w14:solidFill>
                      </w14:textFill>
                    </w:rPr>
                    <w:t>kW·h</w:t>
                  </w:r>
                  <w:r>
                    <w:rPr>
                      <w:bCs/>
                      <w:color w:val="000000" w:themeColor="text1"/>
                      <w:szCs w:val="21"/>
                      <w14:textFill>
                        <w14:solidFill>
                          <w14:schemeClr w14:val="tx1"/>
                        </w14:solidFill>
                      </w14:textFill>
                    </w:rPr>
                    <w:t>/a</w:t>
                  </w:r>
                </w:p>
              </w:tc>
              <w:tc>
                <w:tcPr>
                  <w:tcW w:w="1147" w:type="pct"/>
                  <w:vAlign w:val="center"/>
                </w:tcPr>
                <w:p w14:paraId="3344CE53">
                  <w:pPr>
                    <w:adjustRightInd w:val="0"/>
                    <w:jc w:val="center"/>
                    <w:rPr>
                      <w:bCs/>
                      <w:color w:val="000000" w:themeColor="text1"/>
                      <w:szCs w:val="21"/>
                      <w14:textFill>
                        <w14:solidFill>
                          <w14:schemeClr w14:val="tx1"/>
                        </w14:solidFill>
                      </w14:textFill>
                    </w:rPr>
                  </w:pPr>
                  <w:r>
                    <w:rPr>
                      <w:rStyle w:val="34"/>
                      <w:b w:val="0"/>
                      <w:color w:val="000000" w:themeColor="text1"/>
                      <w:szCs w:val="21"/>
                      <w:shd w:val="clear" w:color="auto" w:fill="FFFFFF"/>
                      <w14:textFill>
                        <w14:solidFill>
                          <w14:schemeClr w14:val="tx1"/>
                        </w14:solidFill>
                      </w14:textFill>
                    </w:rPr>
                    <w:t>/</w:t>
                  </w:r>
                </w:p>
              </w:tc>
              <w:tc>
                <w:tcPr>
                  <w:tcW w:w="618" w:type="pct"/>
                  <w:shd w:val="clear" w:color="auto" w:fill="auto"/>
                  <w:vAlign w:val="center"/>
                </w:tcPr>
                <w:p w14:paraId="4E85DF37">
                  <w:pPr>
                    <w:adjustRightInd w:val="0"/>
                    <w:jc w:val="center"/>
                    <w:rPr>
                      <w:color w:val="000000" w:themeColor="text1"/>
                      <w:szCs w:val="21"/>
                      <w14:textFill>
                        <w14:solidFill>
                          <w14:schemeClr w14:val="tx1"/>
                        </w14:solidFill>
                      </w14:textFill>
                    </w:rPr>
                  </w:pPr>
                  <w:r>
                    <w:rPr>
                      <w:bCs/>
                      <w:color w:val="000000" w:themeColor="text1"/>
                      <w:szCs w:val="21"/>
                      <w14:textFill>
                        <w14:solidFill>
                          <w14:schemeClr w14:val="tx1"/>
                        </w14:solidFill>
                      </w14:textFill>
                    </w:rPr>
                    <w:t>供电管网</w:t>
                  </w:r>
                </w:p>
              </w:tc>
              <w:tc>
                <w:tcPr>
                  <w:tcW w:w="816" w:type="pct"/>
                  <w:vAlign w:val="center"/>
                </w:tcPr>
                <w:p w14:paraId="75B46083">
                  <w:pPr>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bookmarkEnd w:id="11"/>
            <w:bookmarkEnd w:id="12"/>
          </w:tbl>
          <w:p w14:paraId="27228481">
            <w:pPr>
              <w:snapToGrid w:val="0"/>
              <w:spacing w:before="120" w:beforeLines="50" w:line="360" w:lineRule="auto"/>
              <w:ind w:firstLine="480" w:firstLineChars="200"/>
              <w:textAlignment w:val="baseline"/>
              <w:rPr>
                <w:rStyle w:val="64"/>
                <w:bCs/>
                <w:color w:val="000000" w:themeColor="text1"/>
                <w:sz w:val="24"/>
                <w:szCs w:val="21"/>
                <w14:textFill>
                  <w14:solidFill>
                    <w14:schemeClr w14:val="tx1"/>
                  </w14:solidFill>
                </w14:textFill>
              </w:rPr>
            </w:pPr>
            <w:r>
              <w:rPr>
                <w:rStyle w:val="64"/>
                <w:bCs/>
                <w:color w:val="000000" w:themeColor="text1"/>
                <w:sz w:val="24"/>
                <w:szCs w:val="21"/>
                <w14:textFill>
                  <w14:solidFill>
                    <w14:schemeClr w14:val="tx1"/>
                  </w14:solidFill>
                </w14:textFill>
              </w:rPr>
              <w:t>根据企业提供资料，生物质蒸汽发生器燃用生物质成型颗粒燃料约为640t/a，生物质燃料元素分析见附件</w:t>
            </w:r>
            <w:r>
              <w:rPr>
                <w:rStyle w:val="64"/>
                <w:rFonts w:hint="eastAsia"/>
                <w:bCs/>
                <w:color w:val="000000" w:themeColor="text1"/>
                <w:sz w:val="24"/>
                <w:szCs w:val="21"/>
                <w14:textFill>
                  <w14:solidFill>
                    <w14:schemeClr w14:val="tx1"/>
                  </w14:solidFill>
                </w14:textFill>
              </w:rPr>
              <w:t>5</w:t>
            </w:r>
            <w:r>
              <w:rPr>
                <w:rStyle w:val="64"/>
                <w:bCs/>
                <w:color w:val="000000" w:themeColor="text1"/>
                <w:sz w:val="24"/>
                <w:szCs w:val="21"/>
                <w14:textFill>
                  <w14:solidFill>
                    <w14:schemeClr w14:val="tx1"/>
                  </w14:solidFill>
                </w14:textFill>
              </w:rPr>
              <w:t>，本项目使用的生物质燃料与引用的检测报告中样品为同种燃料，且检测报告中燃料的各项参数均符合《生物质锅炉技术规范》（GB/T44906-2024）中相关要求，具体指标如下表。</w:t>
            </w:r>
          </w:p>
          <w:p w14:paraId="675837DA">
            <w:pPr>
              <w:snapToGrid w:val="0"/>
              <w:spacing w:before="120" w:beforeLines="50"/>
              <w:jc w:val="center"/>
              <w:textAlignment w:val="baseline"/>
              <w:rPr>
                <w:rStyle w:val="64"/>
                <w:b/>
                <w:color w:val="000000" w:themeColor="text1"/>
                <w:szCs w:val="18"/>
                <w14:textFill>
                  <w14:solidFill>
                    <w14:schemeClr w14:val="tx1"/>
                  </w14:solidFill>
                </w14:textFill>
              </w:rPr>
            </w:pPr>
            <w:r>
              <w:rPr>
                <w:rStyle w:val="64"/>
                <w:b/>
                <w:color w:val="000000" w:themeColor="text1"/>
                <w:szCs w:val="18"/>
                <w14:textFill>
                  <w14:solidFill>
                    <w14:schemeClr w14:val="tx1"/>
                  </w14:solidFill>
                </w14:textFill>
              </w:rPr>
              <w:t>表2-6  生物质颗粒成分一览表</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3906"/>
              <w:gridCol w:w="2468"/>
              <w:gridCol w:w="1434"/>
            </w:tblGrid>
            <w:tr w14:paraId="6E0966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8" w:type="pct"/>
                  <w:tcBorders>
                    <w:tl2br w:val="nil"/>
                    <w:tr2bl w:val="nil"/>
                  </w:tcBorders>
                </w:tcPr>
                <w:p w14:paraId="59EA9E95">
                  <w:pPr>
                    <w:snapToGrid w:val="0"/>
                    <w:spacing w:before="120" w:beforeLines="50"/>
                    <w:jc w:val="center"/>
                    <w:textAlignment w:val="baseline"/>
                    <w:rPr>
                      <w:rStyle w:val="64"/>
                      <w:bCs/>
                      <w:color w:val="000000" w:themeColor="text1"/>
                      <w:szCs w:val="18"/>
                      <w14:textFill>
                        <w14:solidFill>
                          <w14:schemeClr w14:val="tx1"/>
                        </w14:solidFill>
                      </w14:textFill>
                    </w:rPr>
                  </w:pPr>
                  <w:r>
                    <w:rPr>
                      <w:rStyle w:val="64"/>
                      <w:bCs/>
                      <w:color w:val="000000" w:themeColor="text1"/>
                      <w:szCs w:val="18"/>
                      <w14:textFill>
                        <w14:solidFill>
                          <w14:schemeClr w14:val="tx1"/>
                        </w14:solidFill>
                      </w14:textFill>
                    </w:rPr>
                    <w:t>序号</w:t>
                  </w:r>
                </w:p>
              </w:tc>
              <w:tc>
                <w:tcPr>
                  <w:tcW w:w="2266" w:type="pct"/>
                  <w:tcBorders>
                    <w:tl2br w:val="nil"/>
                    <w:tr2bl w:val="nil"/>
                  </w:tcBorders>
                </w:tcPr>
                <w:p w14:paraId="00FF1A51">
                  <w:pPr>
                    <w:snapToGrid w:val="0"/>
                    <w:spacing w:before="120" w:beforeLines="50"/>
                    <w:jc w:val="center"/>
                    <w:textAlignment w:val="baseline"/>
                    <w:rPr>
                      <w:rStyle w:val="64"/>
                      <w:bCs/>
                      <w:color w:val="000000" w:themeColor="text1"/>
                      <w:szCs w:val="18"/>
                      <w14:textFill>
                        <w14:solidFill>
                          <w14:schemeClr w14:val="tx1"/>
                        </w14:solidFill>
                      </w14:textFill>
                    </w:rPr>
                  </w:pPr>
                  <w:r>
                    <w:rPr>
                      <w:rStyle w:val="64"/>
                      <w:bCs/>
                      <w:color w:val="000000" w:themeColor="text1"/>
                      <w:szCs w:val="18"/>
                      <w14:textFill>
                        <w14:solidFill>
                          <w14:schemeClr w14:val="tx1"/>
                        </w14:solidFill>
                      </w14:textFill>
                    </w:rPr>
                    <w:t>检测项目</w:t>
                  </w:r>
                </w:p>
              </w:tc>
              <w:tc>
                <w:tcPr>
                  <w:tcW w:w="1432" w:type="pct"/>
                  <w:tcBorders>
                    <w:tl2br w:val="nil"/>
                    <w:tr2bl w:val="nil"/>
                  </w:tcBorders>
                  <w:vAlign w:val="center"/>
                </w:tcPr>
                <w:p w14:paraId="4778D27C">
                  <w:pPr>
                    <w:wordWrap w:val="0"/>
                    <w:jc w:val="center"/>
                    <w:rPr>
                      <w:color w:val="000000" w:themeColor="text1"/>
                      <w14:textFill>
                        <w14:solidFill>
                          <w14:schemeClr w14:val="tx1"/>
                        </w14:solidFill>
                      </w14:textFill>
                    </w:rPr>
                  </w:pPr>
                  <w:r>
                    <w:rPr>
                      <w:color w:val="000000" w:themeColor="text1"/>
                      <w14:textFill>
                        <w14:solidFill>
                          <w14:schemeClr w14:val="tx1"/>
                        </w14:solidFill>
                      </w14:textFill>
                    </w:rPr>
                    <w:t>标准要求</w:t>
                  </w:r>
                </w:p>
              </w:tc>
              <w:tc>
                <w:tcPr>
                  <w:tcW w:w="832" w:type="pct"/>
                  <w:tcBorders>
                    <w:tl2br w:val="nil"/>
                    <w:tr2bl w:val="nil"/>
                  </w:tcBorders>
                  <w:vAlign w:val="center"/>
                </w:tcPr>
                <w:p w14:paraId="6A279900">
                  <w:pPr>
                    <w:jc w:val="center"/>
                    <w:rPr>
                      <w:color w:val="000000" w:themeColor="text1"/>
                      <w14:textFill>
                        <w14:solidFill>
                          <w14:schemeClr w14:val="tx1"/>
                        </w14:solidFill>
                      </w14:textFill>
                    </w:rPr>
                  </w:pPr>
                  <w:r>
                    <w:rPr>
                      <w:color w:val="000000" w:themeColor="text1"/>
                      <w14:textFill>
                        <w14:solidFill>
                          <w14:schemeClr w14:val="tx1"/>
                        </w14:solidFill>
                      </w14:textFill>
                    </w:rPr>
                    <w:t>检测结果</w:t>
                  </w:r>
                </w:p>
              </w:tc>
            </w:tr>
            <w:tr w14:paraId="3FF3C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8" w:type="pct"/>
                  <w:tcBorders>
                    <w:tl2br w:val="nil"/>
                    <w:tr2bl w:val="nil"/>
                  </w:tcBorders>
                  <w:vAlign w:val="center"/>
                </w:tcPr>
                <w:p w14:paraId="3CE2A833">
                  <w:pPr>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2266" w:type="pct"/>
                  <w:tcBorders>
                    <w:tl2br w:val="nil"/>
                    <w:tr2bl w:val="nil"/>
                  </w:tcBorders>
                  <w:shd w:val="clear" w:color="auto" w:fill="auto"/>
                  <w:vAlign w:val="center"/>
                </w:tcPr>
                <w:p w14:paraId="3D8A1612">
                  <w:pPr>
                    <w:jc w:val="center"/>
                    <w:rPr>
                      <w:color w:val="000000" w:themeColor="text1"/>
                      <w14:textFill>
                        <w14:solidFill>
                          <w14:schemeClr w14:val="tx1"/>
                        </w14:solidFill>
                      </w14:textFill>
                    </w:rPr>
                  </w:pPr>
                  <w:r>
                    <w:rPr>
                      <w:color w:val="000000" w:themeColor="text1"/>
                      <w14:textFill>
                        <w14:solidFill>
                          <w14:schemeClr w14:val="tx1"/>
                        </w14:solidFill>
                      </w14:textFill>
                    </w:rPr>
                    <w:t>全水分Mt，%</w:t>
                  </w:r>
                </w:p>
              </w:tc>
              <w:tc>
                <w:tcPr>
                  <w:tcW w:w="1432" w:type="pct"/>
                  <w:tcBorders>
                    <w:tl2br w:val="nil"/>
                    <w:tr2bl w:val="nil"/>
                  </w:tcBorders>
                  <w:shd w:val="clear" w:color="auto" w:fill="auto"/>
                  <w:vAlign w:val="center"/>
                </w:tcPr>
                <w:p w14:paraId="71968AC5">
                  <w:pPr>
                    <w:jc w:val="center"/>
                    <w:rPr>
                      <w:color w:val="000000" w:themeColor="text1"/>
                      <w14:textFill>
                        <w14:solidFill>
                          <w14:schemeClr w14:val="tx1"/>
                        </w14:solidFill>
                      </w14:textFill>
                    </w:rPr>
                  </w:pPr>
                  <w:r>
                    <w:rPr>
                      <w:color w:val="000000" w:themeColor="text1"/>
                      <w14:textFill>
                        <w14:solidFill>
                          <w14:schemeClr w14:val="tx1"/>
                        </w14:solidFill>
                      </w14:textFill>
                    </w:rPr>
                    <w:t>≦12</w:t>
                  </w:r>
                </w:p>
              </w:tc>
              <w:tc>
                <w:tcPr>
                  <w:tcW w:w="832" w:type="pct"/>
                  <w:tcBorders>
                    <w:tl2br w:val="nil"/>
                    <w:tr2bl w:val="nil"/>
                  </w:tcBorders>
                  <w:vAlign w:val="center"/>
                </w:tcPr>
                <w:p w14:paraId="027A43A3">
                  <w:pPr>
                    <w:jc w:val="center"/>
                    <w:rPr>
                      <w:color w:val="000000" w:themeColor="text1"/>
                      <w14:textFill>
                        <w14:solidFill>
                          <w14:schemeClr w14:val="tx1"/>
                        </w14:solidFill>
                      </w14:textFill>
                    </w:rPr>
                  </w:pPr>
                  <w:r>
                    <w:rPr>
                      <w:color w:val="000000" w:themeColor="text1"/>
                      <w14:textFill>
                        <w14:solidFill>
                          <w14:schemeClr w14:val="tx1"/>
                        </w14:solidFill>
                      </w14:textFill>
                    </w:rPr>
                    <w:t>6.8</w:t>
                  </w:r>
                </w:p>
              </w:tc>
            </w:tr>
            <w:tr w14:paraId="085EB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8" w:type="pct"/>
                  <w:tcBorders>
                    <w:tl2br w:val="nil"/>
                    <w:tr2bl w:val="nil"/>
                  </w:tcBorders>
                  <w:vAlign w:val="center"/>
                </w:tcPr>
                <w:p w14:paraId="70C02D6D">
                  <w:pPr>
                    <w:jc w:val="center"/>
                    <w:rPr>
                      <w:color w:val="000000" w:themeColor="text1"/>
                      <w14:textFill>
                        <w14:solidFill>
                          <w14:schemeClr w14:val="tx1"/>
                        </w14:solidFill>
                      </w14:textFill>
                    </w:rPr>
                  </w:pPr>
                  <w:r>
                    <w:rPr>
                      <w:color w:val="000000" w:themeColor="text1"/>
                      <w14:textFill>
                        <w14:solidFill>
                          <w14:schemeClr w14:val="tx1"/>
                        </w14:solidFill>
                      </w14:textFill>
                    </w:rPr>
                    <w:t>2</w:t>
                  </w:r>
                </w:p>
              </w:tc>
              <w:tc>
                <w:tcPr>
                  <w:tcW w:w="2266" w:type="pct"/>
                  <w:tcBorders>
                    <w:tl2br w:val="nil"/>
                    <w:tr2bl w:val="nil"/>
                  </w:tcBorders>
                  <w:vAlign w:val="center"/>
                </w:tcPr>
                <w:p w14:paraId="4B7841AA">
                  <w:pPr>
                    <w:jc w:val="center"/>
                    <w:rPr>
                      <w:color w:val="000000" w:themeColor="text1"/>
                      <w14:textFill>
                        <w14:solidFill>
                          <w14:schemeClr w14:val="tx1"/>
                        </w14:solidFill>
                      </w14:textFill>
                    </w:rPr>
                  </w:pPr>
                  <w:r>
                    <w:rPr>
                      <w:color w:val="000000" w:themeColor="text1"/>
                      <w14:textFill>
                        <w14:solidFill>
                          <w14:schemeClr w14:val="tx1"/>
                        </w14:solidFill>
                      </w14:textFill>
                    </w:rPr>
                    <w:t>干燥基灰分 Ad，%</w:t>
                  </w:r>
                </w:p>
              </w:tc>
              <w:tc>
                <w:tcPr>
                  <w:tcW w:w="1432" w:type="pct"/>
                  <w:tcBorders>
                    <w:tl2br w:val="nil"/>
                    <w:tr2bl w:val="nil"/>
                  </w:tcBorders>
                  <w:vAlign w:val="center"/>
                </w:tcPr>
                <w:p w14:paraId="59F8D9DB">
                  <w:pPr>
                    <w:jc w:val="center"/>
                    <w:rPr>
                      <w:color w:val="000000" w:themeColor="text1"/>
                      <w14:textFill>
                        <w14:solidFill>
                          <w14:schemeClr w14:val="tx1"/>
                        </w14:solidFill>
                      </w14:textFill>
                    </w:rPr>
                  </w:pPr>
                  <w:r>
                    <w:rPr>
                      <w:color w:val="000000" w:themeColor="text1"/>
                      <w14:textFill>
                        <w14:solidFill>
                          <w14:schemeClr w14:val="tx1"/>
                        </w14:solidFill>
                      </w14:textFill>
                    </w:rPr>
                    <w:t>≦10</w:t>
                  </w:r>
                </w:p>
              </w:tc>
              <w:tc>
                <w:tcPr>
                  <w:tcW w:w="832" w:type="pct"/>
                  <w:tcBorders>
                    <w:tl2br w:val="nil"/>
                    <w:tr2bl w:val="nil"/>
                  </w:tcBorders>
                  <w:vAlign w:val="center"/>
                </w:tcPr>
                <w:p w14:paraId="3B42598C">
                  <w:pPr>
                    <w:jc w:val="center"/>
                    <w:rPr>
                      <w:color w:val="000000" w:themeColor="text1"/>
                      <w14:textFill>
                        <w14:solidFill>
                          <w14:schemeClr w14:val="tx1"/>
                        </w14:solidFill>
                      </w14:textFill>
                    </w:rPr>
                  </w:pPr>
                  <w:r>
                    <w:rPr>
                      <w:color w:val="000000" w:themeColor="text1"/>
                      <w14:textFill>
                        <w14:solidFill>
                          <w14:schemeClr w14:val="tx1"/>
                        </w14:solidFill>
                      </w14:textFill>
                    </w:rPr>
                    <w:t>2.7</w:t>
                  </w:r>
                </w:p>
              </w:tc>
            </w:tr>
            <w:tr w14:paraId="46A5B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8" w:type="pct"/>
                  <w:tcBorders>
                    <w:tl2br w:val="nil"/>
                    <w:tr2bl w:val="nil"/>
                  </w:tcBorders>
                  <w:vAlign w:val="center"/>
                </w:tcPr>
                <w:p w14:paraId="0499A435">
                  <w:pPr>
                    <w:jc w:val="center"/>
                    <w:rPr>
                      <w:color w:val="000000" w:themeColor="text1"/>
                      <w14:textFill>
                        <w14:solidFill>
                          <w14:schemeClr w14:val="tx1"/>
                        </w14:solidFill>
                      </w14:textFill>
                    </w:rPr>
                  </w:pPr>
                  <w:r>
                    <w:rPr>
                      <w:color w:val="000000" w:themeColor="text1"/>
                      <w14:textFill>
                        <w14:solidFill>
                          <w14:schemeClr w14:val="tx1"/>
                        </w14:solidFill>
                      </w14:textFill>
                    </w:rPr>
                    <w:t>3</w:t>
                  </w:r>
                </w:p>
              </w:tc>
              <w:tc>
                <w:tcPr>
                  <w:tcW w:w="2266" w:type="pct"/>
                  <w:tcBorders>
                    <w:tl2br w:val="nil"/>
                    <w:tr2bl w:val="nil"/>
                  </w:tcBorders>
                  <w:vAlign w:val="center"/>
                </w:tcPr>
                <w:p w14:paraId="55157C7C">
                  <w:pPr>
                    <w:jc w:val="center"/>
                    <w:rPr>
                      <w:color w:val="000000" w:themeColor="text1"/>
                      <w14:textFill>
                        <w14:solidFill>
                          <w14:schemeClr w14:val="tx1"/>
                        </w14:solidFill>
                      </w14:textFill>
                    </w:rPr>
                  </w:pPr>
                  <w:r>
                    <w:rPr>
                      <w:color w:val="000000" w:themeColor="text1"/>
                      <w14:textFill>
                        <w14:solidFill>
                          <w14:schemeClr w14:val="tx1"/>
                        </w14:solidFill>
                      </w14:textFill>
                    </w:rPr>
                    <w:t>干燥无灰基挥发分Vdaf，%</w:t>
                  </w:r>
                </w:p>
              </w:tc>
              <w:tc>
                <w:tcPr>
                  <w:tcW w:w="1432" w:type="pct"/>
                  <w:tcBorders>
                    <w:tl2br w:val="nil"/>
                    <w:tr2bl w:val="nil"/>
                  </w:tcBorders>
                  <w:vAlign w:val="center"/>
                </w:tcPr>
                <w:p w14:paraId="3F2D5A06">
                  <w:pPr>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832" w:type="pct"/>
                  <w:tcBorders>
                    <w:tl2br w:val="nil"/>
                    <w:tr2bl w:val="nil"/>
                  </w:tcBorders>
                  <w:vAlign w:val="center"/>
                </w:tcPr>
                <w:p w14:paraId="0DB36671">
                  <w:pPr>
                    <w:jc w:val="center"/>
                    <w:rPr>
                      <w:color w:val="000000" w:themeColor="text1"/>
                      <w14:textFill>
                        <w14:solidFill>
                          <w14:schemeClr w14:val="tx1"/>
                        </w14:solidFill>
                      </w14:textFill>
                    </w:rPr>
                  </w:pPr>
                  <w:r>
                    <w:rPr>
                      <w:color w:val="000000" w:themeColor="text1"/>
                      <w14:textFill>
                        <w14:solidFill>
                          <w14:schemeClr w14:val="tx1"/>
                        </w14:solidFill>
                      </w14:textFill>
                    </w:rPr>
                    <w:t>83.69</w:t>
                  </w:r>
                </w:p>
              </w:tc>
            </w:tr>
            <w:tr w14:paraId="48592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8" w:type="pct"/>
                  <w:tcBorders>
                    <w:tl2br w:val="nil"/>
                    <w:tr2bl w:val="nil"/>
                  </w:tcBorders>
                  <w:vAlign w:val="center"/>
                </w:tcPr>
                <w:p w14:paraId="08872A46">
                  <w:pPr>
                    <w:jc w:val="center"/>
                    <w:rPr>
                      <w:color w:val="000000" w:themeColor="text1"/>
                      <w14:textFill>
                        <w14:solidFill>
                          <w14:schemeClr w14:val="tx1"/>
                        </w14:solidFill>
                      </w14:textFill>
                    </w:rPr>
                  </w:pPr>
                  <w:r>
                    <w:rPr>
                      <w:color w:val="000000" w:themeColor="text1"/>
                      <w14:textFill>
                        <w14:solidFill>
                          <w14:schemeClr w14:val="tx1"/>
                        </w14:solidFill>
                      </w14:textFill>
                    </w:rPr>
                    <w:t>4</w:t>
                  </w:r>
                </w:p>
              </w:tc>
              <w:tc>
                <w:tcPr>
                  <w:tcW w:w="2266" w:type="pct"/>
                  <w:tcBorders>
                    <w:tl2br w:val="nil"/>
                    <w:tr2bl w:val="nil"/>
                  </w:tcBorders>
                  <w:vAlign w:val="center"/>
                </w:tcPr>
                <w:p w14:paraId="2BC69F33">
                  <w:pPr>
                    <w:jc w:val="center"/>
                    <w:rPr>
                      <w:color w:val="000000" w:themeColor="text1"/>
                      <w14:textFill>
                        <w14:solidFill>
                          <w14:schemeClr w14:val="tx1"/>
                        </w14:solidFill>
                      </w14:textFill>
                    </w:rPr>
                  </w:pPr>
                  <w:r>
                    <w:rPr>
                      <w:color w:val="000000" w:themeColor="text1"/>
                      <w14:textFill>
                        <w14:solidFill>
                          <w14:schemeClr w14:val="tx1"/>
                        </w14:solidFill>
                      </w14:textFill>
                    </w:rPr>
                    <w:t>干燥基全硫 Sd，%</w:t>
                  </w:r>
                </w:p>
              </w:tc>
              <w:tc>
                <w:tcPr>
                  <w:tcW w:w="1432" w:type="pct"/>
                  <w:tcBorders>
                    <w:tl2br w:val="nil"/>
                    <w:tr2bl w:val="nil"/>
                  </w:tcBorders>
                  <w:vAlign w:val="center"/>
                </w:tcPr>
                <w:p w14:paraId="719FFF0C">
                  <w:pPr>
                    <w:jc w:val="center"/>
                    <w:rPr>
                      <w:color w:val="000000" w:themeColor="text1"/>
                      <w14:textFill>
                        <w14:solidFill>
                          <w14:schemeClr w14:val="tx1"/>
                        </w14:solidFill>
                      </w14:textFill>
                    </w:rPr>
                  </w:pPr>
                  <w:r>
                    <w:rPr>
                      <w:color w:val="000000" w:themeColor="text1"/>
                      <w14:textFill>
                        <w14:solidFill>
                          <w14:schemeClr w14:val="tx1"/>
                        </w14:solidFill>
                      </w14:textFill>
                    </w:rPr>
                    <w:t>≦0.1</w:t>
                  </w:r>
                </w:p>
              </w:tc>
              <w:tc>
                <w:tcPr>
                  <w:tcW w:w="832" w:type="pct"/>
                  <w:tcBorders>
                    <w:tl2br w:val="nil"/>
                    <w:tr2bl w:val="nil"/>
                  </w:tcBorders>
                  <w:vAlign w:val="center"/>
                </w:tcPr>
                <w:p w14:paraId="409017F6">
                  <w:pPr>
                    <w:jc w:val="center"/>
                    <w:rPr>
                      <w:color w:val="000000" w:themeColor="text1"/>
                      <w14:textFill>
                        <w14:solidFill>
                          <w14:schemeClr w14:val="tx1"/>
                        </w14:solidFill>
                      </w14:textFill>
                    </w:rPr>
                  </w:pPr>
                  <w:r>
                    <w:rPr>
                      <w:color w:val="000000" w:themeColor="text1"/>
                      <w14:textFill>
                        <w14:solidFill>
                          <w14:schemeClr w14:val="tx1"/>
                        </w14:solidFill>
                      </w14:textFill>
                    </w:rPr>
                    <w:t>0.01</w:t>
                  </w:r>
                </w:p>
              </w:tc>
            </w:tr>
            <w:tr w14:paraId="7E8184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8" w:type="pct"/>
                  <w:tcBorders>
                    <w:tl2br w:val="nil"/>
                    <w:tr2bl w:val="nil"/>
                  </w:tcBorders>
                  <w:vAlign w:val="center"/>
                </w:tcPr>
                <w:p w14:paraId="299D3013">
                  <w:pPr>
                    <w:jc w:val="center"/>
                    <w:rPr>
                      <w:color w:val="000000" w:themeColor="text1"/>
                      <w14:textFill>
                        <w14:solidFill>
                          <w14:schemeClr w14:val="tx1"/>
                        </w14:solidFill>
                      </w14:textFill>
                    </w:rPr>
                  </w:pPr>
                  <w:r>
                    <w:rPr>
                      <w:color w:val="000000" w:themeColor="text1"/>
                      <w14:textFill>
                        <w14:solidFill>
                          <w14:schemeClr w14:val="tx1"/>
                        </w14:solidFill>
                      </w14:textFill>
                    </w:rPr>
                    <w:t>5</w:t>
                  </w:r>
                </w:p>
              </w:tc>
              <w:tc>
                <w:tcPr>
                  <w:tcW w:w="2266" w:type="pct"/>
                  <w:tcBorders>
                    <w:tl2br w:val="nil"/>
                    <w:tr2bl w:val="nil"/>
                  </w:tcBorders>
                  <w:shd w:val="clear" w:color="auto" w:fill="auto"/>
                  <w:vAlign w:val="center"/>
                </w:tcPr>
                <w:p w14:paraId="7976265C">
                  <w:pPr>
                    <w:jc w:val="center"/>
                    <w:rPr>
                      <w:color w:val="000000" w:themeColor="text1"/>
                      <w14:textFill>
                        <w14:solidFill>
                          <w14:schemeClr w14:val="tx1"/>
                        </w14:solidFill>
                      </w14:textFill>
                    </w:rPr>
                  </w:pPr>
                  <w:r>
                    <w:rPr>
                      <w:color w:val="000000" w:themeColor="text1"/>
                      <w14:textFill>
                        <w14:solidFill>
                          <w14:schemeClr w14:val="tx1"/>
                        </w14:solidFill>
                      </w14:textFill>
                    </w:rPr>
                    <w:t>收到基低位发热量 Qnet,v,ar，MJ/kg</w:t>
                  </w:r>
                </w:p>
              </w:tc>
              <w:tc>
                <w:tcPr>
                  <w:tcW w:w="1432" w:type="pct"/>
                  <w:tcBorders>
                    <w:tl2br w:val="nil"/>
                    <w:tr2bl w:val="nil"/>
                  </w:tcBorders>
                  <w:shd w:val="clear" w:color="auto" w:fill="auto"/>
                  <w:vAlign w:val="center"/>
                </w:tcPr>
                <w:p w14:paraId="40C7E04A">
                  <w:pPr>
                    <w:jc w:val="center"/>
                    <w:rPr>
                      <w:color w:val="000000" w:themeColor="text1"/>
                      <w14:textFill>
                        <w14:solidFill>
                          <w14:schemeClr w14:val="tx1"/>
                        </w14:solidFill>
                      </w14:textFill>
                    </w:rPr>
                  </w:pPr>
                  <w:r>
                    <w:rPr>
                      <w:color w:val="000000" w:themeColor="text1"/>
                      <w14:textFill>
                        <w14:solidFill>
                          <w14:schemeClr w14:val="tx1"/>
                        </w14:solidFill>
                      </w14:textFill>
                    </w:rPr>
                    <w:t>≧10.45</w:t>
                  </w:r>
                </w:p>
              </w:tc>
              <w:tc>
                <w:tcPr>
                  <w:tcW w:w="832" w:type="pct"/>
                  <w:tcBorders>
                    <w:tl2br w:val="nil"/>
                    <w:tr2bl w:val="nil"/>
                  </w:tcBorders>
                  <w:shd w:val="clear" w:color="auto" w:fill="auto"/>
                  <w:vAlign w:val="center"/>
                </w:tcPr>
                <w:p w14:paraId="127F555B">
                  <w:pPr>
                    <w:jc w:val="center"/>
                    <w:rPr>
                      <w:color w:val="000000" w:themeColor="text1"/>
                      <w14:textFill>
                        <w14:solidFill>
                          <w14:schemeClr w14:val="tx1"/>
                        </w14:solidFill>
                      </w14:textFill>
                    </w:rPr>
                  </w:pPr>
                  <w:r>
                    <w:rPr>
                      <w:color w:val="000000" w:themeColor="text1"/>
                      <w14:textFill>
                        <w14:solidFill>
                          <w14:schemeClr w14:val="tx1"/>
                        </w14:solidFill>
                      </w14:textFill>
                    </w:rPr>
                    <w:t>16.47</w:t>
                  </w:r>
                </w:p>
              </w:tc>
            </w:tr>
          </w:tbl>
          <w:p w14:paraId="16AF144F">
            <w:pPr>
              <w:pStyle w:val="3"/>
              <w:numPr>
                <w:ilvl w:val="0"/>
                <w:numId w:val="0"/>
              </w:numPr>
              <w:tabs>
                <w:tab w:val="left" w:pos="567"/>
                <w:tab w:val="clear" w:pos="756"/>
              </w:tabs>
              <w:spacing w:beforeLines="50" w:after="0" w:line="360" w:lineRule="auto"/>
              <w:rPr>
                <w:rFonts w:eastAsia="宋体"/>
                <w:b/>
                <w:color w:val="000000" w:themeColor="text1"/>
                <w:kern w:val="2"/>
                <w:sz w:val="24"/>
                <w:szCs w:val="24"/>
                <w14:textFill>
                  <w14:solidFill>
                    <w14:schemeClr w14:val="tx1"/>
                  </w14:solidFill>
                </w14:textFill>
              </w:rPr>
            </w:pPr>
            <w:r>
              <w:rPr>
                <w:rFonts w:eastAsia="宋体"/>
                <w:b/>
                <w:color w:val="000000" w:themeColor="text1"/>
                <w:kern w:val="2"/>
                <w:sz w:val="24"/>
                <w:szCs w:val="24"/>
                <w14:textFill>
                  <w14:solidFill>
                    <w14:schemeClr w14:val="tx1"/>
                  </w14:solidFill>
                </w14:textFill>
              </w:rPr>
              <w:t>7、公用工程</w:t>
            </w:r>
          </w:p>
          <w:p w14:paraId="2C1EA53B">
            <w:pPr>
              <w:pStyle w:val="3"/>
              <w:numPr>
                <w:ilvl w:val="0"/>
                <w:numId w:val="6"/>
              </w:numPr>
              <w:tabs>
                <w:tab w:val="left" w:pos="567"/>
                <w:tab w:val="clear" w:pos="0"/>
                <w:tab w:val="clear" w:pos="756"/>
              </w:tabs>
              <w:spacing w:before="0" w:after="0" w:line="360" w:lineRule="auto"/>
              <w:ind w:left="0" w:firstLine="0"/>
              <w:rPr>
                <w:rFonts w:eastAsia="宋体"/>
                <w:bCs w:val="0"/>
                <w:color w:val="000000" w:themeColor="text1"/>
                <w:kern w:val="2"/>
                <w:sz w:val="24"/>
                <w:szCs w:val="24"/>
                <w14:textFill>
                  <w14:solidFill>
                    <w14:schemeClr w14:val="tx1"/>
                  </w14:solidFill>
                </w14:textFill>
              </w:rPr>
            </w:pPr>
            <w:r>
              <w:rPr>
                <w:rFonts w:eastAsia="宋体"/>
                <w:bCs w:val="0"/>
                <w:color w:val="000000" w:themeColor="text1"/>
                <w:kern w:val="2"/>
                <w:sz w:val="24"/>
                <w:szCs w:val="24"/>
                <w14:textFill>
                  <w14:solidFill>
                    <w14:schemeClr w14:val="tx1"/>
                  </w14:solidFill>
                </w14:textFill>
              </w:rPr>
              <w:t>供排水</w:t>
            </w:r>
          </w:p>
          <w:p w14:paraId="4A666BF4">
            <w:pPr>
              <w:snapToGrid w:val="0"/>
              <w:spacing w:line="360" w:lineRule="auto"/>
              <w:ind w:firstLine="480" w:firstLineChars="200"/>
              <w:textAlignment w:val="baseline"/>
              <w:rPr>
                <w:rStyle w:val="64"/>
                <w:color w:val="000000" w:themeColor="text1"/>
                <w:kern w:val="0"/>
                <w:sz w:val="24"/>
                <w14:textFill>
                  <w14:solidFill>
                    <w14:schemeClr w14:val="tx1"/>
                  </w14:solidFill>
                </w14:textFill>
              </w:rPr>
            </w:pPr>
            <w:r>
              <w:rPr>
                <w:rStyle w:val="64"/>
                <w:color w:val="000000" w:themeColor="text1"/>
                <w:kern w:val="0"/>
                <w:sz w:val="24"/>
                <w14:textFill>
                  <w14:solidFill>
                    <w14:schemeClr w14:val="tx1"/>
                  </w14:solidFill>
                </w14:textFill>
              </w:rPr>
              <w:t>本项目用水仅为蒸汽发生器用水，依托市政供水，总用水量为70.59t/a，项目给排水情况如下。</w:t>
            </w:r>
          </w:p>
          <w:p w14:paraId="34CD526F">
            <w:pPr>
              <w:spacing w:line="360" w:lineRule="auto"/>
              <w:ind w:firstLine="420"/>
              <w:rPr>
                <w:rStyle w:val="64"/>
                <w:color w:val="000000" w:themeColor="text1"/>
                <w:sz w:val="24"/>
                <w14:textFill>
                  <w14:solidFill>
                    <w14:schemeClr w14:val="tx1"/>
                  </w14:solidFill>
                </w14:textFill>
              </w:rPr>
            </w:pPr>
            <w:r>
              <w:rPr>
                <w:color w:val="000000" w:themeColor="text1"/>
                <w:sz w:val="24"/>
                <w14:textFill>
                  <w14:solidFill>
                    <w14:schemeClr w14:val="tx1"/>
                  </w14:solidFill>
                </w14:textFill>
              </w:rPr>
              <w:t>本项目新建2.5t/a生物质蒸汽发生器用于食用菌漂烫工序，蒸汽发生器</w:t>
            </w:r>
            <w:r>
              <w:rPr>
                <w:rFonts w:hint="eastAsia"/>
                <w:color w:val="000000" w:themeColor="text1"/>
                <w:sz w:val="24"/>
                <w14:textFill>
                  <w14:solidFill>
                    <w14:schemeClr w14:val="tx1"/>
                  </w14:solidFill>
                </w14:textFill>
              </w:rPr>
              <w:t>蒸汽产生量</w:t>
            </w:r>
            <w:r>
              <w:rPr>
                <w:color w:val="000000" w:themeColor="text1"/>
                <w:sz w:val="24"/>
                <w14:textFill>
                  <w14:solidFill>
                    <w14:schemeClr w14:val="tx1"/>
                  </w14:solidFill>
                </w14:textFill>
              </w:rPr>
              <w:t>为4000t/a，根据企业提供资料水损失量系数为1%，蒸汽发生器定期排污量为0.5%，则水损失量为40t/a，蒸汽发生器排污水量为20t/a，需要补充的软化水总量为60t/a，</w:t>
            </w:r>
            <w:r>
              <w:rPr>
                <w:rStyle w:val="64"/>
                <w:color w:val="000000" w:themeColor="text1"/>
                <w:sz w:val="24"/>
                <w14:textFill>
                  <w14:solidFill>
                    <w14:schemeClr w14:val="tx1"/>
                  </w14:solidFill>
                </w14:textFill>
              </w:rPr>
              <w:t>软水制取装置采取离子交换树脂法，出水效率约85%，则新鲜水用量为70.59t/a，软水系统排污水为10.59t/a，用于炉渣清理时洒水降尘，蒸汽发生器定期排污水经化粪池处理后排入峡河乡污水处理设施处理。</w:t>
            </w:r>
          </w:p>
          <w:p w14:paraId="47B9BCA9">
            <w:pPr>
              <w:spacing w:line="360" w:lineRule="auto"/>
              <w:ind w:firstLine="420"/>
              <w:rPr>
                <w:color w:val="000000" w:themeColor="text1"/>
                <w:sz w:val="24"/>
                <w14:textFill>
                  <w14:solidFill>
                    <w14:schemeClr w14:val="tx1"/>
                  </w14:solidFill>
                </w14:textFill>
              </w:rPr>
            </w:pPr>
            <w:r>
              <w:rPr>
                <w:rStyle w:val="64"/>
                <w:rFonts w:hint="eastAsia"/>
                <w:color w:val="000000" w:themeColor="text1"/>
                <w:sz w:val="24"/>
                <w14:textFill>
                  <w14:solidFill>
                    <w14:schemeClr w14:val="tx1"/>
                  </w14:solidFill>
                </w14:textFill>
              </w:rPr>
              <w:t>本项目废水间歇排放，</w:t>
            </w:r>
            <w:r>
              <w:rPr>
                <w:rStyle w:val="64"/>
                <w:color w:val="000000" w:themeColor="text1"/>
                <w:sz w:val="24"/>
                <w14:textFill>
                  <w14:solidFill>
                    <w14:schemeClr w14:val="tx1"/>
                  </w14:solidFill>
                </w14:textFill>
              </w:rPr>
              <w:t>软水制备废水采用桶装储存，洒水频次为2次/天，冬季采用少量多次的洒水方式，避免一次性大量洒水导致积水冻结。</w:t>
            </w:r>
          </w:p>
          <w:p w14:paraId="29AE9B0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本项目水平衡及全厂水平衡图如下：</w:t>
            </w:r>
          </w:p>
          <w:p w14:paraId="5A446D11">
            <w:pPr>
              <w:spacing w:line="360" w:lineRule="auto"/>
              <w:jc w:val="center"/>
              <w:rPr>
                <w:b/>
                <w:bCs/>
                <w:color w:val="000000" w:themeColor="text1"/>
                <w:szCs w:val="22"/>
                <w14:textFill>
                  <w14:solidFill>
                    <w14:schemeClr w14:val="tx1"/>
                  </w14:solidFill>
                </w14:textFill>
              </w:rPr>
            </w:pPr>
            <w:r>
              <w:rPr>
                <w:color w:val="000000" w:themeColor="text1"/>
                <w:sz w:val="24"/>
                <w14:textFill>
                  <w14:solidFill>
                    <w14:schemeClr w14:val="tx1"/>
                  </w14:solidFill>
                </w14:textFill>
              </w:rPr>
              <w:object>
                <v:shape id="_x0000_i1025" o:spt="75" type="#_x0000_t75" style="height:179.5pt;width:433.65pt;" o:ole="t" filled="f" o:preferrelative="t" stroked="f" coordsize="21600,21600">
                  <v:path/>
                  <v:fill on="f" focussize="0,0"/>
                  <v:stroke on="f" joinstyle="miter"/>
                  <v:imagedata r:id="rId15" o:title=""/>
                  <o:lock v:ext="edit" aspectratio="f"/>
                  <w10:wrap type="none"/>
                  <w10:anchorlock/>
                </v:shape>
                <o:OLEObject Type="Embed" ProgID="Visio.Drawing.11" ShapeID="_x0000_i1025" DrawAspect="Content" ObjectID="_1468075725" r:id="rId14">
                  <o:LockedField>false</o:LockedField>
                </o:OLEObject>
              </w:object>
            </w:r>
            <w:r>
              <w:rPr>
                <w:b/>
                <w:bCs/>
                <w:color w:val="000000" w:themeColor="text1"/>
                <w:szCs w:val="21"/>
                <w14:textFill>
                  <w14:solidFill>
                    <w14:schemeClr w14:val="tx1"/>
                  </w14:solidFill>
                </w14:textFill>
              </w:rPr>
              <w:t>图2-1 本</w:t>
            </w:r>
            <w:r>
              <w:rPr>
                <w:b/>
                <w:bCs/>
                <w:color w:val="000000" w:themeColor="text1"/>
                <w:szCs w:val="22"/>
                <w14:textFill>
                  <w14:solidFill>
                    <w14:schemeClr w14:val="tx1"/>
                  </w14:solidFill>
                </w14:textFill>
              </w:rPr>
              <w:t>项目水平衡图（单位：t/a）</w:t>
            </w:r>
          </w:p>
          <w:p w14:paraId="695046E6">
            <w:pPr>
              <w:numPr>
                <w:ilvl w:val="0"/>
                <w:numId w:val="6"/>
              </w:num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供电</w:t>
            </w:r>
          </w:p>
          <w:p w14:paraId="6765C80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电源由当地市政电网接入，年用电量为12万kWh/a。</w:t>
            </w:r>
          </w:p>
          <w:p w14:paraId="1C394F35">
            <w:pPr>
              <w:pStyle w:val="3"/>
              <w:numPr>
                <w:ilvl w:val="0"/>
                <w:numId w:val="0"/>
              </w:numPr>
              <w:tabs>
                <w:tab w:val="left" w:pos="567"/>
                <w:tab w:val="clear" w:pos="756"/>
              </w:tabs>
              <w:spacing w:before="0" w:after="0" w:line="360" w:lineRule="auto"/>
              <w:rPr>
                <w:rFonts w:eastAsia="宋体"/>
                <w:b/>
                <w:color w:val="000000" w:themeColor="text1"/>
                <w:kern w:val="2"/>
                <w:sz w:val="24"/>
                <w:szCs w:val="24"/>
                <w14:textFill>
                  <w14:solidFill>
                    <w14:schemeClr w14:val="tx1"/>
                  </w14:solidFill>
                </w14:textFill>
              </w:rPr>
            </w:pPr>
            <w:r>
              <w:rPr>
                <w:rFonts w:eastAsia="宋体"/>
                <w:b/>
                <w:color w:val="000000" w:themeColor="text1"/>
                <w:kern w:val="2"/>
                <w:sz w:val="24"/>
                <w:szCs w:val="24"/>
                <w14:textFill>
                  <w14:solidFill>
                    <w14:schemeClr w14:val="tx1"/>
                  </w14:solidFill>
                </w14:textFill>
              </w:rPr>
              <w:t>8、劳动定员及工作制度</w:t>
            </w:r>
          </w:p>
          <w:p w14:paraId="004EF544">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本项目不新增劳动定员，原有劳动定员9人。企业主要从事食用菌冷冻加工，受食用菌收获季节影响，确定本项目蒸汽发生器年运行时间200天，每天运行8小时</w:t>
            </w:r>
            <w:r>
              <w:rPr>
                <w:rFonts w:hint="eastAsia"/>
                <w:color w:val="000000" w:themeColor="text1"/>
                <w:sz w:val="24"/>
                <w14:textFill>
                  <w14:solidFill>
                    <w14:schemeClr w14:val="tx1"/>
                  </w14:solidFill>
                </w14:textFill>
              </w:rPr>
              <w:t>，仅昼间运行，夜间不生产</w:t>
            </w:r>
            <w:r>
              <w:rPr>
                <w:color w:val="000000" w:themeColor="text1"/>
                <w:sz w:val="24"/>
                <w14:textFill>
                  <w14:solidFill>
                    <w14:schemeClr w14:val="tx1"/>
                  </w14:solidFill>
                </w14:textFill>
              </w:rPr>
              <w:t>。</w:t>
            </w:r>
          </w:p>
          <w:p w14:paraId="3DA1C3CB">
            <w:pPr>
              <w:pStyle w:val="3"/>
              <w:numPr>
                <w:ilvl w:val="0"/>
                <w:numId w:val="0"/>
              </w:numPr>
              <w:tabs>
                <w:tab w:val="left" w:pos="567"/>
                <w:tab w:val="clear" w:pos="756"/>
              </w:tabs>
              <w:spacing w:before="0" w:after="0" w:line="360" w:lineRule="auto"/>
              <w:rPr>
                <w:rFonts w:eastAsia="宋体"/>
                <w:b/>
                <w:color w:val="000000" w:themeColor="text1"/>
                <w:kern w:val="2"/>
                <w:sz w:val="24"/>
                <w:szCs w:val="24"/>
                <w14:textFill>
                  <w14:solidFill>
                    <w14:schemeClr w14:val="tx1"/>
                  </w14:solidFill>
                </w14:textFill>
              </w:rPr>
            </w:pPr>
            <w:r>
              <w:rPr>
                <w:rFonts w:eastAsia="宋体"/>
                <w:b/>
                <w:color w:val="000000" w:themeColor="text1"/>
                <w:kern w:val="2"/>
                <w:sz w:val="24"/>
                <w:szCs w:val="24"/>
                <w14:textFill>
                  <w14:solidFill>
                    <w14:schemeClr w14:val="tx1"/>
                  </w14:solidFill>
                </w14:textFill>
              </w:rPr>
              <w:t>9、平面布置</w:t>
            </w:r>
          </w:p>
          <w:p w14:paraId="6ABB9C18">
            <w:pPr>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本项目总用地面积6350m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生产车间分布于厂区南侧，办公区位于厂区北侧，燃料贮存库、一般固废间、危废贮存点位于厂区东侧，锅炉房内进行分为软水装置区、锅炉装置区等，各分区之间保持一定的通道和间距。本项目生产区分工明确，区块功能分明，工作区位置合理，可保证各道工序流畅、物料运输便捷，项目总平面布局合理，具体的厂区平面布置示意图见附图4。</w:t>
            </w:r>
          </w:p>
        </w:tc>
      </w:tr>
      <w:tr w14:paraId="30FAF3DB">
        <w:tblPrEx>
          <w:tblBorders>
            <w:top w:val="single" w:color="auto" w:sz="12" w:space="0"/>
            <w:left w:val="single" w:color="auto" w:sz="12" w:space="0"/>
            <w:bottom w:val="single" w:color="auto" w:sz="12" w:space="0"/>
            <w:right w:val="single" w:color="auto" w:sz="12" w:space="0"/>
            <w:insideH w:val="single" w:color="auto" w:sz="12" w:space="0"/>
            <w:insideV w:val="single" w:color="auto" w:sz="2" w:space="0"/>
          </w:tblBorders>
          <w:tblCellMar>
            <w:top w:w="0" w:type="dxa"/>
            <w:left w:w="108" w:type="dxa"/>
            <w:bottom w:w="0" w:type="dxa"/>
            <w:right w:w="108" w:type="dxa"/>
          </w:tblCellMar>
        </w:tblPrEx>
        <w:trPr>
          <w:trHeight w:val="23" w:hRule="atLeast"/>
          <w:jc w:val="center"/>
        </w:trPr>
        <w:tc>
          <w:tcPr>
            <w:tcW w:w="661" w:type="dxa"/>
            <w:vAlign w:val="center"/>
          </w:tcPr>
          <w:p w14:paraId="5E5BE3CD">
            <w:pPr>
              <w:pStyle w:val="27"/>
              <w:adjustRightInd w:val="0"/>
              <w:snapToGrid w:val="0"/>
              <w:spacing w:before="0" w:beforeAutospacing="0" w:after="0" w:afterAutospacing="0" w:line="360"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Cs w:val="24"/>
                <w14:textFill>
                  <w14:solidFill>
                    <w14:schemeClr w14:val="tx1"/>
                  </w14:solidFill>
                </w14:textFill>
              </w:rPr>
              <w:t>工艺流程和产排污环节</w:t>
            </w:r>
          </w:p>
        </w:tc>
        <w:tc>
          <w:tcPr>
            <w:tcW w:w="8627" w:type="dxa"/>
          </w:tcPr>
          <w:p w14:paraId="12599442">
            <w:pPr>
              <w:snapToGrid w:val="0"/>
              <w:spacing w:line="360" w:lineRule="auto"/>
              <w:textAlignment w:val="baseline"/>
              <w:rPr>
                <w:rStyle w:val="64"/>
                <w:b/>
                <w:bCs/>
                <w:color w:val="000000" w:themeColor="text1"/>
                <w:sz w:val="24"/>
                <w14:textFill>
                  <w14:solidFill>
                    <w14:schemeClr w14:val="tx1"/>
                  </w14:solidFill>
                </w14:textFill>
              </w:rPr>
            </w:pPr>
            <w:r>
              <w:rPr>
                <w:rStyle w:val="64"/>
                <w:b/>
                <w:bCs/>
                <w:color w:val="000000" w:themeColor="text1"/>
                <w:sz w:val="24"/>
                <w14:textFill>
                  <w14:solidFill>
                    <w14:schemeClr w14:val="tx1"/>
                  </w14:solidFill>
                </w14:textFill>
              </w:rPr>
              <w:t>1、工艺流程简述：</w:t>
            </w:r>
          </w:p>
          <w:p w14:paraId="33D700A4">
            <w:pPr>
              <w:snapToGrid w:val="0"/>
              <w:spacing w:line="360" w:lineRule="auto"/>
              <w:ind w:firstLine="482" w:firstLineChars="200"/>
              <w:textAlignment w:val="baseline"/>
              <w:rPr>
                <w:rStyle w:val="64"/>
                <w:b/>
                <w:bCs/>
                <w:color w:val="000000" w:themeColor="text1"/>
                <w:sz w:val="24"/>
                <w14:textFill>
                  <w14:solidFill>
                    <w14:schemeClr w14:val="tx1"/>
                  </w14:solidFill>
                </w14:textFill>
              </w:rPr>
            </w:pPr>
            <w:r>
              <w:rPr>
                <w:rStyle w:val="64"/>
                <w:b/>
                <w:bCs/>
                <w:color w:val="000000" w:themeColor="text1"/>
                <w:sz w:val="24"/>
                <w14:textFill>
                  <w14:solidFill>
                    <w14:schemeClr w14:val="tx1"/>
                  </w14:solidFill>
                </w14:textFill>
              </w:rPr>
              <w:t>一、施工期</w:t>
            </w:r>
          </w:p>
          <w:p w14:paraId="1DD2CDED">
            <w:pPr>
              <w:pStyle w:val="125"/>
              <w:ind w:left="0" w:leftChars="0" w:firstLine="480"/>
              <w:rPr>
                <w:rStyle w:val="64"/>
                <w:color w:val="000000" w:themeColor="text1"/>
                <w14:textFill>
                  <w14:solidFill>
                    <w14:schemeClr w14:val="tx1"/>
                  </w14:solidFill>
                </w14:textFill>
              </w:rPr>
            </w:pPr>
            <w:r>
              <w:rPr>
                <w:rStyle w:val="64"/>
                <w:color w:val="000000" w:themeColor="text1"/>
                <w14:textFill>
                  <w14:solidFill>
                    <w14:schemeClr w14:val="tx1"/>
                  </w14:solidFill>
                </w14:textFill>
              </w:rPr>
              <w:t>本项目属于未批先建，项目主体工程已建设完成，施工期主要进行</w:t>
            </w:r>
            <w:r>
              <w:rPr>
                <w:color w:val="000000" w:themeColor="text1"/>
                <w14:textFill>
                  <w14:solidFill>
                    <w14:schemeClr w14:val="tx1"/>
                  </w14:solidFill>
                </w14:textFill>
              </w:rPr>
              <w:t>设备安装</w:t>
            </w:r>
            <w:r>
              <w:rPr>
                <w:rStyle w:val="64"/>
                <w:color w:val="000000" w:themeColor="text1"/>
                <w14:textFill>
                  <w14:solidFill>
                    <w14:schemeClr w14:val="tx1"/>
                  </w14:solidFill>
                </w14:textFill>
              </w:rPr>
              <w:t>，不涉及土建工程，因此施工期环境影响较小，主要环境影响来自运营期。施工期工艺流程及主要产污节点图如下。</w:t>
            </w:r>
          </w:p>
          <w:p w14:paraId="0D35D145">
            <w:pPr>
              <w:pStyle w:val="125"/>
              <w:ind w:left="0" w:leftChars="0" w:firstLine="480"/>
              <w:rPr>
                <w:rStyle w:val="64"/>
                <w:b/>
                <w:bCs/>
                <w:color w:val="000000" w:themeColor="text1"/>
                <w:szCs w:val="21"/>
                <w14:textFill>
                  <w14:solidFill>
                    <w14:schemeClr w14:val="tx1"/>
                  </w14:solidFill>
                </w14:textFill>
              </w:rPr>
            </w:pPr>
            <w:r>
              <w:rPr>
                <w:rStyle w:val="64"/>
                <w:color w:val="000000" w:themeColor="text1"/>
                <w14:textFill>
                  <w14:solidFill>
                    <w14:schemeClr w14:val="tx1"/>
                  </w14:solidFill>
                </w14:textFill>
              </w:rPr>
              <w:object>
                <v:shape id="_x0000_i1026" o:spt="75" type="#_x0000_t75" style="height:114.75pt;width:363.75pt;" o:ole="t" filled="f" o:preferrelative="t" stroked="f" coordsize="21600,21600">
                  <v:path/>
                  <v:fill on="f" focussize="0,0"/>
                  <v:stroke on="f" joinstyle="miter"/>
                  <v:imagedata r:id="rId17" o:title=""/>
                  <o:lock v:ext="edit" aspectratio="f"/>
                  <w10:wrap type="none"/>
                  <w10:anchorlock/>
                </v:shape>
                <o:OLEObject Type="Embed" ProgID="Visio.Drawing.11" ShapeID="_x0000_i1026" DrawAspect="Content" ObjectID="_1468075726" r:id="rId16">
                  <o:LockedField>false</o:LockedField>
                </o:OLEObject>
              </w:object>
            </w:r>
          </w:p>
          <w:p w14:paraId="61C2CF9E">
            <w:pPr>
              <w:snapToGrid w:val="0"/>
              <w:spacing w:line="360" w:lineRule="auto"/>
              <w:jc w:val="center"/>
              <w:textAlignment w:val="baseline"/>
              <w:rPr>
                <w:rStyle w:val="64"/>
                <w:b/>
                <w:bCs/>
                <w:color w:val="000000" w:themeColor="text1"/>
                <w:szCs w:val="21"/>
                <w14:textFill>
                  <w14:solidFill>
                    <w14:schemeClr w14:val="tx1"/>
                  </w14:solidFill>
                </w14:textFill>
              </w:rPr>
            </w:pPr>
            <w:r>
              <w:rPr>
                <w:rStyle w:val="64"/>
                <w:b/>
                <w:bCs/>
                <w:color w:val="000000" w:themeColor="text1"/>
                <w:szCs w:val="21"/>
                <w14:textFill>
                  <w14:solidFill>
                    <w14:schemeClr w14:val="tx1"/>
                  </w14:solidFill>
                </w14:textFill>
              </w:rPr>
              <w:t>图2-2 施工期工艺流程及排污节点图</w:t>
            </w:r>
          </w:p>
          <w:p w14:paraId="7C8C3738">
            <w:pPr>
              <w:numPr>
                <w:ilvl w:val="0"/>
                <w:numId w:val="7"/>
              </w:numPr>
              <w:snapToGrid w:val="0"/>
              <w:spacing w:line="360" w:lineRule="auto"/>
              <w:ind w:firstLine="482" w:firstLineChars="200"/>
              <w:textAlignment w:val="baseline"/>
              <w:rPr>
                <w:rStyle w:val="64"/>
                <w:b/>
                <w:bCs/>
                <w:color w:val="000000" w:themeColor="text1"/>
                <w:sz w:val="24"/>
                <w14:textFill>
                  <w14:solidFill>
                    <w14:schemeClr w14:val="tx1"/>
                  </w14:solidFill>
                </w14:textFill>
              </w:rPr>
            </w:pPr>
            <w:r>
              <w:rPr>
                <w:rStyle w:val="64"/>
                <w:b/>
                <w:bCs/>
                <w:color w:val="000000" w:themeColor="text1"/>
                <w:sz w:val="24"/>
                <w14:textFill>
                  <w14:solidFill>
                    <w14:schemeClr w14:val="tx1"/>
                  </w14:solidFill>
                </w14:textFill>
              </w:rPr>
              <w:t>运行期</w:t>
            </w:r>
          </w:p>
          <w:p w14:paraId="40893F02">
            <w:pPr>
              <w:pStyle w:val="21"/>
              <w:numPr>
                <w:ilvl w:val="0"/>
                <w:numId w:val="8"/>
              </w:numPr>
              <w:spacing w:after="0" w:line="360" w:lineRule="auto"/>
              <w:ind w:left="0" w:leftChars="0" w:firstLine="42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生物质蒸汽发生器运行工艺如下:</w:t>
            </w:r>
          </w:p>
          <w:p w14:paraId="4FE167B9">
            <w:pPr>
              <w:pStyle w:val="21"/>
              <w:spacing w:after="0" w:line="360" w:lineRule="auto"/>
              <w:ind w:left="0" w:leftChars="0" w:firstLine="420"/>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燃料进厂：本项目生物质蒸汽发生器使用燃料为生物质成型颗粒，粒径均匀，粉屑含量低，外购袋装进厂，进厂后卸入锅炉房内储存。</w:t>
            </w:r>
            <w:r>
              <w:rPr>
                <w:color w:val="000000" w:themeColor="text1"/>
                <w:sz w:val="24"/>
                <w14:textFill>
                  <w14:solidFill>
                    <w14:schemeClr w14:val="tx1"/>
                  </w14:solidFill>
                </w14:textFill>
              </w:rPr>
              <w:t>吨袋底部设有抽绳式出料口，</w:t>
            </w:r>
            <w:r>
              <w:rPr>
                <w:rStyle w:val="64"/>
                <w:color w:val="000000" w:themeColor="text1"/>
                <w:sz w:val="24"/>
                <w14:textFill>
                  <w14:solidFill>
                    <w14:schemeClr w14:val="tx1"/>
                  </w14:solidFill>
                </w14:textFill>
              </w:rPr>
              <w:t>燃料投放时将成袋包装的生物质成型燃料转运至投料斗，拉动吨袋底部抽绳，燃料直接落入料斗，之后进入炉膛内燃烧使用。</w:t>
            </w:r>
          </w:p>
          <w:p w14:paraId="6415900D">
            <w:pPr>
              <w:pStyle w:val="21"/>
              <w:spacing w:after="0" w:line="360" w:lineRule="auto"/>
              <w:ind w:left="0" w:leftChars="0" w:firstLine="420"/>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蒸汽发生器运行：将新鲜水引入软化水处理系统，处理后的软化水通过泵打入生物质蒸汽发生器，料仓进料（生物质颗粒），生物质燃料经点火燃烧，将水转化为蒸汽，用于漂烫池的加热升温(间接加热)，漂烫温度为60~70℃。蒸汽发生器配套低氮燃烧技术，生物质燃料燃烧产生的废气经旋风除尘+布袋除尘器处理后通过DA001（30m）排气筒排放。</w:t>
            </w:r>
          </w:p>
          <w:p w14:paraId="552FAC22">
            <w:pPr>
              <w:spacing w:line="360" w:lineRule="auto"/>
              <w:ind w:firstLine="480" w:firstLineChars="200"/>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软水制备：钠离子交换软化处理的原理是通过顺流再生工艺将原水通过钠型阳离子交换树脂，使水中的硬度成分钙、镁离子与树脂中的钠离子相交换，从而吸附水中的钙、镁离子，使水得到软化，软水制备过程会产生软水制备废水。</w:t>
            </w:r>
          </w:p>
          <w:p w14:paraId="2F753A33">
            <w:pPr>
              <w:spacing w:line="360" w:lineRule="auto"/>
              <w:ind w:firstLine="480" w:firstLineChars="200"/>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蒸汽发生器配套低氮燃烧技术，产生的废气经旋风除尘+布袋除尘器处理后通过DA001（30m）排气筒排放。</w:t>
            </w:r>
          </w:p>
          <w:p w14:paraId="00662305">
            <w:pPr>
              <w:spacing w:line="360" w:lineRule="auto"/>
              <w:ind w:firstLine="480" w:firstLineChars="200"/>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生物质蒸汽发生器运行过程中产生的污染物主要为水泵、风机运行噪声N，软水制备废水W</w:t>
            </w:r>
            <w:r>
              <w:rPr>
                <w:rStyle w:val="64"/>
                <w:color w:val="000000" w:themeColor="text1"/>
                <w:sz w:val="24"/>
                <w:vertAlign w:val="subscript"/>
                <w14:textFill>
                  <w14:solidFill>
                    <w14:schemeClr w14:val="tx1"/>
                  </w14:solidFill>
                </w14:textFill>
              </w:rPr>
              <w:t>1</w:t>
            </w:r>
            <w:r>
              <w:rPr>
                <w:rStyle w:val="64"/>
                <w:color w:val="000000" w:themeColor="text1"/>
                <w:sz w:val="24"/>
                <w14:textFill>
                  <w14:solidFill>
                    <w14:schemeClr w14:val="tx1"/>
                  </w14:solidFill>
                </w14:textFill>
              </w:rPr>
              <w:t>、蒸汽发生器排污水W</w:t>
            </w:r>
            <w:r>
              <w:rPr>
                <w:rStyle w:val="64"/>
                <w:color w:val="000000" w:themeColor="text1"/>
                <w:sz w:val="24"/>
                <w:vertAlign w:val="subscript"/>
                <w14:textFill>
                  <w14:solidFill>
                    <w14:schemeClr w14:val="tx1"/>
                  </w14:solidFill>
                </w14:textFill>
              </w:rPr>
              <w:t>2</w:t>
            </w:r>
            <w:r>
              <w:rPr>
                <w:rStyle w:val="64"/>
                <w:color w:val="000000" w:themeColor="text1"/>
                <w:sz w:val="24"/>
                <w14:textFill>
                  <w14:solidFill>
                    <w14:schemeClr w14:val="tx1"/>
                  </w14:solidFill>
                </w14:textFill>
              </w:rPr>
              <w:t>、生物质颗粒燃烧产生的废气G</w:t>
            </w:r>
            <w:r>
              <w:rPr>
                <w:rStyle w:val="64"/>
                <w:color w:val="000000" w:themeColor="text1"/>
                <w:sz w:val="24"/>
                <w:vertAlign w:val="subscript"/>
                <w14:textFill>
                  <w14:solidFill>
                    <w14:schemeClr w14:val="tx1"/>
                  </w14:solidFill>
                </w14:textFill>
              </w:rPr>
              <w:t>1</w:t>
            </w:r>
            <w:r>
              <w:rPr>
                <w:rStyle w:val="64"/>
                <w:color w:val="000000" w:themeColor="text1"/>
                <w:sz w:val="24"/>
                <w14:textFill>
                  <w14:solidFill>
                    <w14:schemeClr w14:val="tx1"/>
                  </w14:solidFill>
                </w14:textFill>
              </w:rPr>
              <w:t>、清灰粉尘G</w:t>
            </w:r>
            <w:r>
              <w:rPr>
                <w:rStyle w:val="64"/>
                <w:color w:val="000000" w:themeColor="text1"/>
                <w:sz w:val="24"/>
                <w:vertAlign w:val="subscript"/>
                <w14:textFill>
                  <w14:solidFill>
                    <w14:schemeClr w14:val="tx1"/>
                  </w14:solidFill>
                </w14:textFill>
              </w:rPr>
              <w:t>2</w:t>
            </w:r>
            <w:r>
              <w:rPr>
                <w:rStyle w:val="64"/>
                <w:color w:val="000000" w:themeColor="text1"/>
                <w:sz w:val="24"/>
                <w14:textFill>
                  <w14:solidFill>
                    <w14:schemeClr w14:val="tx1"/>
                  </w14:solidFill>
                </w14:textFill>
              </w:rPr>
              <w:t>、软水制备系统定期产生的废离子交换树脂S</w:t>
            </w:r>
            <w:r>
              <w:rPr>
                <w:rStyle w:val="64"/>
                <w:color w:val="000000" w:themeColor="text1"/>
                <w:sz w:val="24"/>
                <w:vertAlign w:val="subscript"/>
                <w14:textFill>
                  <w14:solidFill>
                    <w14:schemeClr w14:val="tx1"/>
                  </w14:solidFill>
                </w14:textFill>
              </w:rPr>
              <w:t>1</w:t>
            </w:r>
            <w:r>
              <w:rPr>
                <w:rStyle w:val="64"/>
                <w:color w:val="000000" w:themeColor="text1"/>
                <w:sz w:val="24"/>
                <w14:textFill>
                  <w14:solidFill>
                    <w14:schemeClr w14:val="tx1"/>
                  </w14:solidFill>
                </w14:textFill>
              </w:rPr>
              <w:t>、燃烧后产生的炉渣S</w:t>
            </w:r>
            <w:r>
              <w:rPr>
                <w:rStyle w:val="64"/>
                <w:color w:val="000000" w:themeColor="text1"/>
                <w:sz w:val="24"/>
                <w:vertAlign w:val="subscript"/>
                <w14:textFill>
                  <w14:solidFill>
                    <w14:schemeClr w14:val="tx1"/>
                  </w14:solidFill>
                </w14:textFill>
              </w:rPr>
              <w:t>2</w:t>
            </w:r>
            <w:r>
              <w:rPr>
                <w:rStyle w:val="64"/>
                <w:color w:val="000000" w:themeColor="text1"/>
                <w:sz w:val="24"/>
                <w14:textFill>
                  <w14:solidFill>
                    <w14:schemeClr w14:val="tx1"/>
                  </w14:solidFill>
                </w14:textFill>
              </w:rPr>
              <w:t>、旋风除尘器和布袋除尘器收集的粉尘S</w:t>
            </w:r>
            <w:r>
              <w:rPr>
                <w:rStyle w:val="64"/>
                <w:color w:val="000000" w:themeColor="text1"/>
                <w:sz w:val="24"/>
                <w:vertAlign w:val="subscript"/>
                <w14:textFill>
                  <w14:solidFill>
                    <w14:schemeClr w14:val="tx1"/>
                  </w14:solidFill>
                </w14:textFill>
              </w:rPr>
              <w:t>3</w:t>
            </w:r>
            <w:r>
              <w:rPr>
                <w:rStyle w:val="64"/>
                <w:color w:val="000000" w:themeColor="text1"/>
                <w:sz w:val="24"/>
                <w14:textFill>
                  <w14:solidFill>
                    <w14:schemeClr w14:val="tx1"/>
                  </w14:solidFill>
                </w14:textFill>
              </w:rPr>
              <w:t>、废布袋S</w:t>
            </w:r>
            <w:r>
              <w:rPr>
                <w:rStyle w:val="64"/>
                <w:color w:val="000000" w:themeColor="text1"/>
                <w:sz w:val="24"/>
                <w:vertAlign w:val="subscript"/>
                <w14:textFill>
                  <w14:solidFill>
                    <w14:schemeClr w14:val="tx1"/>
                  </w14:solidFill>
                </w14:textFill>
              </w:rPr>
              <w:t>4</w:t>
            </w:r>
            <w:r>
              <w:rPr>
                <w:rStyle w:val="64"/>
                <w:color w:val="000000" w:themeColor="text1"/>
                <w:sz w:val="24"/>
                <w14:textFill>
                  <w14:solidFill>
                    <w14:schemeClr w14:val="tx1"/>
                  </w14:solidFill>
                </w14:textFill>
              </w:rPr>
              <w:t>等。</w:t>
            </w:r>
          </w:p>
          <w:p w14:paraId="5DEEBF6B">
            <w:pPr>
              <w:pStyle w:val="23"/>
              <w:spacing w:line="360" w:lineRule="auto"/>
              <w:ind w:firstLine="480" w:firstLineChars="200"/>
              <w:rPr>
                <w:rStyle w:val="64"/>
                <w:color w:val="000000" w:themeColor="text1"/>
                <w:kern w:val="2"/>
                <w:sz w:val="24"/>
                <w:szCs w:val="24"/>
                <w14:textFill>
                  <w14:solidFill>
                    <w14:schemeClr w14:val="tx1"/>
                  </w14:solidFill>
                </w14:textFill>
              </w:rPr>
            </w:pPr>
            <w:r>
              <w:rPr>
                <w:rStyle w:val="64"/>
                <w:color w:val="000000" w:themeColor="text1"/>
                <w:kern w:val="2"/>
                <w:sz w:val="24"/>
                <w:szCs w:val="24"/>
                <w14:textFill>
                  <w14:solidFill>
                    <w14:schemeClr w14:val="tx1"/>
                  </w14:solidFill>
                </w14:textFill>
              </w:rPr>
              <w:t>工艺流程图如下：</w:t>
            </w:r>
          </w:p>
          <w:p w14:paraId="77E20F05">
            <w:pPr>
              <w:spacing w:line="360" w:lineRule="auto"/>
              <w:ind w:left="420" w:left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2、其他工程排污节点：</w:t>
            </w:r>
          </w:p>
          <w:p w14:paraId="26ED9D42">
            <w:pPr>
              <w:autoSpaceDE w:val="0"/>
              <w:autoSpaceDN w:val="0"/>
              <w:spacing w:line="360" w:lineRule="auto"/>
              <w:ind w:firstLine="46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本项目其他工程产排污情况如下：</w:t>
            </w:r>
          </w:p>
          <w:p w14:paraId="49D0C2CB">
            <w:pPr>
              <w:autoSpaceDE w:val="0"/>
              <w:autoSpaceDN w:val="0"/>
              <w:spacing w:line="360" w:lineRule="auto"/>
              <w:ind w:firstLine="460"/>
              <w:rPr>
                <w:color w:val="000000" w:themeColor="text1"/>
                <w:sz w:val="24"/>
                <w14:textFill>
                  <w14:solidFill>
                    <w14:schemeClr w14:val="tx1"/>
                  </w14:solidFill>
                </w14:textFill>
              </w:rPr>
            </w:pPr>
            <w:r>
              <w:rPr>
                <w:color w:val="000000" w:themeColor="text1"/>
                <w:sz w:val="24"/>
                <w14:textFill>
                  <w14:solidFill>
                    <w14:schemeClr w14:val="tx1"/>
                  </w14:solidFill>
                </w14:textFill>
              </w:rPr>
              <w:t>①设备维修保养产生的废机油S</w:t>
            </w:r>
            <w:r>
              <w:rPr>
                <w:color w:val="000000" w:themeColor="text1"/>
                <w:sz w:val="24"/>
                <w:vertAlign w:val="subscript"/>
                <w14:textFill>
                  <w14:solidFill>
                    <w14:schemeClr w14:val="tx1"/>
                  </w14:solidFill>
                </w14:textFill>
              </w:rPr>
              <w:t>5</w:t>
            </w:r>
            <w:r>
              <w:rPr>
                <w:color w:val="000000" w:themeColor="text1"/>
                <w:sz w:val="24"/>
                <w14:textFill>
                  <w14:solidFill>
                    <w14:schemeClr w14:val="tx1"/>
                  </w14:solidFill>
                </w14:textFill>
              </w:rPr>
              <w:t>；</w:t>
            </w:r>
          </w:p>
          <w:p w14:paraId="6B352228">
            <w:pPr>
              <w:autoSpaceDE w:val="0"/>
              <w:autoSpaceDN w:val="0"/>
              <w:spacing w:line="360" w:lineRule="auto"/>
              <w:ind w:firstLine="460"/>
              <w:rPr>
                <w:color w:val="000000" w:themeColor="text1"/>
                <w:sz w:val="24"/>
                <w14:textFill>
                  <w14:solidFill>
                    <w14:schemeClr w14:val="tx1"/>
                  </w14:solidFill>
                </w14:textFill>
              </w:rPr>
            </w:pPr>
            <w:r>
              <w:rPr>
                <w:color w:val="000000" w:themeColor="text1"/>
                <w:sz w:val="24"/>
                <w14:textFill>
                  <w14:solidFill>
                    <w14:schemeClr w14:val="tx1"/>
                  </w14:solidFill>
                </w14:textFill>
              </w:rPr>
              <w:t>②设备维修保养产生的废油桶S</w:t>
            </w:r>
            <w:r>
              <w:rPr>
                <w:color w:val="000000" w:themeColor="text1"/>
                <w:sz w:val="24"/>
                <w:vertAlign w:val="subscript"/>
                <w14:textFill>
                  <w14:solidFill>
                    <w14:schemeClr w14:val="tx1"/>
                  </w14:solidFill>
                </w14:textFill>
              </w:rPr>
              <w:t>6</w:t>
            </w:r>
            <w:r>
              <w:rPr>
                <w:color w:val="000000" w:themeColor="text1"/>
                <w:sz w:val="24"/>
                <w14:textFill>
                  <w14:solidFill>
                    <w14:schemeClr w14:val="tx1"/>
                  </w14:solidFill>
                </w14:textFill>
              </w:rPr>
              <w:t>。</w:t>
            </w:r>
          </w:p>
          <w:p w14:paraId="59D09EA1">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object>
                <v:shape id="_x0000_i1027" o:spt="75" type="#_x0000_t75" style="height:267.75pt;width:431.9pt;" o:ole="t" filled="f" o:preferrelative="t" stroked="f" coordsize="21600,21600">
                  <v:path/>
                  <v:fill on="f" focussize="0,0"/>
                  <v:stroke on="f" joinstyle="miter"/>
                  <v:imagedata r:id="rId19" o:title=""/>
                  <o:lock v:ext="edit" aspectratio="f"/>
                  <w10:wrap type="none"/>
                  <w10:anchorlock/>
                </v:shape>
                <o:OLEObject Type="Embed" ProgID="Visio.Drawing.11" ShapeID="_x0000_i1027" DrawAspect="Content" ObjectID="_1468075727" r:id="rId18">
                  <o:LockedField>false</o:LockedField>
                </o:OLEObject>
              </w:object>
            </w:r>
            <w:r>
              <w:rPr>
                <w:b/>
                <w:bCs/>
                <w:color w:val="000000" w:themeColor="text1"/>
                <w:szCs w:val="21"/>
                <w14:textFill>
                  <w14:solidFill>
                    <w14:schemeClr w14:val="tx1"/>
                  </w14:solidFill>
                </w14:textFill>
              </w:rPr>
              <w:t>图2-3 蒸汽发生器工艺流程及产排污节点图</w:t>
            </w:r>
          </w:p>
          <w:p w14:paraId="7C334644">
            <w:pPr>
              <w:pStyle w:val="21"/>
              <w:spacing w:before="120" w:beforeLines="50" w:after="0" w:line="360" w:lineRule="auto"/>
              <w:ind w:left="0" w:leftChars="0" w:firstLine="480" w:firstLineChars="200"/>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综上所述，本</w:t>
            </w:r>
            <w:r>
              <w:rPr>
                <w:color w:val="000000" w:themeColor="text1"/>
                <w:sz w:val="24"/>
                <w14:textFill>
                  <w14:solidFill>
                    <w14:schemeClr w14:val="tx1"/>
                  </w14:solidFill>
                </w14:textFill>
              </w:rPr>
              <w:t>项目主要产污工序及污染物见下表</w:t>
            </w:r>
            <w:r>
              <w:rPr>
                <w:rStyle w:val="64"/>
                <w:color w:val="000000" w:themeColor="text1"/>
                <w:sz w:val="24"/>
                <w14:textFill>
                  <w14:solidFill>
                    <w14:schemeClr w14:val="tx1"/>
                  </w14:solidFill>
                </w14:textFill>
              </w:rPr>
              <w:t>：</w:t>
            </w:r>
          </w:p>
          <w:p w14:paraId="027BF62C">
            <w:pPr>
              <w:snapToGrid w:val="0"/>
              <w:ind w:firstLine="198"/>
              <w:jc w:val="center"/>
              <w:textAlignment w:val="baseline"/>
              <w:rPr>
                <w:rStyle w:val="64"/>
                <w:b/>
                <w:bCs/>
                <w:color w:val="000000" w:themeColor="text1"/>
                <w:szCs w:val="21"/>
                <w14:textFill>
                  <w14:solidFill>
                    <w14:schemeClr w14:val="tx1"/>
                  </w14:solidFill>
                </w14:textFill>
              </w:rPr>
            </w:pPr>
            <w:r>
              <w:rPr>
                <w:rStyle w:val="64"/>
                <w:b/>
                <w:bCs/>
                <w:color w:val="000000" w:themeColor="text1"/>
                <w:szCs w:val="21"/>
                <w14:textFill>
                  <w14:solidFill>
                    <w14:schemeClr w14:val="tx1"/>
                  </w14:solidFill>
                </w14:textFill>
              </w:rPr>
              <w:t>表2-7   主要污染工序及污染因子一览表</w:t>
            </w:r>
          </w:p>
          <w:tbl>
            <w:tblPr>
              <w:tblStyle w:val="3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791"/>
              <w:gridCol w:w="1573"/>
              <w:gridCol w:w="1156"/>
              <w:gridCol w:w="1814"/>
              <w:gridCol w:w="2595"/>
            </w:tblGrid>
            <w:tr w14:paraId="128EC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Align w:val="center"/>
                </w:tcPr>
                <w:p w14:paraId="48B3964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类别</w:t>
                  </w:r>
                </w:p>
              </w:tc>
              <w:tc>
                <w:tcPr>
                  <w:tcW w:w="1372" w:type="pct"/>
                  <w:gridSpan w:val="2"/>
                  <w:vAlign w:val="center"/>
                </w:tcPr>
                <w:p w14:paraId="4B119B1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污染源名称</w:t>
                  </w:r>
                </w:p>
              </w:tc>
              <w:tc>
                <w:tcPr>
                  <w:tcW w:w="671" w:type="pct"/>
                  <w:vAlign w:val="center"/>
                </w:tcPr>
                <w:p w14:paraId="48D4392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产生工序</w:t>
                  </w:r>
                </w:p>
              </w:tc>
              <w:tc>
                <w:tcPr>
                  <w:tcW w:w="1053" w:type="pct"/>
                  <w:vAlign w:val="center"/>
                </w:tcPr>
                <w:p w14:paraId="73FA372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主要污染因子</w:t>
                  </w:r>
                </w:p>
              </w:tc>
              <w:tc>
                <w:tcPr>
                  <w:tcW w:w="1506" w:type="pct"/>
                  <w:vAlign w:val="center"/>
                </w:tcPr>
                <w:p w14:paraId="6655431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处理措施及去向</w:t>
                  </w:r>
                </w:p>
              </w:tc>
            </w:tr>
            <w:tr w14:paraId="5227D4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restart"/>
                  <w:vAlign w:val="center"/>
                </w:tcPr>
                <w:p w14:paraId="01CDE19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459" w:type="pct"/>
                  <w:vAlign w:val="center"/>
                </w:tcPr>
                <w:p w14:paraId="1AC5A3B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G1</w:t>
                  </w:r>
                </w:p>
              </w:tc>
              <w:tc>
                <w:tcPr>
                  <w:tcW w:w="913" w:type="pct"/>
                  <w:vAlign w:val="center"/>
                </w:tcPr>
                <w:p w14:paraId="145121C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燃烧废气</w:t>
                  </w:r>
                </w:p>
              </w:tc>
              <w:tc>
                <w:tcPr>
                  <w:tcW w:w="671" w:type="pct"/>
                  <w:vAlign w:val="center"/>
                </w:tcPr>
                <w:p w14:paraId="53CA7B7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蒸汽发生器运行</w:t>
                  </w:r>
                </w:p>
              </w:tc>
              <w:tc>
                <w:tcPr>
                  <w:tcW w:w="1053" w:type="pct"/>
                  <w:vAlign w:val="center"/>
                </w:tcPr>
                <w:p w14:paraId="19892BC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颗粒物、SO</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、NOx</w:t>
                  </w:r>
                  <w:r>
                    <w:rPr>
                      <w:rFonts w:hint="eastAsia"/>
                      <w:color w:val="000000" w:themeColor="text1"/>
                      <w:szCs w:val="21"/>
                      <w14:textFill>
                        <w14:solidFill>
                          <w14:schemeClr w14:val="tx1"/>
                        </w14:solidFill>
                      </w14:textFill>
                    </w:rPr>
                    <w:t>、烟气黑度</w:t>
                  </w:r>
                </w:p>
              </w:tc>
              <w:tc>
                <w:tcPr>
                  <w:tcW w:w="1506" w:type="pct"/>
                  <w:vAlign w:val="center"/>
                </w:tcPr>
                <w:p w14:paraId="083B89C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配套低氮燃烧技术，废气经旋风除尘+布袋除尘+DA001(30m)排气筒排放</w:t>
                  </w:r>
                </w:p>
              </w:tc>
            </w:tr>
            <w:tr w14:paraId="08A55A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continue"/>
                  <w:vAlign w:val="center"/>
                </w:tcPr>
                <w:p w14:paraId="6C92FBCD">
                  <w:pPr>
                    <w:adjustRightInd w:val="0"/>
                    <w:snapToGrid w:val="0"/>
                    <w:jc w:val="center"/>
                    <w:rPr>
                      <w:color w:val="000000" w:themeColor="text1"/>
                      <w:szCs w:val="21"/>
                      <w14:textFill>
                        <w14:solidFill>
                          <w14:schemeClr w14:val="tx1"/>
                        </w14:solidFill>
                      </w14:textFill>
                    </w:rPr>
                  </w:pPr>
                </w:p>
              </w:tc>
              <w:tc>
                <w:tcPr>
                  <w:tcW w:w="459" w:type="pct"/>
                  <w:vAlign w:val="center"/>
                </w:tcPr>
                <w:p w14:paraId="3150EA0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G2</w:t>
                  </w:r>
                </w:p>
              </w:tc>
              <w:tc>
                <w:tcPr>
                  <w:tcW w:w="913" w:type="pct"/>
                  <w:vAlign w:val="center"/>
                </w:tcPr>
                <w:p w14:paraId="6F6EA8C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清灰粉尘</w:t>
                  </w:r>
                </w:p>
              </w:tc>
              <w:tc>
                <w:tcPr>
                  <w:tcW w:w="671" w:type="pct"/>
                  <w:vAlign w:val="center"/>
                </w:tcPr>
                <w:p w14:paraId="48706C4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清灰</w:t>
                  </w:r>
                </w:p>
              </w:tc>
              <w:tc>
                <w:tcPr>
                  <w:tcW w:w="1053" w:type="pct"/>
                  <w:vAlign w:val="center"/>
                </w:tcPr>
                <w:p w14:paraId="10C9EB6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1506" w:type="pct"/>
                  <w:vAlign w:val="center"/>
                </w:tcPr>
                <w:p w14:paraId="71DD605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湿式作业</w:t>
                  </w:r>
                </w:p>
              </w:tc>
            </w:tr>
            <w:tr w14:paraId="5B541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restart"/>
                  <w:shd w:val="clear" w:color="auto" w:fill="auto"/>
                  <w:vAlign w:val="center"/>
                </w:tcPr>
                <w:p w14:paraId="1FDFF2F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459" w:type="pct"/>
                  <w:shd w:val="clear" w:color="auto" w:fill="auto"/>
                  <w:vAlign w:val="center"/>
                </w:tcPr>
                <w:p w14:paraId="23764F3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W1</w:t>
                  </w:r>
                </w:p>
              </w:tc>
              <w:tc>
                <w:tcPr>
                  <w:tcW w:w="913" w:type="pct"/>
                  <w:shd w:val="clear" w:color="auto" w:fill="auto"/>
                  <w:vAlign w:val="center"/>
                </w:tcPr>
                <w:p w14:paraId="43406BD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软水制备废水</w:t>
                  </w:r>
                </w:p>
              </w:tc>
              <w:tc>
                <w:tcPr>
                  <w:tcW w:w="671" w:type="pct"/>
                  <w:vMerge w:val="restart"/>
                  <w:vAlign w:val="center"/>
                </w:tcPr>
                <w:p w14:paraId="0DC181F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蒸汽发生器运行</w:t>
                  </w:r>
                </w:p>
              </w:tc>
              <w:tc>
                <w:tcPr>
                  <w:tcW w:w="1053" w:type="pct"/>
                  <w:vMerge w:val="restart"/>
                  <w:vAlign w:val="center"/>
                </w:tcPr>
                <w:p w14:paraId="5D72B3B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pH、COD、SS、BOD</w:t>
                  </w:r>
                  <w:r>
                    <w:rPr>
                      <w:color w:val="000000" w:themeColor="text1"/>
                      <w:szCs w:val="21"/>
                      <w:vertAlign w:val="subscript"/>
                      <w14:textFill>
                        <w14:solidFill>
                          <w14:schemeClr w14:val="tx1"/>
                        </w14:solidFill>
                      </w14:textFill>
                    </w:rPr>
                    <w:t>5</w:t>
                  </w:r>
                  <w:r>
                    <w:rPr>
                      <w:color w:val="000000" w:themeColor="text1"/>
                      <w:szCs w:val="21"/>
                      <w14:textFill>
                        <w14:solidFill>
                          <w14:schemeClr w14:val="tx1"/>
                        </w14:solidFill>
                      </w14:textFill>
                    </w:rPr>
                    <w:t>、NH</w:t>
                  </w:r>
                  <w:r>
                    <w:rPr>
                      <w:color w:val="000000" w:themeColor="text1"/>
                      <w:szCs w:val="21"/>
                      <w:vertAlign w:val="subscript"/>
                      <w14:textFill>
                        <w14:solidFill>
                          <w14:schemeClr w14:val="tx1"/>
                        </w14:solidFill>
                      </w14:textFill>
                    </w:rPr>
                    <w:t>3</w:t>
                  </w:r>
                  <w:r>
                    <w:rPr>
                      <w:color w:val="000000" w:themeColor="text1"/>
                      <w:szCs w:val="21"/>
                      <w14:textFill>
                        <w14:solidFill>
                          <w14:schemeClr w14:val="tx1"/>
                        </w14:solidFill>
                      </w14:textFill>
                    </w:rPr>
                    <w:t>-N、TP、TN、溶解性总固体</w:t>
                  </w:r>
                </w:p>
              </w:tc>
              <w:tc>
                <w:tcPr>
                  <w:tcW w:w="1506" w:type="pct"/>
                  <w:vAlign w:val="center"/>
                </w:tcPr>
                <w:p w14:paraId="7163586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用于炉渣清理时洒水降尘，不外排</w:t>
                  </w:r>
                </w:p>
              </w:tc>
            </w:tr>
            <w:tr w14:paraId="53EC6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continue"/>
                  <w:vAlign w:val="center"/>
                </w:tcPr>
                <w:p w14:paraId="47B460E3">
                  <w:pPr>
                    <w:adjustRightInd w:val="0"/>
                    <w:snapToGrid w:val="0"/>
                    <w:jc w:val="center"/>
                    <w:rPr>
                      <w:color w:val="000000" w:themeColor="text1"/>
                      <w:szCs w:val="21"/>
                      <w14:textFill>
                        <w14:solidFill>
                          <w14:schemeClr w14:val="tx1"/>
                        </w14:solidFill>
                      </w14:textFill>
                    </w:rPr>
                  </w:pPr>
                </w:p>
              </w:tc>
              <w:tc>
                <w:tcPr>
                  <w:tcW w:w="459" w:type="pct"/>
                  <w:shd w:val="clear" w:color="auto" w:fill="auto"/>
                  <w:vAlign w:val="center"/>
                </w:tcPr>
                <w:p w14:paraId="331F85E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W2</w:t>
                  </w:r>
                </w:p>
              </w:tc>
              <w:tc>
                <w:tcPr>
                  <w:tcW w:w="913" w:type="pct"/>
                  <w:shd w:val="clear" w:color="auto" w:fill="auto"/>
                  <w:vAlign w:val="center"/>
                </w:tcPr>
                <w:p w14:paraId="4457807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蒸汽发生器排污水</w:t>
                  </w:r>
                </w:p>
              </w:tc>
              <w:tc>
                <w:tcPr>
                  <w:tcW w:w="671" w:type="pct"/>
                  <w:vMerge w:val="continue"/>
                  <w:vAlign w:val="center"/>
                </w:tcPr>
                <w:p w14:paraId="0A4A5FB7">
                  <w:pPr>
                    <w:adjustRightInd w:val="0"/>
                    <w:snapToGrid w:val="0"/>
                    <w:jc w:val="center"/>
                    <w:rPr>
                      <w:color w:val="000000" w:themeColor="text1"/>
                      <w:szCs w:val="21"/>
                      <w14:textFill>
                        <w14:solidFill>
                          <w14:schemeClr w14:val="tx1"/>
                        </w14:solidFill>
                      </w14:textFill>
                    </w:rPr>
                  </w:pPr>
                </w:p>
              </w:tc>
              <w:tc>
                <w:tcPr>
                  <w:tcW w:w="1053" w:type="pct"/>
                  <w:vMerge w:val="continue"/>
                  <w:vAlign w:val="center"/>
                </w:tcPr>
                <w:p w14:paraId="2AF6575E">
                  <w:pPr>
                    <w:adjustRightInd w:val="0"/>
                    <w:snapToGrid w:val="0"/>
                    <w:jc w:val="center"/>
                    <w:rPr>
                      <w:color w:val="000000" w:themeColor="text1"/>
                      <w:szCs w:val="21"/>
                      <w14:textFill>
                        <w14:solidFill>
                          <w14:schemeClr w14:val="tx1"/>
                        </w14:solidFill>
                      </w14:textFill>
                    </w:rPr>
                  </w:pPr>
                </w:p>
              </w:tc>
              <w:tc>
                <w:tcPr>
                  <w:tcW w:w="1506" w:type="pct"/>
                  <w:vAlign w:val="center"/>
                </w:tcPr>
                <w:p w14:paraId="276A5BF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经化粪池处理后排入峡河乡污水处理设施</w:t>
                  </w:r>
                </w:p>
              </w:tc>
            </w:tr>
            <w:tr w14:paraId="6A75D8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Align w:val="center"/>
                </w:tcPr>
                <w:p w14:paraId="749BDAC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459" w:type="pct"/>
                  <w:vAlign w:val="center"/>
                </w:tcPr>
                <w:p w14:paraId="3D4B87B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w:t>
                  </w:r>
                </w:p>
              </w:tc>
              <w:tc>
                <w:tcPr>
                  <w:tcW w:w="913" w:type="pct"/>
                  <w:vAlign w:val="center"/>
                </w:tcPr>
                <w:p w14:paraId="55730A6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671" w:type="pct"/>
                  <w:vAlign w:val="center"/>
                </w:tcPr>
                <w:p w14:paraId="1CE0424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设备运行过程</w:t>
                  </w:r>
                </w:p>
              </w:tc>
              <w:tc>
                <w:tcPr>
                  <w:tcW w:w="1053" w:type="pct"/>
                  <w:vAlign w:val="center"/>
                </w:tcPr>
                <w:p w14:paraId="0382CE2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设备噪声</w:t>
                  </w:r>
                </w:p>
              </w:tc>
              <w:tc>
                <w:tcPr>
                  <w:tcW w:w="1506" w:type="pct"/>
                  <w:vAlign w:val="center"/>
                </w:tcPr>
                <w:p w14:paraId="273D648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选用低噪声设备，合理布局，基础减振，建筑隔声等</w:t>
                  </w:r>
                </w:p>
              </w:tc>
            </w:tr>
            <w:tr w14:paraId="1E16EF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restart"/>
                  <w:vAlign w:val="center"/>
                </w:tcPr>
                <w:p w14:paraId="6CB4CFF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固废</w:t>
                  </w:r>
                </w:p>
              </w:tc>
              <w:tc>
                <w:tcPr>
                  <w:tcW w:w="459" w:type="pct"/>
                  <w:shd w:val="clear" w:color="auto" w:fill="auto"/>
                  <w:vAlign w:val="center"/>
                </w:tcPr>
                <w:p w14:paraId="6DB8CD9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S1</w:t>
                  </w:r>
                </w:p>
              </w:tc>
              <w:tc>
                <w:tcPr>
                  <w:tcW w:w="913" w:type="pct"/>
                  <w:shd w:val="clear" w:color="auto" w:fill="auto"/>
                  <w:vAlign w:val="center"/>
                </w:tcPr>
                <w:p w14:paraId="673A864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废离子交换树脂</w:t>
                  </w:r>
                </w:p>
              </w:tc>
              <w:tc>
                <w:tcPr>
                  <w:tcW w:w="671" w:type="pct"/>
                  <w:shd w:val="clear" w:color="auto" w:fill="auto"/>
                  <w:vAlign w:val="center"/>
                </w:tcPr>
                <w:p w14:paraId="5498D2F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软水制备系统</w:t>
                  </w:r>
                </w:p>
              </w:tc>
              <w:tc>
                <w:tcPr>
                  <w:tcW w:w="1053" w:type="pct"/>
                  <w:shd w:val="clear" w:color="auto" w:fill="auto"/>
                  <w:vAlign w:val="center"/>
                </w:tcPr>
                <w:p w14:paraId="68D90B4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废离子交换树脂</w:t>
                  </w:r>
                </w:p>
              </w:tc>
              <w:tc>
                <w:tcPr>
                  <w:tcW w:w="1506" w:type="pct"/>
                  <w:vMerge w:val="restart"/>
                  <w:shd w:val="clear" w:color="auto" w:fill="auto"/>
                  <w:vAlign w:val="center"/>
                </w:tcPr>
                <w:p w14:paraId="4E33536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厂家回收处理</w:t>
                  </w:r>
                </w:p>
              </w:tc>
            </w:tr>
            <w:tr w14:paraId="5E3E91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continue"/>
                  <w:vAlign w:val="center"/>
                </w:tcPr>
                <w:p w14:paraId="2B5F1D02">
                  <w:pPr>
                    <w:adjustRightInd w:val="0"/>
                    <w:snapToGrid w:val="0"/>
                    <w:jc w:val="center"/>
                    <w:rPr>
                      <w:color w:val="000000" w:themeColor="text1"/>
                      <w:szCs w:val="21"/>
                      <w14:textFill>
                        <w14:solidFill>
                          <w14:schemeClr w14:val="tx1"/>
                        </w14:solidFill>
                      </w14:textFill>
                    </w:rPr>
                  </w:pPr>
                </w:p>
              </w:tc>
              <w:tc>
                <w:tcPr>
                  <w:tcW w:w="459" w:type="pct"/>
                  <w:shd w:val="clear" w:color="auto" w:fill="auto"/>
                  <w:vAlign w:val="center"/>
                </w:tcPr>
                <w:p w14:paraId="63C7859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S4</w:t>
                  </w:r>
                </w:p>
              </w:tc>
              <w:tc>
                <w:tcPr>
                  <w:tcW w:w="913" w:type="pct"/>
                  <w:shd w:val="clear" w:color="auto" w:fill="auto"/>
                  <w:vAlign w:val="center"/>
                </w:tcPr>
                <w:p w14:paraId="75700FB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废布袋</w:t>
                  </w:r>
                </w:p>
              </w:tc>
              <w:tc>
                <w:tcPr>
                  <w:tcW w:w="671" w:type="pct"/>
                  <w:shd w:val="clear" w:color="auto" w:fill="auto"/>
                  <w:vAlign w:val="center"/>
                </w:tcPr>
                <w:p w14:paraId="4D048F7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布袋更换</w:t>
                  </w:r>
                </w:p>
              </w:tc>
              <w:tc>
                <w:tcPr>
                  <w:tcW w:w="1053" w:type="pct"/>
                  <w:shd w:val="clear" w:color="auto" w:fill="auto"/>
                  <w:vAlign w:val="center"/>
                </w:tcPr>
                <w:p w14:paraId="3DF0022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废布袋</w:t>
                  </w:r>
                </w:p>
              </w:tc>
              <w:tc>
                <w:tcPr>
                  <w:tcW w:w="1506" w:type="pct"/>
                  <w:vMerge w:val="continue"/>
                  <w:shd w:val="clear" w:color="auto" w:fill="auto"/>
                  <w:vAlign w:val="center"/>
                </w:tcPr>
                <w:p w14:paraId="114C5A72">
                  <w:pPr>
                    <w:adjustRightInd w:val="0"/>
                    <w:snapToGrid w:val="0"/>
                    <w:jc w:val="center"/>
                    <w:rPr>
                      <w:color w:val="000000" w:themeColor="text1"/>
                      <w:szCs w:val="21"/>
                      <w14:textFill>
                        <w14:solidFill>
                          <w14:schemeClr w14:val="tx1"/>
                        </w14:solidFill>
                      </w14:textFill>
                    </w:rPr>
                  </w:pPr>
                </w:p>
              </w:tc>
            </w:tr>
            <w:tr w14:paraId="799260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continue"/>
                  <w:vAlign w:val="center"/>
                </w:tcPr>
                <w:p w14:paraId="23E02695">
                  <w:pPr>
                    <w:adjustRightInd w:val="0"/>
                    <w:snapToGrid w:val="0"/>
                    <w:jc w:val="center"/>
                    <w:rPr>
                      <w:color w:val="000000" w:themeColor="text1"/>
                      <w:szCs w:val="21"/>
                      <w14:textFill>
                        <w14:solidFill>
                          <w14:schemeClr w14:val="tx1"/>
                        </w14:solidFill>
                      </w14:textFill>
                    </w:rPr>
                  </w:pPr>
                </w:p>
              </w:tc>
              <w:tc>
                <w:tcPr>
                  <w:tcW w:w="459" w:type="pct"/>
                  <w:vAlign w:val="center"/>
                </w:tcPr>
                <w:p w14:paraId="1FB55A6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S3</w:t>
                  </w:r>
                </w:p>
              </w:tc>
              <w:tc>
                <w:tcPr>
                  <w:tcW w:w="913" w:type="pct"/>
                  <w:vAlign w:val="center"/>
                </w:tcPr>
                <w:p w14:paraId="5FB0228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除尘灰</w:t>
                  </w:r>
                </w:p>
              </w:tc>
              <w:tc>
                <w:tcPr>
                  <w:tcW w:w="671" w:type="pct"/>
                  <w:vAlign w:val="center"/>
                </w:tcPr>
                <w:p w14:paraId="73F3A89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废气治理</w:t>
                  </w:r>
                </w:p>
              </w:tc>
              <w:tc>
                <w:tcPr>
                  <w:tcW w:w="1053" w:type="pct"/>
                  <w:shd w:val="clear" w:color="auto" w:fill="auto"/>
                  <w:vAlign w:val="center"/>
                </w:tcPr>
                <w:p w14:paraId="6C7B6D5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除尘灰</w:t>
                  </w:r>
                </w:p>
              </w:tc>
              <w:tc>
                <w:tcPr>
                  <w:tcW w:w="1506" w:type="pct"/>
                  <w:vMerge w:val="restart"/>
                  <w:shd w:val="clear" w:color="auto" w:fill="auto"/>
                  <w:vAlign w:val="center"/>
                </w:tcPr>
                <w:p w14:paraId="378E24C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外售处理</w:t>
                  </w:r>
                </w:p>
              </w:tc>
            </w:tr>
            <w:tr w14:paraId="2B31F8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continue"/>
                  <w:vAlign w:val="center"/>
                </w:tcPr>
                <w:p w14:paraId="04BF03DB">
                  <w:pPr>
                    <w:adjustRightInd w:val="0"/>
                    <w:snapToGrid w:val="0"/>
                    <w:jc w:val="center"/>
                    <w:rPr>
                      <w:color w:val="000000" w:themeColor="text1"/>
                      <w:szCs w:val="21"/>
                      <w14:textFill>
                        <w14:solidFill>
                          <w14:schemeClr w14:val="tx1"/>
                        </w14:solidFill>
                      </w14:textFill>
                    </w:rPr>
                  </w:pPr>
                </w:p>
              </w:tc>
              <w:tc>
                <w:tcPr>
                  <w:tcW w:w="459" w:type="pct"/>
                  <w:vAlign w:val="center"/>
                </w:tcPr>
                <w:p w14:paraId="23143D3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S2</w:t>
                  </w:r>
                </w:p>
              </w:tc>
              <w:tc>
                <w:tcPr>
                  <w:tcW w:w="913" w:type="pct"/>
                  <w:vAlign w:val="center"/>
                </w:tcPr>
                <w:p w14:paraId="35D7999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炉渣</w:t>
                  </w:r>
                </w:p>
              </w:tc>
              <w:tc>
                <w:tcPr>
                  <w:tcW w:w="671" w:type="pct"/>
                  <w:vAlign w:val="center"/>
                </w:tcPr>
                <w:p w14:paraId="4A18443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蒸汽发生器运行</w:t>
                  </w:r>
                </w:p>
              </w:tc>
              <w:tc>
                <w:tcPr>
                  <w:tcW w:w="1053" w:type="pct"/>
                  <w:shd w:val="clear" w:color="auto" w:fill="auto"/>
                  <w:vAlign w:val="center"/>
                </w:tcPr>
                <w:p w14:paraId="5A608E8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炉渣</w:t>
                  </w:r>
                </w:p>
              </w:tc>
              <w:tc>
                <w:tcPr>
                  <w:tcW w:w="1506" w:type="pct"/>
                  <w:vMerge w:val="continue"/>
                  <w:shd w:val="clear" w:color="auto" w:fill="auto"/>
                  <w:vAlign w:val="center"/>
                </w:tcPr>
                <w:p w14:paraId="6CC7AE5E">
                  <w:pPr>
                    <w:adjustRightInd w:val="0"/>
                    <w:snapToGrid w:val="0"/>
                    <w:jc w:val="center"/>
                    <w:rPr>
                      <w:color w:val="000000" w:themeColor="text1"/>
                      <w:szCs w:val="21"/>
                      <w14:textFill>
                        <w14:solidFill>
                          <w14:schemeClr w14:val="tx1"/>
                        </w14:solidFill>
                      </w14:textFill>
                    </w:rPr>
                  </w:pPr>
                </w:p>
              </w:tc>
            </w:tr>
            <w:tr w14:paraId="68E4A0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continue"/>
                  <w:vAlign w:val="center"/>
                </w:tcPr>
                <w:p w14:paraId="1A521EF4">
                  <w:pPr>
                    <w:adjustRightInd w:val="0"/>
                    <w:snapToGrid w:val="0"/>
                    <w:jc w:val="center"/>
                    <w:rPr>
                      <w:color w:val="000000" w:themeColor="text1"/>
                      <w:szCs w:val="21"/>
                      <w14:textFill>
                        <w14:solidFill>
                          <w14:schemeClr w14:val="tx1"/>
                        </w14:solidFill>
                      </w14:textFill>
                    </w:rPr>
                  </w:pPr>
                </w:p>
              </w:tc>
              <w:tc>
                <w:tcPr>
                  <w:tcW w:w="459" w:type="pct"/>
                  <w:vAlign w:val="center"/>
                </w:tcPr>
                <w:p w14:paraId="02F0D90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S5</w:t>
                  </w:r>
                </w:p>
              </w:tc>
              <w:tc>
                <w:tcPr>
                  <w:tcW w:w="913" w:type="pct"/>
                  <w:vAlign w:val="center"/>
                </w:tcPr>
                <w:p w14:paraId="2B22D75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废机油</w:t>
                  </w:r>
                </w:p>
              </w:tc>
              <w:tc>
                <w:tcPr>
                  <w:tcW w:w="671" w:type="pct"/>
                  <w:vMerge w:val="restart"/>
                  <w:vAlign w:val="center"/>
                </w:tcPr>
                <w:p w14:paraId="102448E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设备维修</w:t>
                  </w:r>
                </w:p>
              </w:tc>
              <w:tc>
                <w:tcPr>
                  <w:tcW w:w="1053" w:type="pct"/>
                  <w:vMerge w:val="restart"/>
                  <w:shd w:val="clear" w:color="auto" w:fill="auto"/>
                  <w:vAlign w:val="center"/>
                </w:tcPr>
                <w:p w14:paraId="6C73640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废机油</w:t>
                  </w:r>
                </w:p>
              </w:tc>
              <w:tc>
                <w:tcPr>
                  <w:tcW w:w="1506" w:type="pct"/>
                  <w:vMerge w:val="restart"/>
                  <w:shd w:val="clear" w:color="auto" w:fill="auto"/>
                  <w:vAlign w:val="center"/>
                </w:tcPr>
                <w:p w14:paraId="4F4F8E5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暂存于危废贮存点，定期委托有资质单位处置</w:t>
                  </w:r>
                </w:p>
              </w:tc>
            </w:tr>
            <w:tr w14:paraId="24585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 w:type="pct"/>
                  <w:vMerge w:val="continue"/>
                  <w:vAlign w:val="center"/>
                </w:tcPr>
                <w:p w14:paraId="1B471775">
                  <w:pPr>
                    <w:adjustRightInd w:val="0"/>
                    <w:snapToGrid w:val="0"/>
                    <w:jc w:val="center"/>
                    <w:rPr>
                      <w:color w:val="000000" w:themeColor="text1"/>
                      <w:szCs w:val="21"/>
                      <w14:textFill>
                        <w14:solidFill>
                          <w14:schemeClr w14:val="tx1"/>
                        </w14:solidFill>
                      </w14:textFill>
                    </w:rPr>
                  </w:pPr>
                </w:p>
              </w:tc>
              <w:tc>
                <w:tcPr>
                  <w:tcW w:w="459" w:type="pct"/>
                  <w:vAlign w:val="center"/>
                </w:tcPr>
                <w:p w14:paraId="0672CBF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S6</w:t>
                  </w:r>
                </w:p>
              </w:tc>
              <w:tc>
                <w:tcPr>
                  <w:tcW w:w="913" w:type="pct"/>
                  <w:vAlign w:val="center"/>
                </w:tcPr>
                <w:p w14:paraId="55EF4E2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废油桶</w:t>
                  </w:r>
                </w:p>
              </w:tc>
              <w:tc>
                <w:tcPr>
                  <w:tcW w:w="671" w:type="pct"/>
                  <w:vMerge w:val="continue"/>
                  <w:vAlign w:val="center"/>
                </w:tcPr>
                <w:p w14:paraId="2A557FAF">
                  <w:pPr>
                    <w:adjustRightInd w:val="0"/>
                    <w:snapToGrid w:val="0"/>
                    <w:jc w:val="center"/>
                    <w:rPr>
                      <w:color w:val="000000" w:themeColor="text1"/>
                      <w:szCs w:val="21"/>
                      <w14:textFill>
                        <w14:solidFill>
                          <w14:schemeClr w14:val="tx1"/>
                        </w14:solidFill>
                      </w14:textFill>
                    </w:rPr>
                  </w:pPr>
                </w:p>
              </w:tc>
              <w:tc>
                <w:tcPr>
                  <w:tcW w:w="1053" w:type="pct"/>
                  <w:vMerge w:val="continue"/>
                  <w:shd w:val="clear" w:color="auto" w:fill="auto"/>
                  <w:vAlign w:val="center"/>
                </w:tcPr>
                <w:p w14:paraId="3E959923">
                  <w:pPr>
                    <w:adjustRightInd w:val="0"/>
                    <w:snapToGrid w:val="0"/>
                    <w:jc w:val="center"/>
                    <w:rPr>
                      <w:color w:val="000000" w:themeColor="text1"/>
                      <w:szCs w:val="21"/>
                      <w14:textFill>
                        <w14:solidFill>
                          <w14:schemeClr w14:val="tx1"/>
                        </w14:solidFill>
                      </w14:textFill>
                    </w:rPr>
                  </w:pPr>
                </w:p>
              </w:tc>
              <w:tc>
                <w:tcPr>
                  <w:tcW w:w="1506" w:type="pct"/>
                  <w:vMerge w:val="continue"/>
                  <w:shd w:val="clear" w:color="auto" w:fill="auto"/>
                  <w:vAlign w:val="center"/>
                </w:tcPr>
                <w:p w14:paraId="42DD4DD9">
                  <w:pPr>
                    <w:adjustRightInd w:val="0"/>
                    <w:snapToGrid w:val="0"/>
                    <w:jc w:val="center"/>
                    <w:rPr>
                      <w:color w:val="000000" w:themeColor="text1"/>
                      <w:szCs w:val="21"/>
                      <w14:textFill>
                        <w14:solidFill>
                          <w14:schemeClr w14:val="tx1"/>
                        </w14:solidFill>
                      </w14:textFill>
                    </w:rPr>
                  </w:pPr>
                </w:p>
              </w:tc>
            </w:tr>
          </w:tbl>
          <w:p w14:paraId="0C007383">
            <w:pPr>
              <w:spacing w:line="360" w:lineRule="auto"/>
              <w:rPr>
                <w:rStyle w:val="64"/>
                <w:color w:val="000000" w:themeColor="text1"/>
                <w:sz w:val="24"/>
                <w14:textFill>
                  <w14:solidFill>
                    <w14:schemeClr w14:val="tx1"/>
                  </w14:solidFill>
                </w14:textFill>
              </w:rPr>
            </w:pPr>
          </w:p>
        </w:tc>
      </w:tr>
      <w:tr w14:paraId="1EC985FA">
        <w:tblPrEx>
          <w:tblBorders>
            <w:top w:val="single" w:color="auto" w:sz="12" w:space="0"/>
            <w:left w:val="single" w:color="auto" w:sz="12" w:space="0"/>
            <w:bottom w:val="single" w:color="auto" w:sz="12" w:space="0"/>
            <w:right w:val="single" w:color="auto" w:sz="12" w:space="0"/>
            <w:insideH w:val="single" w:color="auto" w:sz="12" w:space="0"/>
            <w:insideV w:val="single" w:color="auto" w:sz="2" w:space="0"/>
          </w:tblBorders>
          <w:tblCellMar>
            <w:top w:w="0" w:type="dxa"/>
            <w:left w:w="108" w:type="dxa"/>
            <w:bottom w:w="0" w:type="dxa"/>
            <w:right w:w="108" w:type="dxa"/>
          </w:tblCellMar>
        </w:tblPrEx>
        <w:trPr>
          <w:trHeight w:val="850" w:hRule="atLeast"/>
          <w:jc w:val="center"/>
        </w:trPr>
        <w:tc>
          <w:tcPr>
            <w:tcW w:w="661" w:type="dxa"/>
            <w:vAlign w:val="center"/>
          </w:tcPr>
          <w:p w14:paraId="3685B2DC">
            <w:pPr>
              <w:pStyle w:val="27"/>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bCs/>
                <w:color w:val="000000" w:themeColor="text1"/>
                <w:kern w:val="2"/>
                <w:szCs w:val="24"/>
                <w14:textFill>
                  <w14:solidFill>
                    <w14:schemeClr w14:val="tx1"/>
                  </w14:solidFill>
                </w14:textFill>
              </w:rPr>
              <w:t>与</w:t>
            </w:r>
            <w:r>
              <w:rPr>
                <w:rFonts w:ascii="Times New Roman" w:hAnsi="Times New Roman"/>
                <w:color w:val="000000" w:themeColor="text1"/>
                <w:szCs w:val="24"/>
                <w14:textFill>
                  <w14:solidFill>
                    <w14:schemeClr w14:val="tx1"/>
                  </w14:solidFill>
                </w14:textFill>
              </w:rPr>
              <w:t>项目有关的原有环境污染问题</w:t>
            </w:r>
          </w:p>
        </w:tc>
        <w:tc>
          <w:tcPr>
            <w:tcW w:w="8627" w:type="dxa"/>
          </w:tcPr>
          <w:p w14:paraId="057AF20C">
            <w:pPr>
              <w:snapToGrid w:val="0"/>
              <w:spacing w:line="360" w:lineRule="auto"/>
              <w:ind w:firstLine="480" w:firstLineChars="200"/>
              <w:textAlignment w:val="baseline"/>
              <w:rPr>
                <w:color w:val="000000" w:themeColor="text1"/>
                <w14:textFill>
                  <w14:solidFill>
                    <w14:schemeClr w14:val="tx1"/>
                  </w14:solidFill>
                </w14:textFill>
              </w:rPr>
            </w:pPr>
            <w:r>
              <w:rPr>
                <w:color w:val="000000" w:themeColor="text1"/>
                <w:sz w:val="24"/>
                <w14:textFill>
                  <w14:solidFill>
                    <w14:schemeClr w14:val="tx1"/>
                  </w14:solidFill>
                </w14:textFill>
              </w:rPr>
              <w:t>抚顺中农农业科技发展有限公司成立于2024年11月，租赁峡河村菌包厂，厂区建设有生产车间、锅炉房、冷库、办公楼、仓库（闲置）等构筑物，建设有一条香菇加工冷冻项目生产线，通过外购鲜香菇经清洗、漂烫、冷却、脱水、包装、冷冻保鲜等工序，生产冷冻食用菌100t/a，根据</w:t>
            </w:r>
            <w:r>
              <w:rPr>
                <w:rStyle w:val="64"/>
                <w:color w:val="000000" w:themeColor="text1"/>
                <w:sz w:val="24"/>
                <w:lang w:val="zh-CN"/>
                <w14:textFill>
                  <w14:solidFill>
                    <w14:schemeClr w14:val="tx1"/>
                  </w14:solidFill>
                </w14:textFill>
              </w:rPr>
              <w:t>《建设项目环境影响评价分类管理名录》（2021年版），</w:t>
            </w:r>
            <w:r>
              <w:rPr>
                <w:rStyle w:val="64"/>
                <w:color w:val="000000" w:themeColor="text1"/>
                <w:sz w:val="24"/>
                <w14:textFill>
                  <w14:solidFill>
                    <w14:schemeClr w14:val="tx1"/>
                  </w14:solidFill>
                </w14:textFill>
              </w:rPr>
              <w:t>食用菌加工无需办理环境影响评价手续。</w:t>
            </w:r>
          </w:p>
          <w:p w14:paraId="555D818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建设期已结束，经调查核实，本项目施工期间未收到环保投诉，未发现有遗留环境问题。现有环境问题主要是生物质蒸汽发生器属于未批先建，本次环评正对其补充相关环保手续。本项目排污许可管理类别为登记管理，建设单位应在取得环评批复后、投产前完成排污登记填报。</w:t>
            </w:r>
          </w:p>
          <w:p w14:paraId="0518037F">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2E1B9506">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52132F9B">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3A53E225">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2EAA2269">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78EA6168">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48393A7C">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3C2784AF">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54D8828F">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12CB2284">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2CF7DB8D">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5A7E941E">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64DCD562">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2B9B6C59">
            <w:pPr>
              <w:tabs>
                <w:tab w:val="left" w:pos="4425"/>
              </w:tabs>
              <w:snapToGrid w:val="0"/>
              <w:spacing w:line="360" w:lineRule="auto"/>
              <w:ind w:firstLine="480" w:firstLineChars="200"/>
              <w:textAlignment w:val="baseline"/>
              <w:rPr>
                <w:rStyle w:val="64"/>
                <w:color w:val="000000" w:themeColor="text1"/>
                <w:sz w:val="24"/>
                <w14:textFill>
                  <w14:solidFill>
                    <w14:schemeClr w14:val="tx1"/>
                  </w14:solidFill>
                </w14:textFill>
              </w:rPr>
            </w:pPr>
          </w:p>
          <w:p w14:paraId="167320DD">
            <w:pPr>
              <w:rPr>
                <w:color w:val="000000" w:themeColor="text1"/>
                <w14:textFill>
                  <w14:solidFill>
                    <w14:schemeClr w14:val="tx1"/>
                  </w14:solidFill>
                </w14:textFill>
              </w:rPr>
            </w:pPr>
          </w:p>
        </w:tc>
      </w:tr>
    </w:tbl>
    <w:p w14:paraId="485D74E2">
      <w:pPr>
        <w:pStyle w:val="27"/>
        <w:jc w:val="both"/>
        <w:rPr>
          <w:rFonts w:ascii="Times New Roman" w:hAnsi="Times New Roman" w:eastAsia="黑体"/>
          <w:snapToGrid w:val="0"/>
          <w:color w:val="000000" w:themeColor="text1"/>
          <w:sz w:val="36"/>
          <w:szCs w:val="36"/>
          <w14:textFill>
            <w14:solidFill>
              <w14:schemeClr w14:val="tx1"/>
            </w14:solidFill>
          </w14:textFill>
        </w:rPr>
        <w:sectPr>
          <w:pgSz w:w="11906" w:h="16838"/>
          <w:pgMar w:top="1417" w:right="1417" w:bottom="1417" w:left="1417" w:header="851" w:footer="964" w:gutter="0"/>
          <w:cols w:space="720" w:num="1"/>
          <w:docGrid w:linePitch="312" w:charSpace="0"/>
        </w:sectPr>
      </w:pPr>
    </w:p>
    <w:p w14:paraId="7627D3E5">
      <w:pPr>
        <w:pStyle w:val="27"/>
        <w:tabs>
          <w:tab w:val="left" w:pos="3990"/>
        </w:tabs>
        <w:spacing w:before="0" w:beforeAutospacing="0" w:after="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eastAsia="黑体"/>
          <w:snapToGrid w:val="0"/>
          <w:color w:val="000000" w:themeColor="text1"/>
          <w:sz w:val="30"/>
          <w:szCs w:val="30"/>
          <w14:textFill>
            <w14:solidFill>
              <w14:schemeClr w14:val="tx1"/>
            </w14:solidFill>
          </w14:textFill>
        </w:rPr>
        <w:t>三、区域环境质量现状、环境保护目标及评价标准</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806"/>
        <w:gridCol w:w="8255"/>
      </w:tblGrid>
      <w:tr w14:paraId="76B547A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3" w:hRule="atLeast"/>
          <w:jc w:val="center"/>
        </w:trPr>
        <w:tc>
          <w:tcPr>
            <w:tcW w:w="806" w:type="dxa"/>
            <w:vAlign w:val="center"/>
          </w:tcPr>
          <w:p w14:paraId="1639DE50">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区域</w:t>
            </w:r>
          </w:p>
          <w:p w14:paraId="79BFF6FE">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环境</w:t>
            </w:r>
          </w:p>
          <w:p w14:paraId="4819CE37">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质量</w:t>
            </w:r>
          </w:p>
          <w:p w14:paraId="6BD9AD1D">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现状</w:t>
            </w:r>
          </w:p>
        </w:tc>
        <w:tc>
          <w:tcPr>
            <w:tcW w:w="8255" w:type="dxa"/>
            <w:vAlign w:val="center"/>
          </w:tcPr>
          <w:p w14:paraId="44B948E3">
            <w:pPr>
              <w:widowControl/>
              <w:spacing w:line="360" w:lineRule="auto"/>
              <w:jc w:val="left"/>
              <w:rPr>
                <w:b/>
                <w:color w:val="000000" w:themeColor="text1"/>
                <w:kern w:val="0"/>
                <w:sz w:val="24"/>
                <w:lang w:bidi="ar"/>
                <w14:textFill>
                  <w14:solidFill>
                    <w14:schemeClr w14:val="tx1"/>
                  </w14:solidFill>
                </w14:textFill>
              </w:rPr>
            </w:pPr>
            <w:bookmarkStart w:id="13" w:name="_Toc42076800"/>
            <w:r>
              <w:rPr>
                <w:b/>
                <w:color w:val="000000" w:themeColor="text1"/>
                <w:kern w:val="0"/>
                <w:sz w:val="24"/>
                <w:lang w:bidi="ar"/>
                <w14:textFill>
                  <w14:solidFill>
                    <w14:schemeClr w14:val="tx1"/>
                  </w14:solidFill>
                </w14:textFill>
              </w:rPr>
              <w:t>1、环境空气质量</w:t>
            </w:r>
            <w:bookmarkEnd w:id="13"/>
            <w:r>
              <w:rPr>
                <w:b/>
                <w:color w:val="000000" w:themeColor="text1"/>
                <w:kern w:val="0"/>
                <w:sz w:val="24"/>
                <w:lang w:bidi="ar"/>
                <w14:textFill>
                  <w14:solidFill>
                    <w14:schemeClr w14:val="tx1"/>
                  </w14:solidFill>
                </w14:textFill>
              </w:rPr>
              <w:t>现状</w:t>
            </w:r>
          </w:p>
          <w:p w14:paraId="39AB0E69">
            <w:pPr>
              <w:pStyle w:val="126"/>
              <w:ind w:firstLine="480"/>
              <w:rPr>
                <w:b w:val="0"/>
                <w:bCs w:val="0"/>
                <w:color w:val="000000" w:themeColor="text1"/>
                <w:sz w:val="24"/>
                <w14:textFill>
                  <w14:solidFill>
                    <w14:schemeClr w14:val="tx1"/>
                  </w14:solidFill>
                </w14:textFill>
              </w:rPr>
            </w:pPr>
            <w:r>
              <w:rPr>
                <w:b w:val="0"/>
                <w:bCs w:val="0"/>
                <w:color w:val="000000" w:themeColor="text1"/>
                <w:sz w:val="24"/>
                <w14:textFill>
                  <w14:solidFill>
                    <w14:schemeClr w14:val="tx1"/>
                  </w14:solidFill>
                </w14:textFill>
              </w:rPr>
              <w:t>根据《环境影响评价技术导则-大气环境》（HJ2.2-2018）要求，本次评价收集《抚顺市生态环境质量报告书》（2025年）中抚顺县环境空气质量监测数据，监测项目：SO</w:t>
            </w:r>
            <w:r>
              <w:rPr>
                <w:b w:val="0"/>
                <w:bCs w:val="0"/>
                <w:color w:val="000000" w:themeColor="text1"/>
                <w:sz w:val="24"/>
                <w:vertAlign w:val="subscript"/>
                <w14:textFill>
                  <w14:solidFill>
                    <w14:schemeClr w14:val="tx1"/>
                  </w14:solidFill>
                </w14:textFill>
              </w:rPr>
              <w:t>2</w:t>
            </w:r>
            <w:r>
              <w:rPr>
                <w:b w:val="0"/>
                <w:bCs w:val="0"/>
                <w:color w:val="000000" w:themeColor="text1"/>
                <w:sz w:val="24"/>
                <w14:textFill>
                  <w14:solidFill>
                    <w14:schemeClr w14:val="tx1"/>
                  </w14:solidFill>
                </w14:textFill>
              </w:rPr>
              <w:t>、NO</w:t>
            </w:r>
            <w:r>
              <w:rPr>
                <w:b w:val="0"/>
                <w:bCs w:val="0"/>
                <w:color w:val="000000" w:themeColor="text1"/>
                <w:sz w:val="24"/>
                <w:vertAlign w:val="subscript"/>
                <w14:textFill>
                  <w14:solidFill>
                    <w14:schemeClr w14:val="tx1"/>
                  </w14:solidFill>
                </w14:textFill>
              </w:rPr>
              <w:t>2</w:t>
            </w:r>
            <w:r>
              <w:rPr>
                <w:b w:val="0"/>
                <w:bCs w:val="0"/>
                <w:color w:val="000000" w:themeColor="text1"/>
                <w:sz w:val="24"/>
                <w14:textFill>
                  <w14:solidFill>
                    <w14:schemeClr w14:val="tx1"/>
                  </w14:solidFill>
                </w14:textFill>
              </w:rPr>
              <w:t>、PM</w:t>
            </w:r>
            <w:r>
              <w:rPr>
                <w:b w:val="0"/>
                <w:bCs w:val="0"/>
                <w:color w:val="000000" w:themeColor="text1"/>
                <w:sz w:val="24"/>
                <w:vertAlign w:val="subscript"/>
                <w14:textFill>
                  <w14:solidFill>
                    <w14:schemeClr w14:val="tx1"/>
                  </w14:solidFill>
                </w14:textFill>
              </w:rPr>
              <w:t>10</w:t>
            </w:r>
            <w:r>
              <w:rPr>
                <w:b w:val="0"/>
                <w:bCs w:val="0"/>
                <w:color w:val="000000" w:themeColor="text1"/>
                <w:sz w:val="24"/>
                <w14:textFill>
                  <w14:solidFill>
                    <w14:schemeClr w14:val="tx1"/>
                  </w14:solidFill>
                </w14:textFill>
              </w:rPr>
              <w:t>、PM</w:t>
            </w:r>
            <w:r>
              <w:rPr>
                <w:b w:val="0"/>
                <w:bCs w:val="0"/>
                <w:color w:val="000000" w:themeColor="text1"/>
                <w:sz w:val="24"/>
                <w:vertAlign w:val="subscript"/>
                <w14:textFill>
                  <w14:solidFill>
                    <w14:schemeClr w14:val="tx1"/>
                  </w14:solidFill>
                </w14:textFill>
              </w:rPr>
              <w:t>2.5</w:t>
            </w:r>
            <w:r>
              <w:rPr>
                <w:b w:val="0"/>
                <w:bCs w:val="0"/>
                <w:color w:val="000000" w:themeColor="text1"/>
                <w:sz w:val="24"/>
                <w14:textFill>
                  <w14:solidFill>
                    <w14:schemeClr w14:val="tx1"/>
                  </w14:solidFill>
                </w14:textFill>
              </w:rPr>
              <w:t>、CO、O</w:t>
            </w:r>
            <w:r>
              <w:rPr>
                <w:b w:val="0"/>
                <w:bCs w:val="0"/>
                <w:color w:val="000000" w:themeColor="text1"/>
                <w:sz w:val="24"/>
                <w:vertAlign w:val="subscript"/>
                <w14:textFill>
                  <w14:solidFill>
                    <w14:schemeClr w14:val="tx1"/>
                  </w14:solidFill>
                </w14:textFill>
              </w:rPr>
              <w:t>3</w:t>
            </w:r>
            <w:r>
              <w:rPr>
                <w:b w:val="0"/>
                <w:bCs w:val="0"/>
                <w:color w:val="000000" w:themeColor="text1"/>
                <w:sz w:val="24"/>
                <w14:textFill>
                  <w14:solidFill>
                    <w14:schemeClr w14:val="tx1"/>
                  </w14:solidFill>
                </w14:textFill>
              </w:rPr>
              <w:t>，本项目所在地为环境空气质量二类功能区，评价标准执行《环境空气质量标准》（GB3095-2026）过渡阶段二级浓度限值，详细数据见下表。</w:t>
            </w:r>
          </w:p>
          <w:p w14:paraId="53C7447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表3-1  抚顺县</w:t>
            </w:r>
            <w:r>
              <w:rPr>
                <w:b/>
                <w:bCs/>
                <w:color w:val="000000" w:themeColor="text1"/>
                <w:szCs w:val="21"/>
                <w14:textFill>
                  <w14:solidFill>
                    <w14:schemeClr w14:val="tx1"/>
                  </w14:solidFill>
                </w14:textFill>
              </w:rPr>
              <w:t>环境空气质量现状评价表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2478"/>
              <w:gridCol w:w="1247"/>
              <w:gridCol w:w="1271"/>
              <w:gridCol w:w="1001"/>
              <w:gridCol w:w="1125"/>
            </w:tblGrid>
            <w:tr w14:paraId="4A521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Align w:val="center"/>
                </w:tcPr>
                <w:p w14:paraId="11044C2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540" w:type="pct"/>
                  <w:vAlign w:val="center"/>
                </w:tcPr>
                <w:p w14:paraId="3C2A2D3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年评价指标</w:t>
                  </w:r>
                </w:p>
              </w:tc>
              <w:tc>
                <w:tcPr>
                  <w:tcW w:w="775" w:type="pct"/>
                  <w:vAlign w:val="center"/>
                </w:tcPr>
                <w:p w14:paraId="14D771A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现状浓度（μg/m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790" w:type="pct"/>
                  <w:vAlign w:val="center"/>
                </w:tcPr>
                <w:p w14:paraId="6F5FBCC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过渡阶段二级浓度限值（μg/m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622" w:type="pct"/>
                  <w:vAlign w:val="center"/>
                </w:tcPr>
                <w:p w14:paraId="2D3CE38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占标率（%）</w:t>
                  </w:r>
                </w:p>
              </w:tc>
              <w:tc>
                <w:tcPr>
                  <w:tcW w:w="699" w:type="pct"/>
                  <w:vAlign w:val="center"/>
                </w:tcPr>
                <w:p w14:paraId="2730AEB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达标情况</w:t>
                  </w:r>
                </w:p>
              </w:tc>
            </w:tr>
            <w:tr w14:paraId="7CBC06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Align w:val="center"/>
                </w:tcPr>
                <w:p w14:paraId="63E4311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1540" w:type="pct"/>
                  <w:vAlign w:val="center"/>
                </w:tcPr>
                <w:p w14:paraId="579FE9D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775" w:type="pct"/>
                  <w:vAlign w:val="center"/>
                </w:tcPr>
                <w:p w14:paraId="3D5E8F3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790" w:type="pct"/>
                  <w:vAlign w:val="center"/>
                </w:tcPr>
                <w:p w14:paraId="71AA501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622" w:type="pct"/>
                  <w:vAlign w:val="center"/>
                </w:tcPr>
                <w:p w14:paraId="5877109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8.33</w:t>
                  </w:r>
                </w:p>
              </w:tc>
              <w:tc>
                <w:tcPr>
                  <w:tcW w:w="699" w:type="pct"/>
                  <w:vAlign w:val="center"/>
                </w:tcPr>
                <w:p w14:paraId="20D0886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32E594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Align w:val="center"/>
                </w:tcPr>
                <w:p w14:paraId="6A88599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NO</w:t>
                  </w:r>
                  <w:r>
                    <w:rPr>
                      <w:color w:val="000000" w:themeColor="text1"/>
                      <w:szCs w:val="21"/>
                      <w:vertAlign w:val="subscript"/>
                      <w14:textFill>
                        <w14:solidFill>
                          <w14:schemeClr w14:val="tx1"/>
                        </w14:solidFill>
                      </w14:textFill>
                    </w:rPr>
                    <w:t>2</w:t>
                  </w:r>
                </w:p>
              </w:tc>
              <w:tc>
                <w:tcPr>
                  <w:tcW w:w="1540" w:type="pct"/>
                  <w:vAlign w:val="center"/>
                </w:tcPr>
                <w:p w14:paraId="1E8844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775" w:type="pct"/>
                  <w:vAlign w:val="center"/>
                </w:tcPr>
                <w:p w14:paraId="5F92AC1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24</w:t>
                  </w:r>
                </w:p>
              </w:tc>
              <w:tc>
                <w:tcPr>
                  <w:tcW w:w="790" w:type="pct"/>
                  <w:vAlign w:val="center"/>
                </w:tcPr>
                <w:p w14:paraId="478B5CA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w:t>
                  </w:r>
                </w:p>
              </w:tc>
              <w:tc>
                <w:tcPr>
                  <w:tcW w:w="622" w:type="pct"/>
                  <w:vAlign w:val="center"/>
                </w:tcPr>
                <w:p w14:paraId="2536702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w:t>
                  </w:r>
                </w:p>
              </w:tc>
              <w:tc>
                <w:tcPr>
                  <w:tcW w:w="699" w:type="pct"/>
                  <w:vAlign w:val="center"/>
                </w:tcPr>
                <w:p w14:paraId="5745E3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459E15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Align w:val="center"/>
                </w:tcPr>
                <w:p w14:paraId="3BF23AC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10</w:t>
                  </w:r>
                </w:p>
              </w:tc>
              <w:tc>
                <w:tcPr>
                  <w:tcW w:w="1540" w:type="pct"/>
                  <w:vAlign w:val="center"/>
                </w:tcPr>
                <w:p w14:paraId="7983ECC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775" w:type="pct"/>
                  <w:vAlign w:val="center"/>
                </w:tcPr>
                <w:p w14:paraId="1541CAC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66</w:t>
                  </w:r>
                </w:p>
              </w:tc>
              <w:tc>
                <w:tcPr>
                  <w:tcW w:w="790" w:type="pct"/>
                  <w:vAlign w:val="center"/>
                </w:tcPr>
                <w:p w14:paraId="5D3AB64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622" w:type="pct"/>
                  <w:vAlign w:val="center"/>
                </w:tcPr>
                <w:p w14:paraId="5B62AFC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110</w:t>
                  </w:r>
                </w:p>
              </w:tc>
              <w:tc>
                <w:tcPr>
                  <w:tcW w:w="699" w:type="pct"/>
                  <w:vAlign w:val="center"/>
                </w:tcPr>
                <w:p w14:paraId="4AAE0DA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超标</w:t>
                  </w:r>
                </w:p>
              </w:tc>
            </w:tr>
            <w:tr w14:paraId="64F7D8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Align w:val="center"/>
                </w:tcPr>
                <w:p w14:paraId="67A1AD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2.5</w:t>
                  </w:r>
                </w:p>
              </w:tc>
              <w:tc>
                <w:tcPr>
                  <w:tcW w:w="1540" w:type="pct"/>
                  <w:vAlign w:val="center"/>
                </w:tcPr>
                <w:p w14:paraId="4F936BB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775" w:type="pct"/>
                  <w:vAlign w:val="center"/>
                </w:tcPr>
                <w:p w14:paraId="2CE6FCB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32</w:t>
                  </w:r>
                </w:p>
              </w:tc>
              <w:tc>
                <w:tcPr>
                  <w:tcW w:w="790" w:type="pct"/>
                  <w:vAlign w:val="center"/>
                </w:tcPr>
                <w:p w14:paraId="2A03FA4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622" w:type="pct"/>
                  <w:vAlign w:val="center"/>
                </w:tcPr>
                <w:p w14:paraId="59F4ACC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106.67</w:t>
                  </w:r>
                </w:p>
              </w:tc>
              <w:tc>
                <w:tcPr>
                  <w:tcW w:w="699" w:type="pct"/>
                  <w:vAlign w:val="center"/>
                </w:tcPr>
                <w:p w14:paraId="1CA685C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超标</w:t>
                  </w:r>
                </w:p>
              </w:tc>
            </w:tr>
            <w:tr w14:paraId="60465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Align w:val="center"/>
                </w:tcPr>
                <w:p w14:paraId="718FA84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w:t>
                  </w:r>
                </w:p>
              </w:tc>
              <w:tc>
                <w:tcPr>
                  <w:tcW w:w="1540" w:type="pct"/>
                  <w:vAlign w:val="center"/>
                </w:tcPr>
                <w:p w14:paraId="1B7034C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CO日均值第95百分位数</w:t>
                  </w:r>
                </w:p>
              </w:tc>
              <w:tc>
                <w:tcPr>
                  <w:tcW w:w="775" w:type="pct"/>
                  <w:vAlign w:val="center"/>
                </w:tcPr>
                <w:p w14:paraId="1F34295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1300</w:t>
                  </w:r>
                </w:p>
              </w:tc>
              <w:tc>
                <w:tcPr>
                  <w:tcW w:w="790" w:type="pct"/>
                  <w:vAlign w:val="center"/>
                </w:tcPr>
                <w:p w14:paraId="473BF32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4000</w:t>
                  </w:r>
                </w:p>
              </w:tc>
              <w:tc>
                <w:tcPr>
                  <w:tcW w:w="622" w:type="pct"/>
                  <w:vAlign w:val="center"/>
                </w:tcPr>
                <w:p w14:paraId="20AD3C9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32.5</w:t>
                  </w:r>
                </w:p>
              </w:tc>
              <w:tc>
                <w:tcPr>
                  <w:tcW w:w="699" w:type="pct"/>
                  <w:vAlign w:val="center"/>
                </w:tcPr>
                <w:p w14:paraId="7A62793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7DA90C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Align w:val="center"/>
                </w:tcPr>
                <w:p w14:paraId="7F6F75B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O</w:t>
                  </w:r>
                  <w:r>
                    <w:rPr>
                      <w:color w:val="000000" w:themeColor="text1"/>
                      <w:szCs w:val="21"/>
                      <w:vertAlign w:val="subscript"/>
                      <w14:textFill>
                        <w14:solidFill>
                          <w14:schemeClr w14:val="tx1"/>
                        </w14:solidFill>
                      </w14:textFill>
                    </w:rPr>
                    <w:t>3</w:t>
                  </w:r>
                </w:p>
              </w:tc>
              <w:tc>
                <w:tcPr>
                  <w:tcW w:w="1540" w:type="pct"/>
                  <w:vAlign w:val="center"/>
                </w:tcPr>
                <w:p w14:paraId="01AFFD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O</w:t>
                  </w:r>
                  <w:r>
                    <w:rPr>
                      <w:color w:val="000000" w:themeColor="text1"/>
                      <w:szCs w:val="21"/>
                      <w:vertAlign w:val="subscript"/>
                      <w14:textFill>
                        <w14:solidFill>
                          <w14:schemeClr w14:val="tx1"/>
                        </w14:solidFill>
                      </w14:textFill>
                    </w:rPr>
                    <w:t>3</w:t>
                  </w:r>
                  <w:r>
                    <w:rPr>
                      <w:color w:val="000000" w:themeColor="text1"/>
                      <w:szCs w:val="21"/>
                      <w14:textFill>
                        <w14:solidFill>
                          <w14:schemeClr w14:val="tx1"/>
                        </w14:solidFill>
                      </w14:textFill>
                    </w:rPr>
                    <w:t>日最大8h滑动平均值第90百分位数</w:t>
                  </w:r>
                </w:p>
              </w:tc>
              <w:tc>
                <w:tcPr>
                  <w:tcW w:w="775" w:type="pct"/>
                  <w:vAlign w:val="center"/>
                </w:tcPr>
                <w:p w14:paraId="188DBA2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126</w:t>
                  </w:r>
                </w:p>
              </w:tc>
              <w:tc>
                <w:tcPr>
                  <w:tcW w:w="790" w:type="pct"/>
                  <w:vAlign w:val="center"/>
                </w:tcPr>
                <w:p w14:paraId="1B8F058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160</w:t>
                  </w:r>
                </w:p>
              </w:tc>
              <w:tc>
                <w:tcPr>
                  <w:tcW w:w="622" w:type="pct"/>
                  <w:vAlign w:val="center"/>
                </w:tcPr>
                <w:p w14:paraId="12BE328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78.75</w:t>
                  </w:r>
                </w:p>
              </w:tc>
              <w:tc>
                <w:tcPr>
                  <w:tcW w:w="699" w:type="pct"/>
                  <w:vAlign w:val="center"/>
                </w:tcPr>
                <w:p w14:paraId="10D47D1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bl>
          <w:p w14:paraId="1AE4353D">
            <w:pPr>
              <w:pStyle w:val="126"/>
              <w:ind w:firstLine="480"/>
              <w:rPr>
                <w:b w:val="0"/>
                <w:bCs w:val="0"/>
                <w:color w:val="000000" w:themeColor="text1"/>
                <w:sz w:val="24"/>
                <w14:textFill>
                  <w14:solidFill>
                    <w14:schemeClr w14:val="tx1"/>
                  </w14:solidFill>
                </w14:textFill>
              </w:rPr>
            </w:pPr>
            <w:r>
              <w:rPr>
                <w:b w:val="0"/>
                <w:bCs w:val="0"/>
                <w:color w:val="000000" w:themeColor="text1"/>
                <w:sz w:val="24"/>
                <w14:textFill>
                  <w14:solidFill>
                    <w14:schemeClr w14:val="tx1"/>
                  </w14:solidFill>
                </w14:textFill>
              </w:rPr>
              <w:t>由上表可见，本项目所在区域环境空气质量PM</w:t>
            </w:r>
            <w:r>
              <w:rPr>
                <w:b w:val="0"/>
                <w:bCs w:val="0"/>
                <w:color w:val="000000" w:themeColor="text1"/>
                <w:sz w:val="24"/>
                <w:vertAlign w:val="subscript"/>
                <w14:textFill>
                  <w14:solidFill>
                    <w14:schemeClr w14:val="tx1"/>
                  </w14:solidFill>
                </w14:textFill>
              </w:rPr>
              <w:t>10</w:t>
            </w:r>
            <w:r>
              <w:rPr>
                <w:b w:val="0"/>
                <w:bCs w:val="0"/>
                <w:color w:val="000000" w:themeColor="text1"/>
                <w:sz w:val="24"/>
                <w14:textFill>
                  <w14:solidFill>
                    <w14:schemeClr w14:val="tx1"/>
                  </w14:solidFill>
                </w14:textFill>
              </w:rPr>
              <w:t>、PM</w:t>
            </w:r>
            <w:r>
              <w:rPr>
                <w:b w:val="0"/>
                <w:bCs w:val="0"/>
                <w:color w:val="000000" w:themeColor="text1"/>
                <w:sz w:val="24"/>
                <w:vertAlign w:val="subscript"/>
                <w14:textFill>
                  <w14:solidFill>
                    <w14:schemeClr w14:val="tx1"/>
                  </w14:solidFill>
                </w14:textFill>
              </w:rPr>
              <w:t>2.5</w:t>
            </w:r>
            <w:r>
              <w:rPr>
                <w:b w:val="0"/>
                <w:bCs w:val="0"/>
                <w:color w:val="000000" w:themeColor="text1"/>
                <w:sz w:val="24"/>
                <w14:textFill>
                  <w14:solidFill>
                    <w14:schemeClr w14:val="tx1"/>
                  </w14:solidFill>
                </w14:textFill>
              </w:rPr>
              <w:t>未达到《环境空气质量标准》（GB3095-2026）中过渡阶段二级标准要求。因此，根据《环境影响评价技术导则 大气环境》（HJ2.2-2018），本项目位于环境空气质量不达标区。</w:t>
            </w:r>
          </w:p>
          <w:p w14:paraId="3A5B217C">
            <w:pPr>
              <w:pStyle w:val="126"/>
              <w:ind w:firstLine="480"/>
              <w:rPr>
                <w:b w:val="0"/>
                <w:bCs w:val="0"/>
                <w:color w:val="000000" w:themeColor="text1"/>
                <w:sz w:val="24"/>
                <w14:textFill>
                  <w14:solidFill>
                    <w14:schemeClr w14:val="tx1"/>
                  </w14:solidFill>
                </w14:textFill>
              </w:rPr>
            </w:pPr>
            <w:r>
              <w:rPr>
                <w:b w:val="0"/>
                <w:bCs w:val="0"/>
                <w:color w:val="000000" w:themeColor="text1"/>
                <w:sz w:val="24"/>
                <w14:textFill>
                  <w14:solidFill>
                    <w14:schemeClr w14:val="tx1"/>
                  </w14:solidFill>
                </w14:textFill>
              </w:rPr>
              <w:t>随着《抚顺市深入打好污染防治攻坚战实施方案》（抚委发[2023]1号）、《关于印发抚顺市空气质量持续改善行动实施方案的通知》(抚政办规[2025]3号)等文件的发布，抚顺市对建筑施工、道路运输、工业堆场、城市裸地四大扬尘污染源，实施全域精细化扬尘综合治理，全方位压实扬尘管控责任，逐步改善当地环境空气质量。</w:t>
            </w:r>
          </w:p>
          <w:p w14:paraId="60A44076">
            <w:pPr>
              <w:widowControl/>
              <w:spacing w:line="360" w:lineRule="auto"/>
              <w:jc w:val="left"/>
              <w:rPr>
                <w:b/>
                <w:color w:val="000000" w:themeColor="text1"/>
                <w:kern w:val="0"/>
                <w:sz w:val="24"/>
                <w:lang w:bidi="ar"/>
                <w14:textFill>
                  <w14:solidFill>
                    <w14:schemeClr w14:val="tx1"/>
                  </w14:solidFill>
                </w14:textFill>
              </w:rPr>
            </w:pPr>
            <w:r>
              <w:rPr>
                <w:b/>
                <w:color w:val="000000" w:themeColor="text1"/>
                <w:kern w:val="0"/>
                <w:sz w:val="24"/>
                <w:lang w:bidi="ar"/>
                <w14:textFill>
                  <w14:solidFill>
                    <w14:schemeClr w14:val="tx1"/>
                  </w14:solidFill>
                </w14:textFill>
              </w:rPr>
              <w:t>2、地表水质量现状</w:t>
            </w:r>
          </w:p>
          <w:p w14:paraId="1D7965DC">
            <w:pPr>
              <w:pStyle w:val="126"/>
              <w:ind w:firstLine="480"/>
              <w:rPr>
                <w:b w:val="0"/>
                <w:bCs w:val="0"/>
                <w:color w:val="000000" w:themeColor="text1"/>
                <w:sz w:val="24"/>
                <w14:textFill>
                  <w14:solidFill>
                    <w14:schemeClr w14:val="tx1"/>
                  </w14:solidFill>
                </w14:textFill>
              </w:rPr>
            </w:pPr>
            <w:r>
              <w:rPr>
                <w:b w:val="0"/>
                <w:bCs w:val="0"/>
                <w:color w:val="000000" w:themeColor="text1"/>
                <w:sz w:val="24"/>
                <w14:textFill>
                  <w14:solidFill>
                    <w14:schemeClr w14:val="tx1"/>
                  </w14:solidFill>
                </w14:textFill>
              </w:rPr>
              <w:t>本项目南侧309m地表水体为峡河，为东洲河二级支流，</w:t>
            </w:r>
            <w:r>
              <w:rPr>
                <w:rFonts w:hint="eastAsia"/>
                <w:b w:val="0"/>
                <w:bCs w:val="0"/>
                <w:color w:val="000000" w:themeColor="text1"/>
                <w:sz w:val="24"/>
                <w14:textFill>
                  <w14:solidFill>
                    <w14:schemeClr w14:val="tx1"/>
                  </w14:solidFill>
                </w14:textFill>
              </w:rPr>
              <w:t>本次评价引用项目所在地地表水下游东洲河东洲河口监测断面数据，</w:t>
            </w:r>
            <w:r>
              <w:rPr>
                <w:b w:val="0"/>
                <w:bCs w:val="0"/>
                <w:color w:val="000000" w:themeColor="text1"/>
                <w:sz w:val="24"/>
                <w14:textFill>
                  <w14:solidFill>
                    <w14:schemeClr w14:val="tx1"/>
                  </w14:solidFill>
                </w14:textFill>
              </w:rPr>
              <w:t>根据地表水环境功能区划，</w:t>
            </w:r>
            <w:r>
              <w:rPr>
                <w:rFonts w:hint="eastAsia"/>
                <w:b w:val="0"/>
                <w:bCs w:val="0"/>
                <w:color w:val="000000" w:themeColor="text1"/>
                <w:sz w:val="24"/>
                <w14:textFill>
                  <w14:solidFill>
                    <w14:schemeClr w14:val="tx1"/>
                  </w14:solidFill>
                </w14:textFill>
              </w:rPr>
              <w:t>下游</w:t>
            </w:r>
            <w:r>
              <w:rPr>
                <w:b w:val="0"/>
                <w:bCs w:val="0"/>
                <w:color w:val="000000" w:themeColor="text1"/>
                <w:sz w:val="24"/>
                <w14:textFill>
                  <w14:solidFill>
                    <w14:schemeClr w14:val="tx1"/>
                  </w14:solidFill>
                </w14:textFill>
              </w:rPr>
              <w:t>东洲河</w:t>
            </w:r>
            <w:r>
              <w:rPr>
                <w:rFonts w:hint="eastAsia"/>
                <w:b w:val="0"/>
                <w:bCs w:val="0"/>
                <w:color w:val="000000" w:themeColor="text1"/>
                <w:sz w:val="24"/>
                <w14:textFill>
                  <w14:solidFill>
                    <w14:schemeClr w14:val="tx1"/>
                  </w14:solidFill>
                </w14:textFill>
              </w:rPr>
              <w:t>口断面</w:t>
            </w:r>
            <w:r>
              <w:rPr>
                <w:b w:val="0"/>
                <w:bCs w:val="0"/>
                <w:color w:val="000000" w:themeColor="text1"/>
                <w:sz w:val="24"/>
                <w14:textFill>
                  <w14:solidFill>
                    <w14:schemeClr w14:val="tx1"/>
                  </w14:solidFill>
                </w14:textFill>
              </w:rPr>
              <w:t>为Ⅳ类水体，对照《抚顺市生态环境质量报告书》（2025年），2025年东洲河东洲河口断面水质均符合Ⅳ类标准，监测结果见下表。</w:t>
            </w:r>
          </w:p>
          <w:p w14:paraId="07EA9E8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表3-2  地表水监测结果统计表 （mg/L）</w:t>
            </w:r>
          </w:p>
          <w:tbl>
            <w:tblPr>
              <w:tblStyle w:val="3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314"/>
              <w:gridCol w:w="996"/>
              <w:gridCol w:w="996"/>
              <w:gridCol w:w="996"/>
              <w:gridCol w:w="996"/>
              <w:gridCol w:w="996"/>
              <w:gridCol w:w="1001"/>
            </w:tblGrid>
            <w:tr w14:paraId="353C0E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8" w:type="pct"/>
                  <w:vAlign w:val="center"/>
                </w:tcPr>
                <w:p w14:paraId="7669DCB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断面名称</w:t>
                  </w:r>
                </w:p>
              </w:tc>
              <w:tc>
                <w:tcPr>
                  <w:tcW w:w="818" w:type="pct"/>
                  <w:vAlign w:val="center"/>
                </w:tcPr>
                <w:p w14:paraId="66A136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统计指标</w:t>
                  </w:r>
                </w:p>
              </w:tc>
              <w:tc>
                <w:tcPr>
                  <w:tcW w:w="620" w:type="pct"/>
                  <w:vAlign w:val="center"/>
                </w:tcPr>
                <w:p w14:paraId="474A88B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COD</w:t>
                  </w:r>
                </w:p>
              </w:tc>
              <w:tc>
                <w:tcPr>
                  <w:tcW w:w="620" w:type="pct"/>
                  <w:vAlign w:val="center"/>
                </w:tcPr>
                <w:p w14:paraId="232A292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高锰酸盐指数</w:t>
                  </w:r>
                </w:p>
              </w:tc>
              <w:tc>
                <w:tcPr>
                  <w:tcW w:w="620" w:type="pct"/>
                  <w:vAlign w:val="center"/>
                </w:tcPr>
                <w:p w14:paraId="71E353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BOD</w:t>
                  </w:r>
                  <w:r>
                    <w:rPr>
                      <w:color w:val="000000" w:themeColor="text1"/>
                      <w:szCs w:val="21"/>
                      <w:vertAlign w:val="subscript"/>
                      <w14:textFill>
                        <w14:solidFill>
                          <w14:schemeClr w14:val="tx1"/>
                        </w14:solidFill>
                      </w14:textFill>
                    </w:rPr>
                    <w:t>5</w:t>
                  </w:r>
                </w:p>
              </w:tc>
              <w:tc>
                <w:tcPr>
                  <w:tcW w:w="620" w:type="pct"/>
                  <w:vAlign w:val="center"/>
                </w:tcPr>
                <w:p w14:paraId="32C7160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石油类</w:t>
                  </w:r>
                </w:p>
              </w:tc>
              <w:tc>
                <w:tcPr>
                  <w:tcW w:w="620" w:type="pct"/>
                  <w:vAlign w:val="center"/>
                </w:tcPr>
                <w:p w14:paraId="2FEE47C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氨氮</w:t>
                  </w:r>
                </w:p>
              </w:tc>
              <w:tc>
                <w:tcPr>
                  <w:tcW w:w="623" w:type="pct"/>
                  <w:vAlign w:val="center"/>
                </w:tcPr>
                <w:p w14:paraId="37029BE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总磷</w:t>
                  </w:r>
                </w:p>
              </w:tc>
            </w:tr>
            <w:tr w14:paraId="699B4F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8" w:type="pct"/>
                  <w:vMerge w:val="restart"/>
                  <w:vAlign w:val="center"/>
                </w:tcPr>
                <w:p w14:paraId="3F09C3F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东洲河口</w:t>
                  </w:r>
                </w:p>
              </w:tc>
              <w:tc>
                <w:tcPr>
                  <w:tcW w:w="818" w:type="pct"/>
                  <w:vAlign w:val="center"/>
                </w:tcPr>
                <w:p w14:paraId="2F82492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年均浓度</w:t>
                  </w:r>
                </w:p>
              </w:tc>
              <w:tc>
                <w:tcPr>
                  <w:tcW w:w="620" w:type="pct"/>
                  <w:vAlign w:val="center"/>
                </w:tcPr>
                <w:p w14:paraId="048DBF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14.0</w:t>
                  </w:r>
                </w:p>
              </w:tc>
              <w:tc>
                <w:tcPr>
                  <w:tcW w:w="620" w:type="pct"/>
                  <w:vAlign w:val="center"/>
                </w:tcPr>
                <w:p w14:paraId="6B8A94C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3.3</w:t>
                  </w:r>
                </w:p>
              </w:tc>
              <w:tc>
                <w:tcPr>
                  <w:tcW w:w="620" w:type="pct"/>
                  <w:vAlign w:val="center"/>
                </w:tcPr>
                <w:p w14:paraId="62F6B84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1.9</w:t>
                  </w:r>
                </w:p>
              </w:tc>
              <w:tc>
                <w:tcPr>
                  <w:tcW w:w="620" w:type="pct"/>
                  <w:vAlign w:val="center"/>
                </w:tcPr>
                <w:p w14:paraId="2051BBC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0.06</w:t>
                  </w:r>
                </w:p>
              </w:tc>
              <w:tc>
                <w:tcPr>
                  <w:tcW w:w="620" w:type="pct"/>
                  <w:vAlign w:val="center"/>
                </w:tcPr>
                <w:p w14:paraId="1C5BF4B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0.18</w:t>
                  </w:r>
                </w:p>
              </w:tc>
              <w:tc>
                <w:tcPr>
                  <w:tcW w:w="623" w:type="pct"/>
                  <w:vAlign w:val="center"/>
                </w:tcPr>
                <w:p w14:paraId="67EACE9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0.091</w:t>
                  </w:r>
                </w:p>
              </w:tc>
            </w:tr>
            <w:tr w14:paraId="6A790D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8" w:type="pct"/>
                  <w:vMerge w:val="continue"/>
                  <w:vAlign w:val="center"/>
                </w:tcPr>
                <w:p w14:paraId="3CED7F78">
                  <w:pPr>
                    <w:jc w:val="center"/>
                    <w:rPr>
                      <w:color w:val="000000" w:themeColor="text1"/>
                      <w:szCs w:val="21"/>
                      <w14:textFill>
                        <w14:solidFill>
                          <w14:schemeClr w14:val="tx1"/>
                        </w14:solidFill>
                      </w14:textFill>
                    </w:rPr>
                  </w:pPr>
                </w:p>
              </w:tc>
              <w:tc>
                <w:tcPr>
                  <w:tcW w:w="818" w:type="pct"/>
                  <w:vAlign w:val="center"/>
                </w:tcPr>
                <w:p w14:paraId="6B57CFB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标准浓度</w:t>
                  </w:r>
                </w:p>
              </w:tc>
              <w:tc>
                <w:tcPr>
                  <w:tcW w:w="620" w:type="pct"/>
                  <w:vAlign w:val="center"/>
                </w:tcPr>
                <w:p w14:paraId="4A91C1E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620" w:type="pct"/>
                  <w:vAlign w:val="center"/>
                </w:tcPr>
                <w:p w14:paraId="5A8350E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620" w:type="pct"/>
                  <w:vAlign w:val="center"/>
                </w:tcPr>
                <w:p w14:paraId="1DEBCE9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620" w:type="pct"/>
                  <w:vAlign w:val="center"/>
                </w:tcPr>
                <w:p w14:paraId="3AB9991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w:t>
                  </w:r>
                </w:p>
              </w:tc>
              <w:tc>
                <w:tcPr>
                  <w:tcW w:w="620" w:type="pct"/>
                  <w:vAlign w:val="center"/>
                </w:tcPr>
                <w:p w14:paraId="3496BE8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c>
                <w:tcPr>
                  <w:tcW w:w="623" w:type="pct"/>
                  <w:vAlign w:val="center"/>
                </w:tcPr>
                <w:p w14:paraId="32768C2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0.3</w:t>
                  </w:r>
                </w:p>
              </w:tc>
            </w:tr>
            <w:tr w14:paraId="1846D4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8" w:type="pct"/>
                  <w:vMerge w:val="continue"/>
                  <w:vAlign w:val="center"/>
                </w:tcPr>
                <w:p w14:paraId="1515E941">
                  <w:pPr>
                    <w:jc w:val="center"/>
                    <w:rPr>
                      <w:color w:val="000000" w:themeColor="text1"/>
                      <w:szCs w:val="21"/>
                      <w14:textFill>
                        <w14:solidFill>
                          <w14:schemeClr w14:val="tx1"/>
                        </w14:solidFill>
                      </w14:textFill>
                    </w:rPr>
                  </w:pPr>
                </w:p>
              </w:tc>
              <w:tc>
                <w:tcPr>
                  <w:tcW w:w="818" w:type="pct"/>
                  <w:vAlign w:val="center"/>
                </w:tcPr>
                <w:p w14:paraId="45E0A0C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占标率%</w:t>
                  </w:r>
                </w:p>
              </w:tc>
              <w:tc>
                <w:tcPr>
                  <w:tcW w:w="620" w:type="pct"/>
                  <w:vAlign w:val="center"/>
                </w:tcPr>
                <w:p w14:paraId="211F9B4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46.67</w:t>
                  </w:r>
                </w:p>
              </w:tc>
              <w:tc>
                <w:tcPr>
                  <w:tcW w:w="620" w:type="pct"/>
                  <w:vAlign w:val="center"/>
                </w:tcPr>
                <w:p w14:paraId="4D77096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33</w:t>
                  </w:r>
                </w:p>
              </w:tc>
              <w:tc>
                <w:tcPr>
                  <w:tcW w:w="620" w:type="pct"/>
                  <w:vAlign w:val="center"/>
                </w:tcPr>
                <w:p w14:paraId="5909DF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31.67</w:t>
                  </w:r>
                </w:p>
              </w:tc>
              <w:tc>
                <w:tcPr>
                  <w:tcW w:w="620" w:type="pct"/>
                  <w:vAlign w:val="center"/>
                </w:tcPr>
                <w:p w14:paraId="053E199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620" w:type="pct"/>
                  <w:vAlign w:val="center"/>
                </w:tcPr>
                <w:p w14:paraId="0FD883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0.12</w:t>
                  </w:r>
                </w:p>
              </w:tc>
              <w:tc>
                <w:tcPr>
                  <w:tcW w:w="623" w:type="pct"/>
                  <w:vAlign w:val="center"/>
                </w:tcPr>
                <w:p w14:paraId="11CE777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30.33</w:t>
                  </w:r>
                </w:p>
              </w:tc>
            </w:tr>
          </w:tbl>
          <w:p w14:paraId="5F0DBE9D">
            <w:pPr>
              <w:spacing w:line="360" w:lineRule="auto"/>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由上表中数据可以看出，东洲河口</w:t>
            </w:r>
            <w:r>
              <w:rPr>
                <w:color w:val="000000" w:themeColor="text1"/>
                <w:sz w:val="24"/>
                <w:szCs w:val="32"/>
                <w14:textFill>
                  <w14:solidFill>
                    <w14:schemeClr w14:val="tx1"/>
                  </w14:solidFill>
                </w14:textFill>
              </w:rPr>
              <w:t>断面</w:t>
            </w:r>
            <w:r>
              <w:rPr>
                <w:bCs/>
                <w:color w:val="000000" w:themeColor="text1"/>
                <w:sz w:val="24"/>
                <w14:textFill>
                  <w14:solidFill>
                    <w14:schemeClr w14:val="tx1"/>
                  </w14:solidFill>
                </w14:textFill>
              </w:rPr>
              <w:t>各项水质指标平均值均符合《地表水环境质量标准》（GB3838-2002）中</w:t>
            </w:r>
            <w:r>
              <w:rPr>
                <w:color w:val="000000" w:themeColor="text1"/>
                <w:sz w:val="24"/>
                <w14:textFill>
                  <w14:solidFill>
                    <w14:schemeClr w14:val="tx1"/>
                  </w14:solidFill>
                </w14:textFill>
              </w:rPr>
              <w:t>Ⅳ</w:t>
            </w:r>
            <w:r>
              <w:rPr>
                <w:bCs/>
                <w:color w:val="000000" w:themeColor="text1"/>
                <w:sz w:val="24"/>
                <w14:textFill>
                  <w14:solidFill>
                    <w14:schemeClr w14:val="tx1"/>
                  </w14:solidFill>
                </w14:textFill>
              </w:rPr>
              <w:t>类水质标准，本项目涉及峡河为东洲河支流，</w:t>
            </w:r>
            <w:r>
              <w:rPr>
                <w:color w:val="000000" w:themeColor="text1"/>
                <w:sz w:val="24"/>
                <w14:textFill>
                  <w14:solidFill>
                    <w14:schemeClr w14:val="tx1"/>
                  </w14:solidFill>
                </w14:textFill>
              </w:rPr>
              <w:t>因此其水质不低于东洲河水质标准，因此</w:t>
            </w:r>
            <w:r>
              <w:rPr>
                <w:bCs/>
                <w:color w:val="000000" w:themeColor="text1"/>
                <w:sz w:val="24"/>
                <w14:textFill>
                  <w14:solidFill>
                    <w14:schemeClr w14:val="tx1"/>
                  </w14:solidFill>
                </w14:textFill>
              </w:rPr>
              <w:t>项目所在地地表水环境质量良好。</w:t>
            </w:r>
          </w:p>
          <w:p w14:paraId="23B194E2">
            <w:pPr>
              <w:widowControl/>
              <w:spacing w:line="360" w:lineRule="auto"/>
              <w:jc w:val="left"/>
              <w:rPr>
                <w:b/>
                <w:color w:val="000000" w:themeColor="text1"/>
                <w:kern w:val="0"/>
                <w:sz w:val="24"/>
                <w:lang w:bidi="ar"/>
                <w14:textFill>
                  <w14:solidFill>
                    <w14:schemeClr w14:val="tx1"/>
                  </w14:solidFill>
                </w14:textFill>
              </w:rPr>
            </w:pPr>
            <w:r>
              <w:rPr>
                <w:b/>
                <w:color w:val="000000" w:themeColor="text1"/>
                <w:kern w:val="0"/>
                <w:sz w:val="24"/>
                <w:lang w:bidi="ar"/>
                <w14:textFill>
                  <w14:solidFill>
                    <w14:schemeClr w14:val="tx1"/>
                  </w14:solidFill>
                </w14:textFill>
              </w:rPr>
              <w:t>3、声环境质量现状</w:t>
            </w:r>
          </w:p>
          <w:p w14:paraId="2BB14A09">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本次评价委托辽宁创宁生态环境科技有限公司于2026年8月10日进行声环境质量检测，监测点位为峡河村、峡河乡九年一贯制学校，监测频次为1天，昼夜各一次，监测点位图见附图6，监测结果见下表。</w:t>
            </w:r>
          </w:p>
          <w:p w14:paraId="58F747C6">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表3-3 噪声环境质量监测结果</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1757"/>
              <w:gridCol w:w="2187"/>
              <w:gridCol w:w="1521"/>
              <w:gridCol w:w="1418"/>
            </w:tblGrid>
            <w:tr w14:paraId="417BB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vMerge w:val="restart"/>
                  <w:tcBorders>
                    <w:tl2br w:val="nil"/>
                    <w:tr2bl w:val="nil"/>
                  </w:tcBorders>
                  <w:vAlign w:val="center"/>
                </w:tcPr>
                <w:p w14:paraId="345B6A6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采样时间</w:t>
                  </w:r>
                </w:p>
              </w:tc>
              <w:tc>
                <w:tcPr>
                  <w:tcW w:w="1093" w:type="pct"/>
                  <w:vMerge w:val="restart"/>
                  <w:tcBorders>
                    <w:tl2br w:val="nil"/>
                    <w:tr2bl w:val="nil"/>
                  </w:tcBorders>
                  <w:vAlign w:val="center"/>
                </w:tcPr>
                <w:p w14:paraId="302549D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测点名称</w:t>
                  </w:r>
                </w:p>
              </w:tc>
              <w:tc>
                <w:tcPr>
                  <w:tcW w:w="1360" w:type="pct"/>
                  <w:vMerge w:val="restart"/>
                  <w:tcBorders>
                    <w:tl2br w:val="nil"/>
                    <w:tr2bl w:val="nil"/>
                  </w:tcBorders>
                  <w:vAlign w:val="center"/>
                </w:tcPr>
                <w:p w14:paraId="7FD9127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监测位置</w:t>
                  </w:r>
                </w:p>
              </w:tc>
              <w:tc>
                <w:tcPr>
                  <w:tcW w:w="1828" w:type="pct"/>
                  <w:gridSpan w:val="2"/>
                  <w:tcBorders>
                    <w:tl2br w:val="nil"/>
                    <w:tr2bl w:val="nil"/>
                  </w:tcBorders>
                  <w:vAlign w:val="center"/>
                </w:tcPr>
                <w:p w14:paraId="19F7D96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检测结果Leq （dB（A））</w:t>
                  </w:r>
                </w:p>
              </w:tc>
            </w:tr>
            <w:tr w14:paraId="09758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vMerge w:val="continue"/>
                  <w:tcBorders>
                    <w:tl2br w:val="nil"/>
                    <w:tr2bl w:val="nil"/>
                  </w:tcBorders>
                  <w:vAlign w:val="center"/>
                </w:tcPr>
                <w:p w14:paraId="650765FA">
                  <w:pPr>
                    <w:jc w:val="center"/>
                    <w:rPr>
                      <w:color w:val="000000" w:themeColor="text1"/>
                      <w:szCs w:val="21"/>
                      <w14:textFill>
                        <w14:solidFill>
                          <w14:schemeClr w14:val="tx1"/>
                        </w14:solidFill>
                      </w14:textFill>
                    </w:rPr>
                  </w:pPr>
                </w:p>
              </w:tc>
              <w:tc>
                <w:tcPr>
                  <w:tcW w:w="1093" w:type="pct"/>
                  <w:vMerge w:val="continue"/>
                  <w:tcBorders>
                    <w:tl2br w:val="nil"/>
                    <w:tr2bl w:val="nil"/>
                  </w:tcBorders>
                  <w:vAlign w:val="center"/>
                </w:tcPr>
                <w:p w14:paraId="2024D551">
                  <w:pPr>
                    <w:jc w:val="center"/>
                    <w:rPr>
                      <w:color w:val="000000" w:themeColor="text1"/>
                      <w:szCs w:val="21"/>
                      <w14:textFill>
                        <w14:solidFill>
                          <w14:schemeClr w14:val="tx1"/>
                        </w14:solidFill>
                      </w14:textFill>
                    </w:rPr>
                  </w:pPr>
                </w:p>
              </w:tc>
              <w:tc>
                <w:tcPr>
                  <w:tcW w:w="1360" w:type="pct"/>
                  <w:vMerge w:val="continue"/>
                  <w:tcBorders>
                    <w:tl2br w:val="nil"/>
                    <w:tr2bl w:val="nil"/>
                  </w:tcBorders>
                  <w:vAlign w:val="center"/>
                </w:tcPr>
                <w:p w14:paraId="69594DEB">
                  <w:pPr>
                    <w:jc w:val="center"/>
                    <w:rPr>
                      <w:color w:val="000000" w:themeColor="text1"/>
                      <w:szCs w:val="21"/>
                      <w14:textFill>
                        <w14:solidFill>
                          <w14:schemeClr w14:val="tx1"/>
                        </w14:solidFill>
                      </w14:textFill>
                    </w:rPr>
                  </w:pPr>
                </w:p>
              </w:tc>
              <w:tc>
                <w:tcPr>
                  <w:tcW w:w="946" w:type="pct"/>
                  <w:tcBorders>
                    <w:tl2br w:val="nil"/>
                    <w:tr2bl w:val="nil"/>
                  </w:tcBorders>
                  <w:vAlign w:val="center"/>
                </w:tcPr>
                <w:p w14:paraId="0EB0FD8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882" w:type="pct"/>
                  <w:tcBorders>
                    <w:tl2br w:val="nil"/>
                    <w:tr2bl w:val="nil"/>
                  </w:tcBorders>
                  <w:vAlign w:val="center"/>
                </w:tcPr>
                <w:p w14:paraId="489CD95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r>
            <w:tr w14:paraId="57B44F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tcBorders>
                    <w:tl2br w:val="nil"/>
                    <w:tr2bl w:val="nil"/>
                  </w:tcBorders>
                  <w:vAlign w:val="center"/>
                </w:tcPr>
                <w:p w14:paraId="04D21C6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8月10日</w:t>
                  </w:r>
                </w:p>
              </w:tc>
              <w:tc>
                <w:tcPr>
                  <w:tcW w:w="1093" w:type="pct"/>
                  <w:tcBorders>
                    <w:tl2br w:val="nil"/>
                    <w:tr2bl w:val="nil"/>
                  </w:tcBorders>
                  <w:vAlign w:val="center"/>
                </w:tcPr>
                <w:p w14:paraId="52C0E39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峡河村（N1）</w:t>
                  </w:r>
                </w:p>
              </w:tc>
              <w:tc>
                <w:tcPr>
                  <w:tcW w:w="1360" w:type="pct"/>
                  <w:tcBorders>
                    <w:tl2br w:val="nil"/>
                    <w:tr2bl w:val="nil"/>
                  </w:tcBorders>
                  <w:vAlign w:val="center"/>
                </w:tcPr>
                <w:p w14:paraId="6C6C060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厂界东侧</w:t>
                  </w:r>
                </w:p>
              </w:tc>
              <w:tc>
                <w:tcPr>
                  <w:tcW w:w="946" w:type="pct"/>
                  <w:tcBorders>
                    <w:tl2br w:val="nil"/>
                    <w:tr2bl w:val="nil"/>
                  </w:tcBorders>
                  <w:vAlign w:val="center"/>
                </w:tcPr>
                <w:p w14:paraId="746AF30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w:t>
                  </w:r>
                </w:p>
              </w:tc>
              <w:tc>
                <w:tcPr>
                  <w:tcW w:w="882" w:type="pct"/>
                  <w:tcBorders>
                    <w:tl2br w:val="nil"/>
                    <w:tr2bl w:val="nil"/>
                  </w:tcBorders>
                  <w:vAlign w:val="center"/>
                </w:tcPr>
                <w:p w14:paraId="3CC4D73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r>
            <w:tr w14:paraId="17BCA1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tcBorders>
                    <w:tl2br w:val="nil"/>
                    <w:tr2bl w:val="nil"/>
                  </w:tcBorders>
                  <w:vAlign w:val="center"/>
                </w:tcPr>
                <w:p w14:paraId="1CDA66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8月10日</w:t>
                  </w:r>
                </w:p>
              </w:tc>
              <w:tc>
                <w:tcPr>
                  <w:tcW w:w="1093" w:type="pct"/>
                  <w:tcBorders>
                    <w:tl2br w:val="nil"/>
                    <w:tr2bl w:val="nil"/>
                  </w:tcBorders>
                  <w:vAlign w:val="center"/>
                </w:tcPr>
                <w:p w14:paraId="5413B1D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九年一贯制学校（N2）</w:t>
                  </w:r>
                </w:p>
              </w:tc>
              <w:tc>
                <w:tcPr>
                  <w:tcW w:w="1360" w:type="pct"/>
                  <w:tcBorders>
                    <w:tl2br w:val="nil"/>
                    <w:tr2bl w:val="nil"/>
                  </w:tcBorders>
                  <w:vAlign w:val="center"/>
                </w:tcPr>
                <w:p w14:paraId="50EE6F7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厂界南侧</w:t>
                  </w:r>
                </w:p>
              </w:tc>
              <w:tc>
                <w:tcPr>
                  <w:tcW w:w="946" w:type="pct"/>
                  <w:tcBorders>
                    <w:tl2br w:val="nil"/>
                    <w:tr2bl w:val="nil"/>
                  </w:tcBorders>
                  <w:vAlign w:val="center"/>
                </w:tcPr>
                <w:p w14:paraId="63DBEF7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w:t>
                  </w:r>
                </w:p>
              </w:tc>
              <w:tc>
                <w:tcPr>
                  <w:tcW w:w="882" w:type="pct"/>
                  <w:tcBorders>
                    <w:tl2br w:val="nil"/>
                    <w:tr2bl w:val="nil"/>
                  </w:tcBorders>
                  <w:vAlign w:val="center"/>
                </w:tcPr>
                <w:p w14:paraId="7196DF3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38</w:t>
                  </w:r>
                </w:p>
              </w:tc>
            </w:tr>
            <w:tr w14:paraId="15B3BD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tcBorders>
                    <w:tl2br w:val="nil"/>
                    <w:tr2bl w:val="nil"/>
                  </w:tcBorders>
                  <w:shd w:val="clear" w:color="auto" w:fill="auto"/>
                  <w:vAlign w:val="center"/>
                </w:tcPr>
                <w:p w14:paraId="274BF1D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8月10日</w:t>
                  </w:r>
                </w:p>
              </w:tc>
              <w:tc>
                <w:tcPr>
                  <w:tcW w:w="1093" w:type="pct"/>
                  <w:tcBorders>
                    <w:tl2br w:val="nil"/>
                    <w:tr2bl w:val="nil"/>
                  </w:tcBorders>
                  <w:shd w:val="clear" w:color="auto" w:fill="auto"/>
                  <w:vAlign w:val="center"/>
                </w:tcPr>
                <w:p w14:paraId="56F946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峡河村（N3）</w:t>
                  </w:r>
                </w:p>
              </w:tc>
              <w:tc>
                <w:tcPr>
                  <w:tcW w:w="1360" w:type="pct"/>
                  <w:tcBorders>
                    <w:tl2br w:val="nil"/>
                    <w:tr2bl w:val="nil"/>
                  </w:tcBorders>
                  <w:shd w:val="clear" w:color="auto" w:fill="auto"/>
                  <w:vAlign w:val="center"/>
                </w:tcPr>
                <w:p w14:paraId="390A0C9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厂界西侧</w:t>
                  </w:r>
                </w:p>
              </w:tc>
              <w:tc>
                <w:tcPr>
                  <w:tcW w:w="946" w:type="pct"/>
                  <w:tcBorders>
                    <w:tl2br w:val="nil"/>
                    <w:tr2bl w:val="nil"/>
                  </w:tcBorders>
                  <w:shd w:val="clear" w:color="auto" w:fill="auto"/>
                  <w:vAlign w:val="center"/>
                </w:tcPr>
                <w:p w14:paraId="0DCEAB4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48</w:t>
                  </w:r>
                </w:p>
              </w:tc>
              <w:tc>
                <w:tcPr>
                  <w:tcW w:w="882" w:type="pct"/>
                  <w:tcBorders>
                    <w:tl2br w:val="nil"/>
                    <w:tr2bl w:val="nil"/>
                  </w:tcBorders>
                  <w:vAlign w:val="center"/>
                </w:tcPr>
                <w:p w14:paraId="73BB275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r>
            <w:tr w14:paraId="4CCA3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 w:type="pct"/>
                  <w:tcBorders>
                    <w:tl2br w:val="nil"/>
                    <w:tr2bl w:val="nil"/>
                  </w:tcBorders>
                  <w:shd w:val="clear" w:color="auto" w:fill="auto"/>
                  <w:vAlign w:val="center"/>
                </w:tcPr>
                <w:p w14:paraId="472D2D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8月10日</w:t>
                  </w:r>
                </w:p>
              </w:tc>
              <w:tc>
                <w:tcPr>
                  <w:tcW w:w="1093" w:type="pct"/>
                  <w:tcBorders>
                    <w:tl2br w:val="nil"/>
                    <w:tr2bl w:val="nil"/>
                  </w:tcBorders>
                  <w:shd w:val="clear" w:color="auto" w:fill="auto"/>
                  <w:vAlign w:val="center"/>
                </w:tcPr>
                <w:p w14:paraId="5B23E48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峡河村（N4）</w:t>
                  </w:r>
                </w:p>
              </w:tc>
              <w:tc>
                <w:tcPr>
                  <w:tcW w:w="1360" w:type="pct"/>
                  <w:tcBorders>
                    <w:tl2br w:val="nil"/>
                    <w:tr2bl w:val="nil"/>
                  </w:tcBorders>
                  <w:shd w:val="clear" w:color="auto" w:fill="auto"/>
                  <w:vAlign w:val="center"/>
                </w:tcPr>
                <w:p w14:paraId="5D9A687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厂界北侧</w:t>
                  </w:r>
                </w:p>
              </w:tc>
              <w:tc>
                <w:tcPr>
                  <w:tcW w:w="946" w:type="pct"/>
                  <w:tcBorders>
                    <w:tl2br w:val="nil"/>
                    <w:tr2bl w:val="nil"/>
                  </w:tcBorders>
                  <w:shd w:val="clear" w:color="auto" w:fill="auto"/>
                  <w:vAlign w:val="center"/>
                </w:tcPr>
                <w:p w14:paraId="33C44C4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46</w:t>
                  </w:r>
                </w:p>
              </w:tc>
              <w:tc>
                <w:tcPr>
                  <w:tcW w:w="882" w:type="pct"/>
                  <w:tcBorders>
                    <w:tl2br w:val="nil"/>
                    <w:tr2bl w:val="nil"/>
                  </w:tcBorders>
                  <w:shd w:val="clear" w:color="auto" w:fill="auto"/>
                  <w:vAlign w:val="center"/>
                </w:tcPr>
                <w:p w14:paraId="4B83D48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r>
          </w:tbl>
          <w:p w14:paraId="3AE4CBFD">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根据监测结果可知，监测点位现状噪声满足《声环境质量标准》（GB3096-2008）1类标准（昼间≤55</w:t>
            </w:r>
            <w:r>
              <w:rPr>
                <w:color w:val="000000" w:themeColor="text1"/>
                <w:sz w:val="21"/>
                <w:szCs w:val="21"/>
                <w14:textFill>
                  <w14:solidFill>
                    <w14:schemeClr w14:val="tx1"/>
                  </w14:solidFill>
                </w14:textFill>
              </w:rPr>
              <w:t>dB（A），</w:t>
            </w:r>
            <w:r>
              <w:rPr>
                <w:color w:val="000000" w:themeColor="text1"/>
                <w:szCs w:val="24"/>
                <w:lang w:val="en-US"/>
                <w14:textFill>
                  <w14:solidFill>
                    <w14:schemeClr w14:val="tx1"/>
                  </w14:solidFill>
                </w14:textFill>
              </w:rPr>
              <w:t>夜间≤45</w:t>
            </w:r>
            <w:r>
              <w:rPr>
                <w:color w:val="000000" w:themeColor="text1"/>
                <w:szCs w:val="24"/>
                <w14:textFill>
                  <w14:solidFill>
                    <w14:schemeClr w14:val="tx1"/>
                  </w14:solidFill>
                </w14:textFill>
              </w:rPr>
              <w:t>dB（A）</w:t>
            </w:r>
            <w:r>
              <w:rPr>
                <w:color w:val="000000" w:themeColor="text1"/>
                <w:lang w:val="en-US"/>
                <w14:textFill>
                  <w14:solidFill>
                    <w14:schemeClr w14:val="tx1"/>
                  </w14:solidFill>
                </w14:textFill>
              </w:rPr>
              <w:t>）。</w:t>
            </w:r>
          </w:p>
          <w:p w14:paraId="4365CC02">
            <w:pPr>
              <w:widowControl/>
              <w:spacing w:line="360" w:lineRule="auto"/>
              <w:jc w:val="left"/>
              <w:rPr>
                <w:b/>
                <w:color w:val="000000" w:themeColor="text1"/>
                <w:kern w:val="0"/>
                <w:sz w:val="24"/>
                <w:lang w:bidi="ar"/>
                <w14:textFill>
                  <w14:solidFill>
                    <w14:schemeClr w14:val="tx1"/>
                  </w14:solidFill>
                </w14:textFill>
              </w:rPr>
            </w:pPr>
            <w:r>
              <w:rPr>
                <w:b/>
                <w:color w:val="000000" w:themeColor="text1"/>
                <w:kern w:val="0"/>
                <w:sz w:val="24"/>
                <w:lang w:bidi="ar"/>
                <w14:textFill>
                  <w14:solidFill>
                    <w14:schemeClr w14:val="tx1"/>
                  </w14:solidFill>
                </w14:textFill>
              </w:rPr>
              <w:t xml:space="preserve">4、地下水、土壤环境质量现状 </w:t>
            </w:r>
          </w:p>
          <w:p w14:paraId="748161B2">
            <w:pPr>
              <w:pStyle w:val="126"/>
              <w:ind w:firstLine="480"/>
              <w:rPr>
                <w:b w:val="0"/>
                <w:bCs w:val="0"/>
                <w:color w:val="000000" w:themeColor="text1"/>
                <w:sz w:val="24"/>
                <w14:textFill>
                  <w14:solidFill>
                    <w14:schemeClr w14:val="tx1"/>
                  </w14:solidFill>
                </w14:textFill>
              </w:rPr>
            </w:pPr>
            <w:r>
              <w:rPr>
                <w:b w:val="0"/>
                <w:bCs w:val="0"/>
                <w:color w:val="000000" w:themeColor="text1"/>
                <w:sz w:val="24"/>
                <w14:textFill>
                  <w14:solidFill>
                    <w14:schemeClr w14:val="tx1"/>
                  </w14:solidFill>
                </w14:textFill>
              </w:rPr>
              <w:t>本项目危废贮存点进行重点防渗，锅炉房、燃料贮存库、一般固废间、生产车间进行一般防渗，其他区域进行简单防渗，企业采取符合要求的分区防渗措施后，不存在土壤、地下水环境污染途径，因此不开展地下水、土壤环境现状调查。</w:t>
            </w:r>
          </w:p>
          <w:p w14:paraId="4AAB3EA5">
            <w:pPr>
              <w:widowControl/>
              <w:spacing w:line="360" w:lineRule="auto"/>
              <w:jc w:val="left"/>
              <w:rPr>
                <w:b/>
                <w:color w:val="000000" w:themeColor="text1"/>
                <w:kern w:val="0"/>
                <w:sz w:val="24"/>
                <w:lang w:bidi="ar"/>
                <w14:textFill>
                  <w14:solidFill>
                    <w14:schemeClr w14:val="tx1"/>
                  </w14:solidFill>
                </w14:textFill>
              </w:rPr>
            </w:pPr>
            <w:r>
              <w:rPr>
                <w:b/>
                <w:color w:val="000000" w:themeColor="text1"/>
                <w:kern w:val="0"/>
                <w:sz w:val="24"/>
                <w:lang w:bidi="ar"/>
                <w14:textFill>
                  <w14:solidFill>
                    <w14:schemeClr w14:val="tx1"/>
                  </w14:solidFill>
                </w14:textFill>
              </w:rPr>
              <w:t>5、生态环境</w:t>
            </w:r>
          </w:p>
          <w:p w14:paraId="78024F51">
            <w:pPr>
              <w:pStyle w:val="126"/>
              <w:ind w:firstLine="480"/>
              <w:rPr>
                <w:color w:val="000000" w:themeColor="text1"/>
                <w:sz w:val="24"/>
                <w14:textFill>
                  <w14:solidFill>
                    <w14:schemeClr w14:val="tx1"/>
                  </w14:solidFill>
                </w14:textFill>
              </w:rPr>
            </w:pPr>
            <w:r>
              <w:rPr>
                <w:b w:val="0"/>
                <w:bCs w:val="0"/>
                <w:color w:val="000000" w:themeColor="text1"/>
                <w:sz w:val="24"/>
                <w14:textFill>
                  <w14:solidFill>
                    <w14:schemeClr w14:val="tx1"/>
                  </w14:solidFill>
                </w14:textFill>
              </w:rPr>
              <w:t>本项目用地范围内无生态环境保护目标，无需开展生态现状调查。</w:t>
            </w:r>
          </w:p>
        </w:tc>
      </w:tr>
      <w:tr w14:paraId="114C91D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806" w:type="dxa"/>
            <w:vAlign w:val="center"/>
          </w:tcPr>
          <w:p w14:paraId="461391CA">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环境</w:t>
            </w:r>
          </w:p>
          <w:p w14:paraId="2B10306E">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保护</w:t>
            </w:r>
          </w:p>
          <w:p w14:paraId="2C086FAE">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目标</w:t>
            </w:r>
          </w:p>
        </w:tc>
        <w:tc>
          <w:tcPr>
            <w:tcW w:w="8255" w:type="dxa"/>
            <w:vAlign w:val="center"/>
          </w:tcPr>
          <w:p w14:paraId="679E0FF7">
            <w:pPr>
              <w:pStyle w:val="126"/>
              <w:ind w:firstLine="480"/>
              <w:rPr>
                <w:b w:val="0"/>
                <w:color w:val="000000" w:themeColor="text1"/>
                <w:kern w:val="0"/>
                <w:sz w:val="24"/>
                <w:lang w:bidi="ar"/>
                <w14:textFill>
                  <w14:solidFill>
                    <w14:schemeClr w14:val="tx1"/>
                  </w14:solidFill>
                </w14:textFill>
              </w:rPr>
            </w:pPr>
            <w:r>
              <w:rPr>
                <w:b w:val="0"/>
                <w:bCs w:val="0"/>
                <w:color w:val="000000" w:themeColor="text1"/>
                <w:sz w:val="24"/>
                <w14:textFill>
                  <w14:solidFill>
                    <w14:schemeClr w14:val="tx1"/>
                  </w14:solidFill>
                </w14:textFill>
              </w:rPr>
              <w:t>根据《建设项目环境影响报告表编制指南（污染影响类）试行》中对环境保护目标的要求，本项目具体保护目标如下：</w:t>
            </w:r>
          </w:p>
          <w:p w14:paraId="27726A4B">
            <w:pPr>
              <w:widowControl/>
              <w:spacing w:line="360" w:lineRule="auto"/>
              <w:jc w:val="left"/>
              <w:rPr>
                <w:color w:val="000000" w:themeColor="text1"/>
                <w:sz w:val="24"/>
                <w14:textFill>
                  <w14:solidFill>
                    <w14:schemeClr w14:val="tx1"/>
                  </w14:solidFill>
                </w14:textFill>
              </w:rPr>
            </w:pPr>
            <w:r>
              <w:rPr>
                <w:b/>
                <w:color w:val="000000" w:themeColor="text1"/>
                <w:kern w:val="0"/>
                <w:sz w:val="24"/>
                <w:lang w:bidi="ar"/>
                <w14:textFill>
                  <w14:solidFill>
                    <w14:schemeClr w14:val="tx1"/>
                  </w14:solidFill>
                </w14:textFill>
              </w:rPr>
              <w:t>1、大气环境</w:t>
            </w:r>
          </w:p>
          <w:p w14:paraId="6261D5FA">
            <w:pPr>
              <w:pStyle w:val="85"/>
              <w:ind w:firstLine="480"/>
              <w:rPr>
                <w:color w:val="000000" w:themeColor="text1"/>
                <w:lang w:val="en-US"/>
                <w14:textFill>
                  <w14:solidFill>
                    <w14:schemeClr w14:val="tx1"/>
                  </w14:solidFill>
                </w14:textFill>
              </w:rPr>
            </w:pPr>
            <w:r>
              <w:rPr>
                <w:color w:val="000000" w:themeColor="text1"/>
                <w:szCs w:val="24"/>
                <w14:textFill>
                  <w14:solidFill>
                    <w14:schemeClr w14:val="tx1"/>
                  </w14:solidFill>
                </w14:textFill>
              </w:rPr>
              <w:t>根据现场实地踏勘，</w:t>
            </w:r>
            <w:r>
              <w:rPr>
                <w:color w:val="000000" w:themeColor="text1"/>
                <w:lang w:val="en-US"/>
                <w14:textFill>
                  <w14:solidFill>
                    <w14:schemeClr w14:val="tx1"/>
                  </w14:solidFill>
                </w14:textFill>
              </w:rPr>
              <w:t>本项目厂界外500米范围</w:t>
            </w:r>
            <w:r>
              <w:rPr>
                <w:color w:val="000000" w:themeColor="text1"/>
                <w14:textFill>
                  <w14:solidFill>
                    <w14:schemeClr w14:val="tx1"/>
                  </w14:solidFill>
                </w14:textFill>
              </w:rPr>
              <w:t>内无自然保护区、风景名胜区等环境保护目标，</w:t>
            </w:r>
            <w:r>
              <w:rPr>
                <w:color w:val="000000" w:themeColor="text1"/>
                <w:lang w:val="en-US"/>
                <w14:textFill>
                  <w14:solidFill>
                    <w14:schemeClr w14:val="tx1"/>
                  </w14:solidFill>
                </w14:textFill>
              </w:rPr>
              <w:t>主要保护目标为居民区、学校、医疗机构、政府机构等，具体情况见下表和附图3。</w:t>
            </w:r>
          </w:p>
          <w:p w14:paraId="3BEFB33D">
            <w:pPr>
              <w:widowControl/>
              <w:spacing w:line="360" w:lineRule="auto"/>
              <w:jc w:val="left"/>
              <w:rPr>
                <w:b/>
                <w:color w:val="000000" w:themeColor="text1"/>
                <w:kern w:val="0"/>
                <w:sz w:val="24"/>
                <w:lang w:bidi="ar"/>
                <w14:textFill>
                  <w14:solidFill>
                    <w14:schemeClr w14:val="tx1"/>
                  </w14:solidFill>
                </w14:textFill>
              </w:rPr>
            </w:pPr>
            <w:r>
              <w:rPr>
                <w:b/>
                <w:color w:val="000000" w:themeColor="text1"/>
                <w:kern w:val="0"/>
                <w:sz w:val="24"/>
                <w:lang w:bidi="ar"/>
                <w14:textFill>
                  <w14:solidFill>
                    <w14:schemeClr w14:val="tx1"/>
                  </w14:solidFill>
                </w14:textFill>
              </w:rPr>
              <w:t>2、声环境</w:t>
            </w:r>
          </w:p>
          <w:p w14:paraId="59B47BBB">
            <w:pPr>
              <w:spacing w:line="360" w:lineRule="auto"/>
              <w:ind w:firstLine="480" w:firstLineChars="200"/>
              <w:rPr>
                <w:color w:val="000000" w:themeColor="text1"/>
                <w14:textFill>
                  <w14:solidFill>
                    <w14:schemeClr w14:val="tx1"/>
                  </w14:solidFill>
                </w14:textFill>
              </w:rPr>
            </w:pPr>
            <w:r>
              <w:rPr>
                <w:color w:val="000000" w:themeColor="text1"/>
                <w:sz w:val="24"/>
                <w:szCs w:val="32"/>
                <w14:textFill>
                  <w14:solidFill>
                    <w14:schemeClr w14:val="tx1"/>
                  </w14:solidFill>
                </w14:textFill>
              </w:rPr>
              <w:t>本项目厂界外50米范围内声环境保护目标主要为南侧峡河乡九年一贯制学校；东、西、北侧峡河村居民区，具体情况见表3-4和附图2。</w:t>
            </w:r>
          </w:p>
          <w:p w14:paraId="6F0847E3">
            <w:pPr>
              <w:widowControl/>
              <w:spacing w:line="360" w:lineRule="auto"/>
              <w:jc w:val="left"/>
              <w:rPr>
                <w:b/>
                <w:color w:val="000000" w:themeColor="text1"/>
                <w:kern w:val="0"/>
                <w:sz w:val="24"/>
                <w:lang w:bidi="ar"/>
                <w14:textFill>
                  <w14:solidFill>
                    <w14:schemeClr w14:val="tx1"/>
                  </w14:solidFill>
                </w14:textFill>
              </w:rPr>
            </w:pPr>
            <w:r>
              <w:rPr>
                <w:b/>
                <w:color w:val="000000" w:themeColor="text1"/>
                <w:kern w:val="0"/>
                <w:sz w:val="24"/>
                <w:lang w:bidi="ar"/>
                <w14:textFill>
                  <w14:solidFill>
                    <w14:schemeClr w14:val="tx1"/>
                  </w14:solidFill>
                </w14:textFill>
              </w:rPr>
              <w:t>3、地下水环境</w:t>
            </w:r>
          </w:p>
          <w:p w14:paraId="5E273977">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本项目厂界外500米范围内无地下水集中式饮用水水源和热水、矿泉水、温泉等特殊地下水资源</w:t>
            </w:r>
            <w:r>
              <w:rPr>
                <w:color w:val="000000" w:themeColor="text1"/>
                <w14:textFill>
                  <w14:solidFill>
                    <w14:schemeClr w14:val="tx1"/>
                  </w14:solidFill>
                </w14:textFill>
              </w:rPr>
              <w:t>，无地下水环境保护目标</w:t>
            </w:r>
            <w:r>
              <w:rPr>
                <w:color w:val="000000" w:themeColor="text1"/>
                <w:lang w:val="en-US"/>
                <w14:textFill>
                  <w14:solidFill>
                    <w14:schemeClr w14:val="tx1"/>
                  </w14:solidFill>
                </w14:textFill>
              </w:rPr>
              <w:t>。</w:t>
            </w:r>
          </w:p>
          <w:p w14:paraId="660C0C29">
            <w:pPr>
              <w:pStyle w:val="85"/>
              <w:ind w:firstLine="0" w:firstLineChars="0"/>
              <w:rPr>
                <w:b/>
                <w:bCs/>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4、生态环境</w:t>
            </w:r>
          </w:p>
          <w:p w14:paraId="076728FA">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本项目用地性质为工业用地，项目周边主要为居民区，外环境关系简单，无生态环境保护目标。</w:t>
            </w:r>
          </w:p>
          <w:p w14:paraId="349C31AF">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综上，本项目周边环境保护目标汇总情况见下表。</w:t>
            </w:r>
          </w:p>
          <w:p w14:paraId="10A3EB40">
            <w:pPr>
              <w:keepNext/>
              <w:widowControl/>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3-4  主要环境保护目标</w:t>
            </w:r>
          </w:p>
          <w:tbl>
            <w:tblPr>
              <w:tblStyle w:val="3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02"/>
              <w:gridCol w:w="937"/>
              <w:gridCol w:w="1078"/>
              <w:gridCol w:w="981"/>
              <w:gridCol w:w="1055"/>
              <w:gridCol w:w="686"/>
              <w:gridCol w:w="686"/>
              <w:gridCol w:w="539"/>
              <w:gridCol w:w="729"/>
              <w:gridCol w:w="640"/>
            </w:tblGrid>
            <w:tr w14:paraId="53C09D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restart"/>
                  <w:tcBorders>
                    <w:tl2br w:val="nil"/>
                    <w:tr2bl w:val="nil"/>
                  </w:tcBorders>
                  <w:vAlign w:val="center"/>
                </w:tcPr>
                <w:p w14:paraId="1CAC79E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环境保护要素</w:t>
                  </w:r>
                </w:p>
              </w:tc>
              <w:tc>
                <w:tcPr>
                  <w:tcW w:w="583" w:type="pct"/>
                  <w:vMerge w:val="restart"/>
                  <w:tcBorders>
                    <w:tl2br w:val="nil"/>
                    <w:tr2bl w:val="nil"/>
                  </w:tcBorders>
                  <w:vAlign w:val="center"/>
                </w:tcPr>
                <w:p w14:paraId="5B3953E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保护目标</w:t>
                  </w:r>
                </w:p>
              </w:tc>
              <w:tc>
                <w:tcPr>
                  <w:tcW w:w="1280" w:type="pct"/>
                  <w:gridSpan w:val="2"/>
                  <w:tcBorders>
                    <w:tl2br w:val="nil"/>
                    <w:tr2bl w:val="nil"/>
                  </w:tcBorders>
                  <w:vAlign w:val="center"/>
                </w:tcPr>
                <w:p w14:paraId="66AB56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坐标/°</w:t>
                  </w:r>
                </w:p>
              </w:tc>
              <w:tc>
                <w:tcPr>
                  <w:tcW w:w="656" w:type="pct"/>
                  <w:vMerge w:val="restart"/>
                  <w:tcBorders>
                    <w:tl2br w:val="nil"/>
                    <w:tr2bl w:val="nil"/>
                  </w:tcBorders>
                  <w:vAlign w:val="center"/>
                </w:tcPr>
                <w:p w14:paraId="4AEFAB3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保护</w:t>
                  </w:r>
                </w:p>
                <w:p w14:paraId="2B36A91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对象</w:t>
                  </w:r>
                </w:p>
              </w:tc>
              <w:tc>
                <w:tcPr>
                  <w:tcW w:w="426" w:type="pct"/>
                  <w:vMerge w:val="restart"/>
                  <w:tcBorders>
                    <w:tl2br w:val="nil"/>
                    <w:tr2bl w:val="nil"/>
                  </w:tcBorders>
                  <w:vAlign w:val="center"/>
                </w:tcPr>
                <w:p w14:paraId="252D65E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户数（户）</w:t>
                  </w:r>
                </w:p>
              </w:tc>
              <w:tc>
                <w:tcPr>
                  <w:tcW w:w="426" w:type="pct"/>
                  <w:vMerge w:val="restart"/>
                  <w:tcBorders>
                    <w:tl2br w:val="nil"/>
                    <w:tr2bl w:val="nil"/>
                  </w:tcBorders>
                  <w:vAlign w:val="center"/>
                </w:tcPr>
                <w:p w14:paraId="6A77F79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人数（人）</w:t>
                  </w:r>
                </w:p>
              </w:tc>
              <w:tc>
                <w:tcPr>
                  <w:tcW w:w="335" w:type="pct"/>
                  <w:vMerge w:val="restart"/>
                  <w:tcBorders>
                    <w:tl2br w:val="nil"/>
                    <w:tr2bl w:val="nil"/>
                  </w:tcBorders>
                  <w:vAlign w:val="center"/>
                </w:tcPr>
                <w:p w14:paraId="5CA4DBF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环境功能区</w:t>
                  </w:r>
                </w:p>
              </w:tc>
              <w:tc>
                <w:tcPr>
                  <w:tcW w:w="453" w:type="pct"/>
                  <w:vMerge w:val="restart"/>
                  <w:tcBorders>
                    <w:tl2br w:val="nil"/>
                    <w:tr2bl w:val="nil"/>
                  </w:tcBorders>
                  <w:vAlign w:val="center"/>
                </w:tcPr>
                <w:p w14:paraId="2EC9F0E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与厂址相对位置</w:t>
                  </w:r>
                </w:p>
              </w:tc>
              <w:tc>
                <w:tcPr>
                  <w:tcW w:w="398" w:type="pct"/>
                  <w:vMerge w:val="restart"/>
                  <w:tcBorders>
                    <w:tl2br w:val="nil"/>
                    <w:tr2bl w:val="nil"/>
                  </w:tcBorders>
                  <w:vAlign w:val="center"/>
                </w:tcPr>
                <w:p w14:paraId="2F95C51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距离</w:t>
                  </w:r>
                </w:p>
                <w:p w14:paraId="3FB3070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w:t>
                  </w:r>
                </w:p>
              </w:tc>
            </w:tr>
            <w:tr w14:paraId="25FF85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continue"/>
                  <w:tcBorders>
                    <w:tl2br w:val="nil"/>
                    <w:tr2bl w:val="nil"/>
                  </w:tcBorders>
                  <w:vAlign w:val="center"/>
                </w:tcPr>
                <w:p w14:paraId="0844C7C5">
                  <w:pPr>
                    <w:jc w:val="center"/>
                    <w:rPr>
                      <w:color w:val="000000" w:themeColor="text1"/>
                      <w:szCs w:val="21"/>
                      <w14:textFill>
                        <w14:solidFill>
                          <w14:schemeClr w14:val="tx1"/>
                        </w14:solidFill>
                      </w14:textFill>
                    </w:rPr>
                  </w:pPr>
                </w:p>
              </w:tc>
              <w:tc>
                <w:tcPr>
                  <w:tcW w:w="583" w:type="pct"/>
                  <w:vMerge w:val="continue"/>
                  <w:tcBorders>
                    <w:tl2br w:val="nil"/>
                    <w:tr2bl w:val="nil"/>
                  </w:tcBorders>
                  <w:vAlign w:val="center"/>
                </w:tcPr>
                <w:p w14:paraId="54A9E714">
                  <w:pPr>
                    <w:jc w:val="center"/>
                    <w:rPr>
                      <w:color w:val="000000" w:themeColor="text1"/>
                      <w:szCs w:val="21"/>
                      <w14:textFill>
                        <w14:solidFill>
                          <w14:schemeClr w14:val="tx1"/>
                        </w14:solidFill>
                      </w14:textFill>
                    </w:rPr>
                  </w:pPr>
                </w:p>
              </w:tc>
              <w:tc>
                <w:tcPr>
                  <w:tcW w:w="670" w:type="pct"/>
                  <w:tcBorders>
                    <w:tl2br w:val="nil"/>
                    <w:tr2bl w:val="nil"/>
                  </w:tcBorders>
                  <w:vAlign w:val="center"/>
                </w:tcPr>
                <w:p w14:paraId="2D599C6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经度</w:t>
                  </w:r>
                </w:p>
              </w:tc>
              <w:tc>
                <w:tcPr>
                  <w:tcW w:w="610" w:type="pct"/>
                  <w:tcBorders>
                    <w:tl2br w:val="nil"/>
                    <w:tr2bl w:val="nil"/>
                  </w:tcBorders>
                  <w:vAlign w:val="center"/>
                </w:tcPr>
                <w:p w14:paraId="3511F70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纬度</w:t>
                  </w:r>
                </w:p>
              </w:tc>
              <w:tc>
                <w:tcPr>
                  <w:tcW w:w="656" w:type="pct"/>
                  <w:vMerge w:val="continue"/>
                  <w:tcBorders>
                    <w:tl2br w:val="nil"/>
                    <w:tr2bl w:val="nil"/>
                  </w:tcBorders>
                  <w:vAlign w:val="center"/>
                </w:tcPr>
                <w:p w14:paraId="6B9A2951">
                  <w:pPr>
                    <w:jc w:val="center"/>
                    <w:rPr>
                      <w:color w:val="000000" w:themeColor="text1"/>
                      <w:szCs w:val="21"/>
                      <w14:textFill>
                        <w14:solidFill>
                          <w14:schemeClr w14:val="tx1"/>
                        </w14:solidFill>
                      </w14:textFill>
                    </w:rPr>
                  </w:pPr>
                </w:p>
              </w:tc>
              <w:tc>
                <w:tcPr>
                  <w:tcW w:w="426" w:type="pct"/>
                  <w:vMerge w:val="continue"/>
                  <w:tcBorders>
                    <w:tl2br w:val="nil"/>
                    <w:tr2bl w:val="nil"/>
                  </w:tcBorders>
                  <w:vAlign w:val="center"/>
                </w:tcPr>
                <w:p w14:paraId="6CAE4EFD">
                  <w:pPr>
                    <w:jc w:val="center"/>
                    <w:rPr>
                      <w:color w:val="000000" w:themeColor="text1"/>
                      <w:szCs w:val="21"/>
                      <w14:textFill>
                        <w14:solidFill>
                          <w14:schemeClr w14:val="tx1"/>
                        </w14:solidFill>
                      </w14:textFill>
                    </w:rPr>
                  </w:pPr>
                </w:p>
              </w:tc>
              <w:tc>
                <w:tcPr>
                  <w:tcW w:w="426" w:type="pct"/>
                  <w:vMerge w:val="continue"/>
                  <w:tcBorders>
                    <w:tl2br w:val="nil"/>
                    <w:tr2bl w:val="nil"/>
                  </w:tcBorders>
                  <w:vAlign w:val="center"/>
                </w:tcPr>
                <w:p w14:paraId="4DE4898A">
                  <w:pPr>
                    <w:jc w:val="center"/>
                    <w:rPr>
                      <w:color w:val="000000" w:themeColor="text1"/>
                      <w:szCs w:val="21"/>
                      <w14:textFill>
                        <w14:solidFill>
                          <w14:schemeClr w14:val="tx1"/>
                        </w14:solidFill>
                      </w14:textFill>
                    </w:rPr>
                  </w:pPr>
                </w:p>
              </w:tc>
              <w:tc>
                <w:tcPr>
                  <w:tcW w:w="335" w:type="pct"/>
                  <w:vMerge w:val="continue"/>
                  <w:tcBorders>
                    <w:tl2br w:val="nil"/>
                    <w:tr2bl w:val="nil"/>
                  </w:tcBorders>
                  <w:vAlign w:val="center"/>
                </w:tcPr>
                <w:p w14:paraId="49D6B915">
                  <w:pPr>
                    <w:jc w:val="center"/>
                    <w:rPr>
                      <w:color w:val="000000" w:themeColor="text1"/>
                      <w:szCs w:val="21"/>
                      <w14:textFill>
                        <w14:solidFill>
                          <w14:schemeClr w14:val="tx1"/>
                        </w14:solidFill>
                      </w14:textFill>
                    </w:rPr>
                  </w:pPr>
                </w:p>
              </w:tc>
              <w:tc>
                <w:tcPr>
                  <w:tcW w:w="453" w:type="pct"/>
                  <w:vMerge w:val="continue"/>
                  <w:tcBorders>
                    <w:tl2br w:val="nil"/>
                    <w:tr2bl w:val="nil"/>
                  </w:tcBorders>
                  <w:vAlign w:val="center"/>
                </w:tcPr>
                <w:p w14:paraId="53D9815B">
                  <w:pPr>
                    <w:jc w:val="center"/>
                    <w:rPr>
                      <w:color w:val="000000" w:themeColor="text1"/>
                      <w:szCs w:val="21"/>
                      <w14:textFill>
                        <w14:solidFill>
                          <w14:schemeClr w14:val="tx1"/>
                        </w14:solidFill>
                      </w14:textFill>
                    </w:rPr>
                  </w:pPr>
                </w:p>
              </w:tc>
              <w:tc>
                <w:tcPr>
                  <w:tcW w:w="398" w:type="pct"/>
                  <w:vMerge w:val="continue"/>
                  <w:tcBorders>
                    <w:tl2br w:val="nil"/>
                    <w:tr2bl w:val="nil"/>
                  </w:tcBorders>
                  <w:vAlign w:val="center"/>
                </w:tcPr>
                <w:p w14:paraId="3234E601">
                  <w:pPr>
                    <w:jc w:val="center"/>
                    <w:rPr>
                      <w:color w:val="000000" w:themeColor="text1"/>
                      <w:szCs w:val="21"/>
                      <w14:textFill>
                        <w14:solidFill>
                          <w14:schemeClr w14:val="tx1"/>
                        </w14:solidFill>
                      </w14:textFill>
                    </w:rPr>
                  </w:pPr>
                </w:p>
              </w:tc>
            </w:tr>
            <w:tr w14:paraId="3B616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restart"/>
                  <w:tcBorders>
                    <w:tl2br w:val="nil"/>
                    <w:tr2bl w:val="nil"/>
                  </w:tcBorders>
                  <w:vAlign w:val="center"/>
                </w:tcPr>
                <w:p w14:paraId="221EA47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环境空气</w:t>
                  </w:r>
                </w:p>
              </w:tc>
              <w:tc>
                <w:tcPr>
                  <w:tcW w:w="583" w:type="pct"/>
                  <w:tcBorders>
                    <w:tl2br w:val="nil"/>
                    <w:tr2bl w:val="nil"/>
                  </w:tcBorders>
                  <w:vAlign w:val="center"/>
                </w:tcPr>
                <w:p w14:paraId="2A3DBF0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峡河村</w:t>
                  </w:r>
                </w:p>
              </w:tc>
              <w:tc>
                <w:tcPr>
                  <w:tcW w:w="670" w:type="pct"/>
                  <w:tcBorders>
                    <w:tl2br w:val="nil"/>
                    <w:tr2bl w:val="nil"/>
                  </w:tcBorders>
                  <w:vAlign w:val="center"/>
                </w:tcPr>
                <w:p w14:paraId="76E891C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123.980450</w:t>
                  </w:r>
                </w:p>
              </w:tc>
              <w:tc>
                <w:tcPr>
                  <w:tcW w:w="610" w:type="pct"/>
                  <w:tcBorders>
                    <w:tl2br w:val="nil"/>
                    <w:tr2bl w:val="nil"/>
                  </w:tcBorders>
                  <w:vAlign w:val="center"/>
                </w:tcPr>
                <w:p w14:paraId="6337A18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41.647234</w:t>
                  </w:r>
                </w:p>
              </w:tc>
              <w:tc>
                <w:tcPr>
                  <w:tcW w:w="656" w:type="pct"/>
                  <w:tcBorders>
                    <w:tl2br w:val="nil"/>
                    <w:tr2bl w:val="nil"/>
                  </w:tcBorders>
                  <w:vAlign w:val="center"/>
                </w:tcPr>
                <w:p w14:paraId="54D2F44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居民区</w:t>
                  </w:r>
                </w:p>
              </w:tc>
              <w:tc>
                <w:tcPr>
                  <w:tcW w:w="426" w:type="pct"/>
                  <w:tcBorders>
                    <w:tl2br w:val="nil"/>
                    <w:tr2bl w:val="nil"/>
                  </w:tcBorders>
                  <w:vAlign w:val="center"/>
                </w:tcPr>
                <w:p w14:paraId="64AEDEFC">
                  <w:pPr>
                    <w:jc w:val="center"/>
                    <w:rPr>
                      <w:color w:val="000000" w:themeColor="text1"/>
                      <w:spacing w:val="-1"/>
                      <w:szCs w:val="21"/>
                      <w14:textFill>
                        <w14:solidFill>
                          <w14:schemeClr w14:val="tx1"/>
                        </w14:solidFill>
                      </w14:textFill>
                    </w:rPr>
                  </w:pPr>
                  <w:r>
                    <w:rPr>
                      <w:color w:val="000000" w:themeColor="text1"/>
                      <w:spacing w:val="-1"/>
                      <w:szCs w:val="21"/>
                      <w14:textFill>
                        <w14:solidFill>
                          <w14:schemeClr w14:val="tx1"/>
                        </w14:solidFill>
                      </w14:textFill>
                    </w:rPr>
                    <w:t>208</w:t>
                  </w:r>
                </w:p>
              </w:tc>
              <w:tc>
                <w:tcPr>
                  <w:tcW w:w="426" w:type="pct"/>
                  <w:tcBorders>
                    <w:tl2br w:val="nil"/>
                    <w:tr2bl w:val="nil"/>
                  </w:tcBorders>
                  <w:vAlign w:val="center"/>
                </w:tcPr>
                <w:p w14:paraId="30BB7A7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522</w:t>
                  </w:r>
                </w:p>
              </w:tc>
              <w:tc>
                <w:tcPr>
                  <w:tcW w:w="335" w:type="pct"/>
                  <w:vMerge w:val="restart"/>
                  <w:tcBorders>
                    <w:tl2br w:val="nil"/>
                    <w:tr2bl w:val="nil"/>
                  </w:tcBorders>
                  <w:vAlign w:val="center"/>
                </w:tcPr>
                <w:p w14:paraId="34070E2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二类区</w:t>
                  </w:r>
                </w:p>
              </w:tc>
              <w:tc>
                <w:tcPr>
                  <w:tcW w:w="453" w:type="pct"/>
                  <w:tcBorders>
                    <w:tl2br w:val="nil"/>
                    <w:tr2bl w:val="nil"/>
                  </w:tcBorders>
                  <w:vAlign w:val="center"/>
                </w:tcPr>
                <w:p w14:paraId="04DCF797">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E、W、N</w:t>
                  </w:r>
                </w:p>
              </w:tc>
              <w:tc>
                <w:tcPr>
                  <w:tcW w:w="398" w:type="pct"/>
                  <w:tcBorders>
                    <w:tl2br w:val="nil"/>
                    <w:tr2bl w:val="nil"/>
                  </w:tcBorders>
                  <w:vAlign w:val="center"/>
                </w:tcPr>
                <w:p w14:paraId="3F552D8A">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10</w:t>
                  </w:r>
                </w:p>
              </w:tc>
            </w:tr>
            <w:tr w14:paraId="2570A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continue"/>
                  <w:tcBorders>
                    <w:tl2br w:val="nil"/>
                    <w:tr2bl w:val="nil"/>
                  </w:tcBorders>
                  <w:vAlign w:val="center"/>
                </w:tcPr>
                <w:p w14:paraId="63BAFBEF">
                  <w:pPr>
                    <w:jc w:val="center"/>
                    <w:rPr>
                      <w:color w:val="000000" w:themeColor="text1"/>
                      <w:szCs w:val="21"/>
                      <w14:textFill>
                        <w14:solidFill>
                          <w14:schemeClr w14:val="tx1"/>
                        </w14:solidFill>
                      </w14:textFill>
                    </w:rPr>
                  </w:pPr>
                </w:p>
              </w:tc>
              <w:tc>
                <w:tcPr>
                  <w:tcW w:w="583" w:type="pct"/>
                  <w:tcBorders>
                    <w:tl2br w:val="nil"/>
                    <w:tr2bl w:val="nil"/>
                  </w:tcBorders>
                  <w:vAlign w:val="center"/>
                </w:tcPr>
                <w:p w14:paraId="1047F66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峡河乡九年一贯制学校</w:t>
                  </w:r>
                </w:p>
              </w:tc>
              <w:tc>
                <w:tcPr>
                  <w:tcW w:w="670" w:type="pct"/>
                  <w:tcBorders>
                    <w:tl2br w:val="nil"/>
                    <w:tr2bl w:val="nil"/>
                  </w:tcBorders>
                  <w:vAlign w:val="center"/>
                </w:tcPr>
                <w:p w14:paraId="47AE7E4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123.979291</w:t>
                  </w:r>
                </w:p>
              </w:tc>
              <w:tc>
                <w:tcPr>
                  <w:tcW w:w="610" w:type="pct"/>
                  <w:tcBorders>
                    <w:tl2br w:val="nil"/>
                    <w:tr2bl w:val="nil"/>
                  </w:tcBorders>
                  <w:vAlign w:val="center"/>
                </w:tcPr>
                <w:p w14:paraId="624FDE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41.645398</w:t>
                  </w:r>
                </w:p>
              </w:tc>
              <w:tc>
                <w:tcPr>
                  <w:tcW w:w="656" w:type="pct"/>
                  <w:tcBorders>
                    <w:tl2br w:val="nil"/>
                    <w:tr2bl w:val="nil"/>
                  </w:tcBorders>
                  <w:vAlign w:val="center"/>
                </w:tcPr>
                <w:p w14:paraId="1E57FC2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学校</w:t>
                  </w:r>
                </w:p>
              </w:tc>
              <w:tc>
                <w:tcPr>
                  <w:tcW w:w="426" w:type="pct"/>
                  <w:tcBorders>
                    <w:tl2br w:val="nil"/>
                    <w:tr2bl w:val="nil"/>
                  </w:tcBorders>
                  <w:vAlign w:val="center"/>
                </w:tcPr>
                <w:p w14:paraId="005ABECB">
                  <w:pPr>
                    <w:jc w:val="center"/>
                    <w:rPr>
                      <w:color w:val="000000" w:themeColor="text1"/>
                      <w:spacing w:val="-1"/>
                      <w:szCs w:val="21"/>
                      <w14:textFill>
                        <w14:solidFill>
                          <w14:schemeClr w14:val="tx1"/>
                        </w14:solidFill>
                      </w14:textFill>
                    </w:rPr>
                  </w:pPr>
                  <w:r>
                    <w:rPr>
                      <w:color w:val="000000" w:themeColor="text1"/>
                      <w:spacing w:val="-1"/>
                      <w:szCs w:val="21"/>
                      <w14:textFill>
                        <w14:solidFill>
                          <w14:schemeClr w14:val="tx1"/>
                        </w14:solidFill>
                      </w14:textFill>
                    </w:rPr>
                    <w:t>/</w:t>
                  </w:r>
                </w:p>
              </w:tc>
              <w:tc>
                <w:tcPr>
                  <w:tcW w:w="426" w:type="pct"/>
                  <w:tcBorders>
                    <w:tl2br w:val="nil"/>
                    <w:tr2bl w:val="nil"/>
                  </w:tcBorders>
                  <w:vAlign w:val="center"/>
                </w:tcPr>
                <w:p w14:paraId="22BA63A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752</w:t>
                  </w:r>
                </w:p>
              </w:tc>
              <w:tc>
                <w:tcPr>
                  <w:tcW w:w="335" w:type="pct"/>
                  <w:vMerge w:val="continue"/>
                  <w:tcBorders>
                    <w:tl2br w:val="nil"/>
                    <w:tr2bl w:val="nil"/>
                  </w:tcBorders>
                  <w:vAlign w:val="center"/>
                </w:tcPr>
                <w:p w14:paraId="29C52954">
                  <w:pPr>
                    <w:jc w:val="center"/>
                    <w:rPr>
                      <w:color w:val="000000" w:themeColor="text1"/>
                      <w:szCs w:val="21"/>
                      <w14:textFill>
                        <w14:solidFill>
                          <w14:schemeClr w14:val="tx1"/>
                        </w14:solidFill>
                      </w14:textFill>
                    </w:rPr>
                  </w:pPr>
                </w:p>
              </w:tc>
              <w:tc>
                <w:tcPr>
                  <w:tcW w:w="453" w:type="pct"/>
                  <w:tcBorders>
                    <w:tl2br w:val="nil"/>
                    <w:tr2bl w:val="nil"/>
                  </w:tcBorders>
                  <w:vAlign w:val="center"/>
                </w:tcPr>
                <w:p w14:paraId="38555C9F">
                  <w:pPr>
                    <w:snapToGrid w:val="0"/>
                    <w:jc w:val="center"/>
                    <w:rPr>
                      <w:color w:val="000000" w:themeColor="text1"/>
                      <w:spacing w:val="-1"/>
                      <w:kern w:val="0"/>
                      <w:szCs w:val="21"/>
                      <w14:textFill>
                        <w14:solidFill>
                          <w14:schemeClr w14:val="tx1"/>
                        </w14:solidFill>
                      </w14:textFill>
                    </w:rPr>
                  </w:pPr>
                  <w:r>
                    <w:rPr>
                      <w:color w:val="000000" w:themeColor="text1"/>
                      <w:spacing w:val="-1"/>
                      <w:kern w:val="0"/>
                      <w:szCs w:val="21"/>
                      <w14:textFill>
                        <w14:solidFill>
                          <w14:schemeClr w14:val="tx1"/>
                        </w14:solidFill>
                      </w14:textFill>
                    </w:rPr>
                    <w:t>S</w:t>
                  </w:r>
                </w:p>
              </w:tc>
              <w:tc>
                <w:tcPr>
                  <w:tcW w:w="398" w:type="pct"/>
                  <w:tcBorders>
                    <w:tl2br w:val="nil"/>
                    <w:tr2bl w:val="nil"/>
                  </w:tcBorders>
                  <w:vAlign w:val="center"/>
                </w:tcPr>
                <w:p w14:paraId="5816C855">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w:t>
                  </w:r>
                </w:p>
              </w:tc>
            </w:tr>
            <w:tr w14:paraId="5801F9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continue"/>
                  <w:tcBorders>
                    <w:tl2br w:val="nil"/>
                    <w:tr2bl w:val="nil"/>
                  </w:tcBorders>
                  <w:vAlign w:val="center"/>
                </w:tcPr>
                <w:p w14:paraId="34E09EED">
                  <w:pPr>
                    <w:jc w:val="center"/>
                    <w:rPr>
                      <w:color w:val="000000" w:themeColor="text1"/>
                      <w:szCs w:val="21"/>
                      <w14:textFill>
                        <w14:solidFill>
                          <w14:schemeClr w14:val="tx1"/>
                        </w14:solidFill>
                      </w14:textFill>
                    </w:rPr>
                  </w:pPr>
                </w:p>
              </w:tc>
              <w:tc>
                <w:tcPr>
                  <w:tcW w:w="583" w:type="pct"/>
                  <w:tcBorders>
                    <w:tl2br w:val="nil"/>
                    <w:tr2bl w:val="nil"/>
                  </w:tcBorders>
                  <w:vAlign w:val="center"/>
                </w:tcPr>
                <w:p w14:paraId="495C9EF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峡河乡卫生院</w:t>
                  </w:r>
                </w:p>
              </w:tc>
              <w:tc>
                <w:tcPr>
                  <w:tcW w:w="670" w:type="pct"/>
                  <w:tcBorders>
                    <w:tl2br w:val="nil"/>
                    <w:tr2bl w:val="nil"/>
                  </w:tcBorders>
                  <w:vAlign w:val="center"/>
                </w:tcPr>
                <w:p w14:paraId="45D8A75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123.978980</w:t>
                  </w:r>
                </w:p>
              </w:tc>
              <w:tc>
                <w:tcPr>
                  <w:tcW w:w="610" w:type="pct"/>
                  <w:tcBorders>
                    <w:tl2br w:val="nil"/>
                    <w:tr2bl w:val="nil"/>
                  </w:tcBorders>
                  <w:vAlign w:val="center"/>
                </w:tcPr>
                <w:p w14:paraId="6FB4B9C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41.642808</w:t>
                  </w:r>
                </w:p>
              </w:tc>
              <w:tc>
                <w:tcPr>
                  <w:tcW w:w="656" w:type="pct"/>
                  <w:tcBorders>
                    <w:tl2br w:val="nil"/>
                    <w:tr2bl w:val="nil"/>
                  </w:tcBorders>
                  <w:vAlign w:val="center"/>
                </w:tcPr>
                <w:p w14:paraId="47B4293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医疗机构</w:t>
                  </w:r>
                </w:p>
              </w:tc>
              <w:tc>
                <w:tcPr>
                  <w:tcW w:w="426" w:type="pct"/>
                  <w:tcBorders>
                    <w:tl2br w:val="nil"/>
                    <w:tr2bl w:val="nil"/>
                  </w:tcBorders>
                  <w:vAlign w:val="center"/>
                </w:tcPr>
                <w:p w14:paraId="2C5C469A">
                  <w:pPr>
                    <w:jc w:val="center"/>
                    <w:rPr>
                      <w:color w:val="000000" w:themeColor="text1"/>
                      <w:spacing w:val="-1"/>
                      <w:szCs w:val="21"/>
                      <w14:textFill>
                        <w14:solidFill>
                          <w14:schemeClr w14:val="tx1"/>
                        </w14:solidFill>
                      </w14:textFill>
                    </w:rPr>
                  </w:pPr>
                  <w:r>
                    <w:rPr>
                      <w:color w:val="000000" w:themeColor="text1"/>
                      <w:spacing w:val="-1"/>
                      <w:szCs w:val="21"/>
                      <w14:textFill>
                        <w14:solidFill>
                          <w14:schemeClr w14:val="tx1"/>
                        </w14:solidFill>
                      </w14:textFill>
                    </w:rPr>
                    <w:t>/</w:t>
                  </w:r>
                </w:p>
              </w:tc>
              <w:tc>
                <w:tcPr>
                  <w:tcW w:w="426" w:type="pct"/>
                  <w:tcBorders>
                    <w:tl2br w:val="nil"/>
                    <w:tr2bl w:val="nil"/>
                  </w:tcBorders>
                  <w:vAlign w:val="center"/>
                </w:tcPr>
                <w:p w14:paraId="4CD99E3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335" w:type="pct"/>
                  <w:vMerge w:val="continue"/>
                  <w:tcBorders>
                    <w:tl2br w:val="nil"/>
                    <w:tr2bl w:val="nil"/>
                  </w:tcBorders>
                  <w:vAlign w:val="center"/>
                </w:tcPr>
                <w:p w14:paraId="6D299802">
                  <w:pPr>
                    <w:jc w:val="center"/>
                    <w:rPr>
                      <w:color w:val="000000" w:themeColor="text1"/>
                      <w:szCs w:val="21"/>
                      <w14:textFill>
                        <w14:solidFill>
                          <w14:schemeClr w14:val="tx1"/>
                        </w14:solidFill>
                      </w14:textFill>
                    </w:rPr>
                  </w:pPr>
                </w:p>
              </w:tc>
              <w:tc>
                <w:tcPr>
                  <w:tcW w:w="453" w:type="pct"/>
                  <w:tcBorders>
                    <w:tl2br w:val="nil"/>
                    <w:tr2bl w:val="nil"/>
                  </w:tcBorders>
                  <w:vAlign w:val="center"/>
                </w:tcPr>
                <w:p w14:paraId="4F88DB9C">
                  <w:pPr>
                    <w:snapToGrid w:val="0"/>
                    <w:jc w:val="center"/>
                    <w:rPr>
                      <w:color w:val="000000" w:themeColor="text1"/>
                      <w:spacing w:val="-1"/>
                      <w:kern w:val="0"/>
                      <w:szCs w:val="21"/>
                      <w14:textFill>
                        <w14:solidFill>
                          <w14:schemeClr w14:val="tx1"/>
                        </w14:solidFill>
                      </w14:textFill>
                    </w:rPr>
                  </w:pPr>
                  <w:r>
                    <w:rPr>
                      <w:color w:val="000000" w:themeColor="text1"/>
                      <w:spacing w:val="-1"/>
                      <w:kern w:val="0"/>
                      <w:szCs w:val="21"/>
                      <w14:textFill>
                        <w14:solidFill>
                          <w14:schemeClr w14:val="tx1"/>
                        </w14:solidFill>
                      </w14:textFill>
                    </w:rPr>
                    <w:t>SSW</w:t>
                  </w:r>
                </w:p>
              </w:tc>
              <w:tc>
                <w:tcPr>
                  <w:tcW w:w="398" w:type="pct"/>
                  <w:tcBorders>
                    <w:tl2br w:val="nil"/>
                    <w:tr2bl w:val="nil"/>
                  </w:tcBorders>
                  <w:vAlign w:val="center"/>
                </w:tcPr>
                <w:p w14:paraId="3D8F7B84">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259</w:t>
                  </w:r>
                </w:p>
              </w:tc>
            </w:tr>
            <w:tr w14:paraId="18EE5B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continue"/>
                  <w:tcBorders>
                    <w:tl2br w:val="nil"/>
                    <w:tr2bl w:val="nil"/>
                  </w:tcBorders>
                  <w:vAlign w:val="center"/>
                </w:tcPr>
                <w:p w14:paraId="06E83B57">
                  <w:pPr>
                    <w:jc w:val="center"/>
                    <w:rPr>
                      <w:color w:val="000000" w:themeColor="text1"/>
                      <w:szCs w:val="21"/>
                      <w14:textFill>
                        <w14:solidFill>
                          <w14:schemeClr w14:val="tx1"/>
                        </w14:solidFill>
                      </w14:textFill>
                    </w:rPr>
                  </w:pPr>
                </w:p>
              </w:tc>
              <w:tc>
                <w:tcPr>
                  <w:tcW w:w="583" w:type="pct"/>
                  <w:tcBorders>
                    <w:tl2br w:val="nil"/>
                    <w:tr2bl w:val="nil"/>
                  </w:tcBorders>
                  <w:vAlign w:val="center"/>
                </w:tcPr>
                <w:p w14:paraId="63CF328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峡河乡政府机构</w:t>
                  </w:r>
                </w:p>
              </w:tc>
              <w:tc>
                <w:tcPr>
                  <w:tcW w:w="670" w:type="pct"/>
                  <w:tcBorders>
                    <w:tl2br w:val="nil"/>
                    <w:tr2bl w:val="nil"/>
                  </w:tcBorders>
                  <w:vAlign w:val="center"/>
                </w:tcPr>
                <w:p w14:paraId="7AF9151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123.978476</w:t>
                  </w:r>
                </w:p>
              </w:tc>
              <w:tc>
                <w:tcPr>
                  <w:tcW w:w="610" w:type="pct"/>
                  <w:tcBorders>
                    <w:tl2br w:val="nil"/>
                    <w:tr2bl w:val="nil"/>
                  </w:tcBorders>
                  <w:vAlign w:val="center"/>
                </w:tcPr>
                <w:p w14:paraId="42258A9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41.642464</w:t>
                  </w:r>
                </w:p>
              </w:tc>
              <w:tc>
                <w:tcPr>
                  <w:tcW w:w="656" w:type="pct"/>
                  <w:tcBorders>
                    <w:tl2br w:val="nil"/>
                    <w:tr2bl w:val="nil"/>
                  </w:tcBorders>
                  <w:vAlign w:val="center"/>
                </w:tcPr>
                <w:p w14:paraId="5C34B5F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政府机构</w:t>
                  </w:r>
                </w:p>
              </w:tc>
              <w:tc>
                <w:tcPr>
                  <w:tcW w:w="426" w:type="pct"/>
                  <w:tcBorders>
                    <w:tl2br w:val="nil"/>
                    <w:tr2bl w:val="nil"/>
                  </w:tcBorders>
                  <w:vAlign w:val="center"/>
                </w:tcPr>
                <w:p w14:paraId="17072EA9">
                  <w:pPr>
                    <w:jc w:val="center"/>
                    <w:rPr>
                      <w:color w:val="000000" w:themeColor="text1"/>
                      <w:spacing w:val="-1"/>
                      <w:szCs w:val="21"/>
                      <w14:textFill>
                        <w14:solidFill>
                          <w14:schemeClr w14:val="tx1"/>
                        </w14:solidFill>
                      </w14:textFill>
                    </w:rPr>
                  </w:pPr>
                  <w:r>
                    <w:rPr>
                      <w:color w:val="000000" w:themeColor="text1"/>
                      <w:spacing w:val="-1"/>
                      <w:szCs w:val="21"/>
                      <w14:textFill>
                        <w14:solidFill>
                          <w14:schemeClr w14:val="tx1"/>
                        </w14:solidFill>
                      </w14:textFill>
                    </w:rPr>
                    <w:t>/</w:t>
                  </w:r>
                </w:p>
              </w:tc>
              <w:tc>
                <w:tcPr>
                  <w:tcW w:w="426" w:type="pct"/>
                  <w:tcBorders>
                    <w:tl2br w:val="nil"/>
                    <w:tr2bl w:val="nil"/>
                  </w:tcBorders>
                  <w:vAlign w:val="center"/>
                </w:tcPr>
                <w:p w14:paraId="6D87F2A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335" w:type="pct"/>
                  <w:vMerge w:val="continue"/>
                  <w:tcBorders>
                    <w:tl2br w:val="nil"/>
                    <w:tr2bl w:val="nil"/>
                  </w:tcBorders>
                  <w:vAlign w:val="center"/>
                </w:tcPr>
                <w:p w14:paraId="6BFE8CA3">
                  <w:pPr>
                    <w:jc w:val="center"/>
                    <w:rPr>
                      <w:color w:val="000000" w:themeColor="text1"/>
                      <w:szCs w:val="21"/>
                      <w14:textFill>
                        <w14:solidFill>
                          <w14:schemeClr w14:val="tx1"/>
                        </w14:solidFill>
                      </w14:textFill>
                    </w:rPr>
                  </w:pPr>
                </w:p>
              </w:tc>
              <w:tc>
                <w:tcPr>
                  <w:tcW w:w="453" w:type="pct"/>
                  <w:tcBorders>
                    <w:tl2br w:val="nil"/>
                    <w:tr2bl w:val="nil"/>
                  </w:tcBorders>
                  <w:vAlign w:val="center"/>
                </w:tcPr>
                <w:p w14:paraId="3C4D4B7C">
                  <w:pPr>
                    <w:snapToGrid w:val="0"/>
                    <w:jc w:val="center"/>
                    <w:rPr>
                      <w:color w:val="000000" w:themeColor="text1"/>
                      <w:spacing w:val="-1"/>
                      <w:kern w:val="0"/>
                      <w:szCs w:val="21"/>
                      <w14:textFill>
                        <w14:solidFill>
                          <w14:schemeClr w14:val="tx1"/>
                        </w14:solidFill>
                      </w14:textFill>
                    </w:rPr>
                  </w:pPr>
                  <w:r>
                    <w:rPr>
                      <w:color w:val="000000" w:themeColor="text1"/>
                      <w:spacing w:val="-1"/>
                      <w:kern w:val="0"/>
                      <w:szCs w:val="21"/>
                      <w14:textFill>
                        <w14:solidFill>
                          <w14:schemeClr w14:val="tx1"/>
                        </w14:solidFill>
                      </w14:textFill>
                    </w:rPr>
                    <w:t>SSW</w:t>
                  </w:r>
                </w:p>
              </w:tc>
              <w:tc>
                <w:tcPr>
                  <w:tcW w:w="398" w:type="pct"/>
                  <w:tcBorders>
                    <w:tl2br w:val="nil"/>
                    <w:tr2bl w:val="nil"/>
                  </w:tcBorders>
                  <w:vAlign w:val="center"/>
                </w:tcPr>
                <w:p w14:paraId="575DB0E6">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306</w:t>
                  </w:r>
                </w:p>
              </w:tc>
            </w:tr>
            <w:tr w14:paraId="05DA66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restart"/>
                  <w:tcBorders>
                    <w:tl2br w:val="nil"/>
                    <w:tr2bl w:val="nil"/>
                  </w:tcBorders>
                  <w:vAlign w:val="center"/>
                </w:tcPr>
                <w:p w14:paraId="26288A0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声环境</w:t>
                  </w:r>
                </w:p>
              </w:tc>
              <w:tc>
                <w:tcPr>
                  <w:tcW w:w="583" w:type="pct"/>
                  <w:tcBorders>
                    <w:tl2br w:val="nil"/>
                    <w:tr2bl w:val="nil"/>
                  </w:tcBorders>
                  <w:shd w:val="clear" w:color="auto" w:fill="auto"/>
                  <w:vAlign w:val="center"/>
                </w:tcPr>
                <w:p w14:paraId="537711A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峡河村</w:t>
                  </w:r>
                </w:p>
              </w:tc>
              <w:tc>
                <w:tcPr>
                  <w:tcW w:w="670" w:type="pct"/>
                  <w:tcBorders>
                    <w:tl2br w:val="nil"/>
                    <w:tr2bl w:val="nil"/>
                  </w:tcBorders>
                  <w:shd w:val="clear" w:color="auto" w:fill="auto"/>
                  <w:vAlign w:val="center"/>
                </w:tcPr>
                <w:p w14:paraId="77812B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123.980450</w:t>
                  </w:r>
                </w:p>
              </w:tc>
              <w:tc>
                <w:tcPr>
                  <w:tcW w:w="610" w:type="pct"/>
                  <w:tcBorders>
                    <w:tl2br w:val="nil"/>
                    <w:tr2bl w:val="nil"/>
                  </w:tcBorders>
                  <w:shd w:val="clear" w:color="auto" w:fill="auto"/>
                  <w:vAlign w:val="center"/>
                </w:tcPr>
                <w:p w14:paraId="38C8F11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41.647234</w:t>
                  </w:r>
                </w:p>
              </w:tc>
              <w:tc>
                <w:tcPr>
                  <w:tcW w:w="656" w:type="pct"/>
                  <w:tcBorders>
                    <w:tl2br w:val="nil"/>
                    <w:tr2bl w:val="nil"/>
                  </w:tcBorders>
                  <w:vAlign w:val="center"/>
                </w:tcPr>
                <w:p w14:paraId="1392B15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居民区</w:t>
                  </w:r>
                </w:p>
              </w:tc>
              <w:tc>
                <w:tcPr>
                  <w:tcW w:w="426" w:type="pct"/>
                  <w:tcBorders>
                    <w:tl2br w:val="nil"/>
                    <w:tr2bl w:val="nil"/>
                  </w:tcBorders>
                  <w:shd w:val="clear" w:color="auto" w:fill="auto"/>
                  <w:vAlign w:val="center"/>
                </w:tcPr>
                <w:p w14:paraId="1F98500D">
                  <w:pPr>
                    <w:jc w:val="center"/>
                    <w:rPr>
                      <w:color w:val="000000" w:themeColor="text1"/>
                      <w:spacing w:val="-1"/>
                      <w:szCs w:val="21"/>
                      <w14:textFill>
                        <w14:solidFill>
                          <w14:schemeClr w14:val="tx1"/>
                        </w14:solidFill>
                      </w14:textFill>
                    </w:rPr>
                  </w:pPr>
                  <w:r>
                    <w:rPr>
                      <w:color w:val="000000" w:themeColor="text1"/>
                      <w:spacing w:val="-1"/>
                      <w:szCs w:val="21"/>
                      <w14:textFill>
                        <w14:solidFill>
                          <w14:schemeClr w14:val="tx1"/>
                        </w14:solidFill>
                      </w14:textFill>
                    </w:rPr>
                    <w:t>208</w:t>
                  </w:r>
                </w:p>
              </w:tc>
              <w:tc>
                <w:tcPr>
                  <w:tcW w:w="426" w:type="pct"/>
                  <w:tcBorders>
                    <w:tl2br w:val="nil"/>
                    <w:tr2bl w:val="nil"/>
                  </w:tcBorders>
                  <w:shd w:val="clear" w:color="auto" w:fill="auto"/>
                  <w:vAlign w:val="center"/>
                </w:tcPr>
                <w:p w14:paraId="46DE4B8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522</w:t>
                  </w:r>
                </w:p>
              </w:tc>
              <w:tc>
                <w:tcPr>
                  <w:tcW w:w="335" w:type="pct"/>
                  <w:vMerge w:val="restart"/>
                  <w:tcBorders>
                    <w:tl2br w:val="nil"/>
                    <w:tr2bl w:val="nil"/>
                  </w:tcBorders>
                  <w:vAlign w:val="center"/>
                </w:tcPr>
                <w:p w14:paraId="0DF1951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1类</w:t>
                  </w:r>
                </w:p>
              </w:tc>
              <w:tc>
                <w:tcPr>
                  <w:tcW w:w="453" w:type="pct"/>
                  <w:tcBorders>
                    <w:tl2br w:val="nil"/>
                    <w:tr2bl w:val="nil"/>
                  </w:tcBorders>
                  <w:vAlign w:val="center"/>
                </w:tcPr>
                <w:p w14:paraId="10B16445">
                  <w:pPr>
                    <w:snapToGrid w:val="0"/>
                    <w:jc w:val="center"/>
                    <w:rPr>
                      <w:color w:val="000000" w:themeColor="text1"/>
                      <w:spacing w:val="-1"/>
                      <w:kern w:val="0"/>
                      <w:szCs w:val="21"/>
                      <w14:textFill>
                        <w14:solidFill>
                          <w14:schemeClr w14:val="tx1"/>
                        </w14:solidFill>
                      </w14:textFill>
                    </w:rPr>
                  </w:pPr>
                  <w:r>
                    <w:rPr>
                      <w:color w:val="000000" w:themeColor="text1"/>
                      <w:kern w:val="0"/>
                      <w:szCs w:val="21"/>
                      <w14:textFill>
                        <w14:solidFill>
                          <w14:schemeClr w14:val="tx1"/>
                        </w14:solidFill>
                      </w14:textFill>
                    </w:rPr>
                    <w:t>E、W、N</w:t>
                  </w:r>
                </w:p>
              </w:tc>
              <w:tc>
                <w:tcPr>
                  <w:tcW w:w="398" w:type="pct"/>
                  <w:tcBorders>
                    <w:tl2br w:val="nil"/>
                    <w:tr2bl w:val="nil"/>
                  </w:tcBorders>
                  <w:shd w:val="clear" w:color="auto" w:fill="auto"/>
                  <w:vAlign w:val="center"/>
                </w:tcPr>
                <w:p w14:paraId="58D9FEF9">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10</w:t>
                  </w:r>
                </w:p>
              </w:tc>
            </w:tr>
            <w:tr w14:paraId="2EA88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vMerge w:val="continue"/>
                  <w:tcBorders>
                    <w:tl2br w:val="nil"/>
                    <w:tr2bl w:val="nil"/>
                  </w:tcBorders>
                  <w:vAlign w:val="center"/>
                </w:tcPr>
                <w:p w14:paraId="36906665">
                  <w:pPr>
                    <w:jc w:val="center"/>
                    <w:rPr>
                      <w:color w:val="000000" w:themeColor="text1"/>
                      <w:szCs w:val="21"/>
                      <w14:textFill>
                        <w14:solidFill>
                          <w14:schemeClr w14:val="tx1"/>
                        </w14:solidFill>
                      </w14:textFill>
                    </w:rPr>
                  </w:pPr>
                </w:p>
              </w:tc>
              <w:tc>
                <w:tcPr>
                  <w:tcW w:w="583" w:type="pct"/>
                  <w:tcBorders>
                    <w:tl2br w:val="nil"/>
                    <w:tr2bl w:val="nil"/>
                  </w:tcBorders>
                  <w:shd w:val="clear" w:color="auto" w:fill="auto"/>
                  <w:vAlign w:val="center"/>
                </w:tcPr>
                <w:p w14:paraId="554C07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峡河乡九年一贯制学校</w:t>
                  </w:r>
                </w:p>
              </w:tc>
              <w:tc>
                <w:tcPr>
                  <w:tcW w:w="670" w:type="pct"/>
                  <w:tcBorders>
                    <w:tl2br w:val="nil"/>
                    <w:tr2bl w:val="nil"/>
                  </w:tcBorders>
                  <w:shd w:val="clear" w:color="auto" w:fill="auto"/>
                  <w:vAlign w:val="center"/>
                </w:tcPr>
                <w:p w14:paraId="72914C0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123.979291</w:t>
                  </w:r>
                </w:p>
              </w:tc>
              <w:tc>
                <w:tcPr>
                  <w:tcW w:w="610" w:type="pct"/>
                  <w:tcBorders>
                    <w:tl2br w:val="nil"/>
                    <w:tr2bl w:val="nil"/>
                  </w:tcBorders>
                  <w:shd w:val="clear" w:color="auto" w:fill="auto"/>
                  <w:vAlign w:val="center"/>
                </w:tcPr>
                <w:p w14:paraId="4126F73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41.645398</w:t>
                  </w:r>
                </w:p>
              </w:tc>
              <w:tc>
                <w:tcPr>
                  <w:tcW w:w="656" w:type="pct"/>
                  <w:tcBorders>
                    <w:tl2br w:val="nil"/>
                    <w:tr2bl w:val="nil"/>
                  </w:tcBorders>
                  <w:vAlign w:val="center"/>
                </w:tcPr>
                <w:p w14:paraId="64C9B9D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学校</w:t>
                  </w:r>
                </w:p>
              </w:tc>
              <w:tc>
                <w:tcPr>
                  <w:tcW w:w="426" w:type="pct"/>
                  <w:tcBorders>
                    <w:tl2br w:val="nil"/>
                    <w:tr2bl w:val="nil"/>
                  </w:tcBorders>
                  <w:shd w:val="clear" w:color="auto" w:fill="auto"/>
                  <w:vAlign w:val="center"/>
                </w:tcPr>
                <w:p w14:paraId="6C54A9AF">
                  <w:pPr>
                    <w:jc w:val="center"/>
                    <w:rPr>
                      <w:color w:val="000000" w:themeColor="text1"/>
                      <w:spacing w:val="-1"/>
                      <w:szCs w:val="21"/>
                      <w14:textFill>
                        <w14:solidFill>
                          <w14:schemeClr w14:val="tx1"/>
                        </w14:solidFill>
                      </w14:textFill>
                    </w:rPr>
                  </w:pPr>
                  <w:r>
                    <w:rPr>
                      <w:color w:val="000000" w:themeColor="text1"/>
                      <w:spacing w:val="-1"/>
                      <w:szCs w:val="21"/>
                      <w14:textFill>
                        <w14:solidFill>
                          <w14:schemeClr w14:val="tx1"/>
                        </w14:solidFill>
                      </w14:textFill>
                    </w:rPr>
                    <w:t>/</w:t>
                  </w:r>
                </w:p>
              </w:tc>
              <w:tc>
                <w:tcPr>
                  <w:tcW w:w="426" w:type="pct"/>
                  <w:tcBorders>
                    <w:tl2br w:val="nil"/>
                    <w:tr2bl w:val="nil"/>
                  </w:tcBorders>
                  <w:shd w:val="clear" w:color="auto" w:fill="auto"/>
                  <w:vAlign w:val="center"/>
                </w:tcPr>
                <w:p w14:paraId="3F72189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752</w:t>
                  </w:r>
                </w:p>
              </w:tc>
              <w:tc>
                <w:tcPr>
                  <w:tcW w:w="335" w:type="pct"/>
                  <w:vMerge w:val="continue"/>
                  <w:tcBorders>
                    <w:tl2br w:val="nil"/>
                    <w:tr2bl w:val="nil"/>
                  </w:tcBorders>
                  <w:vAlign w:val="center"/>
                </w:tcPr>
                <w:p w14:paraId="24E9983F">
                  <w:pPr>
                    <w:jc w:val="center"/>
                    <w:rPr>
                      <w:color w:val="000000" w:themeColor="text1"/>
                      <w:szCs w:val="21"/>
                      <w14:textFill>
                        <w14:solidFill>
                          <w14:schemeClr w14:val="tx1"/>
                        </w14:solidFill>
                      </w14:textFill>
                    </w:rPr>
                  </w:pPr>
                </w:p>
              </w:tc>
              <w:tc>
                <w:tcPr>
                  <w:tcW w:w="453" w:type="pct"/>
                  <w:tcBorders>
                    <w:tl2br w:val="nil"/>
                    <w:tr2bl w:val="nil"/>
                  </w:tcBorders>
                  <w:vAlign w:val="center"/>
                </w:tcPr>
                <w:p w14:paraId="77E90C4A">
                  <w:pPr>
                    <w:snapToGrid w:val="0"/>
                    <w:jc w:val="center"/>
                    <w:rPr>
                      <w:color w:val="000000" w:themeColor="text1"/>
                      <w:spacing w:val="-1"/>
                      <w:kern w:val="0"/>
                      <w:szCs w:val="21"/>
                      <w14:textFill>
                        <w14:solidFill>
                          <w14:schemeClr w14:val="tx1"/>
                        </w14:solidFill>
                      </w14:textFill>
                    </w:rPr>
                  </w:pPr>
                  <w:r>
                    <w:rPr>
                      <w:color w:val="000000" w:themeColor="text1"/>
                      <w:spacing w:val="-1"/>
                      <w:kern w:val="0"/>
                      <w:szCs w:val="21"/>
                      <w14:textFill>
                        <w14:solidFill>
                          <w14:schemeClr w14:val="tx1"/>
                        </w14:solidFill>
                      </w14:textFill>
                    </w:rPr>
                    <w:t>S</w:t>
                  </w:r>
                </w:p>
              </w:tc>
              <w:tc>
                <w:tcPr>
                  <w:tcW w:w="398" w:type="pct"/>
                  <w:tcBorders>
                    <w:tl2br w:val="nil"/>
                    <w:tr2bl w:val="nil"/>
                  </w:tcBorders>
                  <w:shd w:val="clear" w:color="auto" w:fill="auto"/>
                  <w:vAlign w:val="center"/>
                </w:tcPr>
                <w:p w14:paraId="7A41820D">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w:t>
                  </w:r>
                </w:p>
              </w:tc>
            </w:tr>
            <w:tr w14:paraId="59DE9B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437" w:type="pct"/>
                  <w:tcBorders>
                    <w:tl2br w:val="nil"/>
                    <w:tr2bl w:val="nil"/>
                  </w:tcBorders>
                  <w:vAlign w:val="center"/>
                </w:tcPr>
                <w:p w14:paraId="6181750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w:t>
                  </w:r>
                </w:p>
              </w:tc>
              <w:tc>
                <w:tcPr>
                  <w:tcW w:w="583" w:type="pct"/>
                  <w:tcBorders>
                    <w:tl2br w:val="nil"/>
                    <w:tr2bl w:val="nil"/>
                  </w:tcBorders>
                  <w:vAlign w:val="center"/>
                </w:tcPr>
                <w:p w14:paraId="01C101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w:t>
                  </w:r>
                </w:p>
              </w:tc>
              <w:tc>
                <w:tcPr>
                  <w:tcW w:w="670" w:type="pct"/>
                  <w:tcBorders>
                    <w:tl2br w:val="nil"/>
                    <w:tr2bl w:val="nil"/>
                  </w:tcBorders>
                  <w:vAlign w:val="center"/>
                </w:tcPr>
                <w:p w14:paraId="6CE5284B">
                  <w:pPr>
                    <w:pStyle w:val="148"/>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10" w:type="pct"/>
                  <w:tcBorders>
                    <w:tl2br w:val="nil"/>
                    <w:tr2bl w:val="nil"/>
                  </w:tcBorders>
                  <w:vAlign w:val="center"/>
                </w:tcPr>
                <w:p w14:paraId="54DA5F95">
                  <w:pPr>
                    <w:pStyle w:val="148"/>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56" w:type="pct"/>
                  <w:tcBorders>
                    <w:tl2br w:val="nil"/>
                    <w:tr2bl w:val="nil"/>
                  </w:tcBorders>
                  <w:vAlign w:val="center"/>
                </w:tcPr>
                <w:p w14:paraId="5718A27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w:t>
                  </w:r>
                </w:p>
              </w:tc>
              <w:tc>
                <w:tcPr>
                  <w:tcW w:w="426" w:type="pct"/>
                  <w:tcBorders>
                    <w:tl2br w:val="nil"/>
                    <w:tr2bl w:val="nil"/>
                  </w:tcBorders>
                  <w:vAlign w:val="center"/>
                </w:tcPr>
                <w:p w14:paraId="551D79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26" w:type="pct"/>
                  <w:tcBorders>
                    <w:tl2br w:val="nil"/>
                    <w:tr2bl w:val="nil"/>
                  </w:tcBorders>
                  <w:vAlign w:val="center"/>
                </w:tcPr>
                <w:p w14:paraId="5026325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35" w:type="pct"/>
                  <w:tcBorders>
                    <w:tl2br w:val="nil"/>
                    <w:tr2bl w:val="nil"/>
                  </w:tcBorders>
                  <w:vAlign w:val="center"/>
                </w:tcPr>
                <w:p w14:paraId="409239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Ⅱ类水体</w:t>
                  </w:r>
                </w:p>
              </w:tc>
              <w:tc>
                <w:tcPr>
                  <w:tcW w:w="453" w:type="pct"/>
                  <w:tcBorders>
                    <w:tl2br w:val="nil"/>
                    <w:tr2bl w:val="nil"/>
                  </w:tcBorders>
                  <w:vAlign w:val="center"/>
                </w:tcPr>
                <w:p w14:paraId="14498CBB">
                  <w:pPr>
                    <w:snapToGrid w:val="0"/>
                    <w:jc w:val="center"/>
                    <w:rPr>
                      <w:color w:val="000000" w:themeColor="text1"/>
                      <w:kern w:val="0"/>
                      <w:szCs w:val="21"/>
                      <w14:textFill>
                        <w14:solidFill>
                          <w14:schemeClr w14:val="tx1"/>
                        </w14:solidFill>
                      </w14:textFill>
                    </w:rPr>
                  </w:pPr>
                  <w:r>
                    <w:rPr>
                      <w:color w:val="000000" w:themeColor="text1"/>
                      <w:spacing w:val="-1"/>
                      <w:kern w:val="0"/>
                      <w:szCs w:val="21"/>
                      <w14:textFill>
                        <w14:solidFill>
                          <w14:schemeClr w14:val="tx1"/>
                        </w14:solidFill>
                      </w14:textFill>
                    </w:rPr>
                    <w:t>S</w:t>
                  </w:r>
                </w:p>
              </w:tc>
              <w:tc>
                <w:tcPr>
                  <w:tcW w:w="398" w:type="pct"/>
                  <w:tcBorders>
                    <w:tl2br w:val="nil"/>
                    <w:tr2bl w:val="nil"/>
                  </w:tcBorders>
                  <w:vAlign w:val="center"/>
                </w:tcPr>
                <w:p w14:paraId="3495A13A">
                  <w:pPr>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310</w:t>
                  </w:r>
                </w:p>
              </w:tc>
            </w:tr>
          </w:tbl>
          <w:p w14:paraId="5256C62D">
            <w:pPr>
              <w:pStyle w:val="85"/>
              <w:ind w:firstLine="0" w:firstLineChars="0"/>
              <w:rPr>
                <w:color w:val="000000" w:themeColor="text1"/>
                <w:lang w:val="en-US"/>
                <w14:textFill>
                  <w14:solidFill>
                    <w14:schemeClr w14:val="tx1"/>
                  </w14:solidFill>
                </w14:textFill>
              </w:rPr>
            </w:pPr>
          </w:p>
        </w:tc>
      </w:tr>
      <w:tr w14:paraId="128AE3A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84" w:hRule="atLeast"/>
          <w:jc w:val="center"/>
        </w:trPr>
        <w:tc>
          <w:tcPr>
            <w:tcW w:w="806" w:type="dxa"/>
            <w:tcMar>
              <w:left w:w="28" w:type="dxa"/>
              <w:right w:w="28" w:type="dxa"/>
            </w:tcMar>
            <w:vAlign w:val="center"/>
          </w:tcPr>
          <w:p w14:paraId="148AC68D">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污染</w:t>
            </w:r>
          </w:p>
          <w:p w14:paraId="3BA9FB7B">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物排</w:t>
            </w:r>
          </w:p>
          <w:p w14:paraId="08FBAD26">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放控</w:t>
            </w:r>
          </w:p>
          <w:p w14:paraId="2C2DA655">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制标</w:t>
            </w:r>
          </w:p>
          <w:p w14:paraId="1BE82B72">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准</w:t>
            </w:r>
          </w:p>
        </w:tc>
        <w:tc>
          <w:tcPr>
            <w:tcW w:w="8255" w:type="dxa"/>
            <w:vAlign w:val="center"/>
          </w:tcPr>
          <w:p w14:paraId="51DF6B24">
            <w:pPr>
              <w:pStyle w:val="129"/>
              <w:snapToGrid w:val="0"/>
              <w:spacing w:beforeLines="50" w:line="360" w:lineRule="auto"/>
              <w:ind w:firstLine="0" w:firstLineChars="0"/>
              <w:rPr>
                <w:b/>
                <w:color w:val="000000" w:themeColor="text1"/>
                <w:sz w:val="24"/>
                <w14:textFill>
                  <w14:solidFill>
                    <w14:schemeClr w14:val="tx1"/>
                  </w14:solidFill>
                </w14:textFill>
              </w:rPr>
            </w:pPr>
            <w:r>
              <w:rPr>
                <w:b/>
                <w:color w:val="000000" w:themeColor="text1"/>
                <w:sz w:val="24"/>
                <w14:textFill>
                  <w14:solidFill>
                    <w14:schemeClr w14:val="tx1"/>
                  </w14:solidFill>
                </w14:textFill>
              </w:rPr>
              <w:t>1、废气排放标准</w:t>
            </w:r>
          </w:p>
          <w:p w14:paraId="16AB3B88">
            <w:pPr>
              <w:widowControl/>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（1）施工扬尘</w:t>
            </w:r>
          </w:p>
          <w:p w14:paraId="5203DCD7">
            <w:pPr>
              <w:widowControl/>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施工扬尘执行辽宁省《施工及堆料场地扬尘排放标准》（DB21/2642-2016）标准要求。</w:t>
            </w:r>
          </w:p>
          <w:p w14:paraId="3C8F5B23">
            <w:pPr>
              <w:pStyle w:val="7"/>
              <w:rPr>
                <w:rStyle w:val="64"/>
                <w:b/>
                <w:bCs/>
                <w:color w:val="000000" w:themeColor="text1"/>
                <w:szCs w:val="21"/>
                <w14:textFill>
                  <w14:solidFill>
                    <w14:schemeClr w14:val="tx1"/>
                  </w14:solidFill>
                </w14:textFill>
              </w:rPr>
            </w:pPr>
            <w:r>
              <w:rPr>
                <w:rStyle w:val="64"/>
                <w:b/>
                <w:bCs/>
                <w:color w:val="000000" w:themeColor="text1"/>
                <w:szCs w:val="21"/>
                <w14:textFill>
                  <w14:solidFill>
                    <w14:schemeClr w14:val="tx1"/>
                  </w14:solidFill>
                </w14:textFill>
              </w:rPr>
              <w:t>表3-6 施工及堆料场地扬尘排放标准</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2468"/>
              <w:gridCol w:w="3210"/>
            </w:tblGrid>
            <w:tr w14:paraId="1A5310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67" w:type="pct"/>
                  <w:tcBorders>
                    <w:tl2br w:val="nil"/>
                    <w:tr2bl w:val="nil"/>
                  </w:tcBorders>
                  <w:vAlign w:val="center"/>
                </w:tcPr>
                <w:p w14:paraId="5E348A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监测项目</w:t>
                  </w:r>
                </w:p>
              </w:tc>
              <w:tc>
                <w:tcPr>
                  <w:tcW w:w="1535" w:type="pct"/>
                  <w:tcBorders>
                    <w:tl2br w:val="nil"/>
                    <w:tr2bl w:val="nil"/>
                  </w:tcBorders>
                  <w:vAlign w:val="center"/>
                </w:tcPr>
                <w:p w14:paraId="56E7E40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区域</w:t>
                  </w:r>
                </w:p>
              </w:tc>
              <w:tc>
                <w:tcPr>
                  <w:tcW w:w="1997" w:type="pct"/>
                  <w:tcBorders>
                    <w:tl2br w:val="nil"/>
                    <w:tr2bl w:val="nil"/>
                  </w:tcBorders>
                  <w:vAlign w:val="center"/>
                </w:tcPr>
                <w:p w14:paraId="2AD77D3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浓度限值（连续5min平均浓度）</w:t>
                  </w:r>
                </w:p>
              </w:tc>
            </w:tr>
            <w:tr w14:paraId="787E94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67" w:type="pct"/>
                  <w:tcBorders>
                    <w:tl2br w:val="nil"/>
                    <w:tr2bl w:val="nil"/>
                  </w:tcBorders>
                  <w:vAlign w:val="center"/>
                </w:tcPr>
                <w:p w14:paraId="289311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颗粒物（TSP）</w:t>
                  </w:r>
                </w:p>
              </w:tc>
              <w:tc>
                <w:tcPr>
                  <w:tcW w:w="1535" w:type="pct"/>
                  <w:tcBorders>
                    <w:tl2br w:val="nil"/>
                    <w:tr2bl w:val="nil"/>
                  </w:tcBorders>
                  <w:vAlign w:val="center"/>
                </w:tcPr>
                <w:p w14:paraId="387FD7DB">
                  <w:pPr>
                    <w:pStyle w:val="85"/>
                    <w:spacing w:line="240" w:lineRule="auto"/>
                    <w:ind w:firstLine="0" w:firstLineChars="0"/>
                    <w:jc w:val="center"/>
                    <w:rPr>
                      <w:color w:val="000000" w:themeColor="text1"/>
                      <w:szCs w:val="21"/>
                      <w:lang w:val="en-US"/>
                      <w14:textFill>
                        <w14:solidFill>
                          <w14:schemeClr w14:val="tx1"/>
                        </w14:solidFill>
                      </w14:textFill>
                    </w:rPr>
                  </w:pPr>
                  <w:r>
                    <w:rPr>
                      <w:color w:val="000000" w:themeColor="text1"/>
                      <w:sz w:val="21"/>
                      <w:szCs w:val="21"/>
                      <w:lang w:val="en-US"/>
                      <w14:textFill>
                        <w14:solidFill>
                          <w14:schemeClr w14:val="tx1"/>
                        </w14:solidFill>
                      </w14:textFill>
                    </w:rPr>
                    <w:t>郊区及农村地区</w:t>
                  </w:r>
                </w:p>
              </w:tc>
              <w:tc>
                <w:tcPr>
                  <w:tcW w:w="1997" w:type="pct"/>
                  <w:tcBorders>
                    <w:tl2br w:val="nil"/>
                    <w:tr2bl w:val="nil"/>
                  </w:tcBorders>
                  <w:vAlign w:val="center"/>
                </w:tcPr>
                <w:p w14:paraId="05359D3F">
                  <w:pPr>
                    <w:pStyle w:val="85"/>
                    <w:spacing w:line="240" w:lineRule="auto"/>
                    <w:ind w:firstLine="0" w:firstLineChars="0"/>
                    <w:jc w:val="center"/>
                    <w:rPr>
                      <w:color w:val="000000" w:themeColor="text1"/>
                      <w:szCs w:val="21"/>
                      <w:lang w:val="en-US"/>
                      <w14:textFill>
                        <w14:solidFill>
                          <w14:schemeClr w14:val="tx1"/>
                        </w14:solidFill>
                      </w14:textFill>
                    </w:rPr>
                  </w:pPr>
                  <w:r>
                    <w:rPr>
                      <w:color w:val="000000" w:themeColor="text1"/>
                      <w:sz w:val="21"/>
                      <w:szCs w:val="21"/>
                      <w:lang w:val="en-US"/>
                      <w14:textFill>
                        <w14:solidFill>
                          <w14:schemeClr w14:val="tx1"/>
                        </w14:solidFill>
                      </w14:textFill>
                    </w:rPr>
                    <w:t>1.0mg/m</w:t>
                  </w:r>
                  <w:r>
                    <w:rPr>
                      <w:color w:val="000000" w:themeColor="text1"/>
                      <w:sz w:val="21"/>
                      <w:szCs w:val="21"/>
                      <w:vertAlign w:val="superscript"/>
                      <w:lang w:val="en-US"/>
                      <w14:textFill>
                        <w14:solidFill>
                          <w14:schemeClr w14:val="tx1"/>
                        </w14:solidFill>
                      </w14:textFill>
                    </w:rPr>
                    <w:t>3</w:t>
                  </w:r>
                </w:p>
              </w:tc>
            </w:tr>
          </w:tbl>
          <w:p w14:paraId="06EB80AF">
            <w:pPr>
              <w:pStyle w:val="7"/>
              <w:spacing w:before="120" w:beforeLines="50" w:line="360" w:lineRule="auto"/>
              <w:ind w:firstLine="480" w:firstLineChars="200"/>
              <w:jc w:val="both"/>
              <w:rPr>
                <w:color w:val="000000" w:themeColor="text1"/>
                <w14:textFill>
                  <w14:solidFill>
                    <w14:schemeClr w14:val="tx1"/>
                  </w14:solidFill>
                </w14:textFill>
              </w:rPr>
            </w:pPr>
            <w:r>
              <w:rPr>
                <w:rStyle w:val="64"/>
                <w:color w:val="000000" w:themeColor="text1"/>
                <w:sz w:val="24"/>
                <w14:textFill>
                  <w14:solidFill>
                    <w14:schemeClr w14:val="tx1"/>
                  </w14:solidFill>
                </w14:textFill>
              </w:rPr>
              <w:t>（2）运营期废气</w:t>
            </w:r>
          </w:p>
          <w:p w14:paraId="4603DF83">
            <w:pPr>
              <w:widowControl/>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①蒸汽发生器烟气</w:t>
            </w:r>
          </w:p>
          <w:p w14:paraId="43393C56">
            <w:pPr>
              <w:widowControl/>
              <w:snapToGrid w:val="0"/>
              <w:spacing w:line="360" w:lineRule="auto"/>
              <w:ind w:firstLine="480" w:firstLineChars="200"/>
              <w:textAlignment w:val="baseline"/>
              <w:rPr>
                <w:rStyle w:val="64"/>
                <w:b/>
                <w:bCs/>
                <w:color w:val="000000" w:themeColor="text1"/>
                <w:szCs w:val="21"/>
                <w14:textFill>
                  <w14:solidFill>
                    <w14:schemeClr w14:val="tx1"/>
                  </w14:solidFill>
                </w14:textFill>
              </w:rPr>
            </w:pPr>
            <w:r>
              <w:rPr>
                <w:rStyle w:val="64"/>
                <w:color w:val="000000" w:themeColor="text1"/>
                <w:sz w:val="24"/>
                <w14:textFill>
                  <w14:solidFill>
                    <w14:schemeClr w14:val="tx1"/>
                  </w14:solidFill>
                </w14:textFill>
              </w:rPr>
              <w:t>本项目</w:t>
            </w:r>
            <w:r>
              <w:rPr>
                <w:color w:val="000000" w:themeColor="text1"/>
                <w:kern w:val="0"/>
                <w:sz w:val="24"/>
                <w:lang w:bidi="ar"/>
                <w14:textFill>
                  <w14:solidFill>
                    <w14:schemeClr w14:val="tx1"/>
                  </w14:solidFill>
                </w14:textFill>
              </w:rPr>
              <w:t>生物质蒸汽发生器排放的烟气执行《锅炉大气污染物排放标准》（13271-2014）表3大气污染物特别排放限值中燃煤锅炉标准限值要求</w:t>
            </w:r>
            <w:r>
              <w:rPr>
                <w:rStyle w:val="64"/>
                <w:color w:val="000000" w:themeColor="text1"/>
                <w:sz w:val="24"/>
                <w14:textFill>
                  <w14:solidFill>
                    <w14:schemeClr w14:val="tx1"/>
                  </w14:solidFill>
                </w14:textFill>
              </w:rPr>
              <w:t>，具体见下表。</w:t>
            </w:r>
          </w:p>
          <w:p w14:paraId="09E3DB27">
            <w:pPr>
              <w:jc w:val="center"/>
              <w:rPr>
                <w:b/>
                <w:bCs/>
                <w:color w:val="000000" w:themeColor="text1"/>
                <w:szCs w:val="21"/>
                <w14:textFill>
                  <w14:solidFill>
                    <w14:schemeClr w14:val="tx1"/>
                  </w14:solidFill>
                </w14:textFill>
              </w:rPr>
            </w:pPr>
            <w:r>
              <w:rPr>
                <w:b/>
                <w:color w:val="000000" w:themeColor="text1"/>
                <w:szCs w:val="21"/>
                <w14:textFill>
                  <w14:solidFill>
                    <w14:schemeClr w14:val="tx1"/>
                  </w14:solidFill>
                </w14:textFill>
              </w:rPr>
              <w:t>表3-7  蒸汽发生器污染物特别排放</w:t>
            </w:r>
            <w:r>
              <w:rPr>
                <w:b/>
                <w:bCs/>
                <w:color w:val="000000" w:themeColor="text1"/>
                <w:szCs w:val="21"/>
                <w14:textFill>
                  <w14:solidFill>
                    <w14:schemeClr w14:val="tx1"/>
                  </w14:solidFill>
                </w14:textFill>
              </w:rPr>
              <w:t>限值</w:t>
            </w:r>
          </w:p>
          <w:tbl>
            <w:tblPr>
              <w:tblStyle w:val="31"/>
              <w:tblW w:w="4998" w:type="pct"/>
              <w:jc w:val="center"/>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23"/>
              <w:gridCol w:w="1834"/>
              <w:gridCol w:w="1165"/>
              <w:gridCol w:w="2181"/>
              <w:gridCol w:w="1733"/>
            </w:tblGrid>
            <w:tr w14:paraId="11D15C28">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99" w:type="pct"/>
                  <w:tcBorders>
                    <w:top w:val="single" w:color="000000" w:sz="12" w:space="0"/>
                    <w:left w:val="nil"/>
                    <w:bottom w:val="single" w:color="000000" w:sz="4" w:space="0"/>
                    <w:right w:val="single" w:color="000000" w:sz="4" w:space="0"/>
                  </w:tcBorders>
                  <w:vAlign w:val="center"/>
                </w:tcPr>
                <w:p w14:paraId="5410A1BD">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类别</w:t>
                  </w:r>
                </w:p>
              </w:tc>
              <w:tc>
                <w:tcPr>
                  <w:tcW w:w="1141" w:type="pct"/>
                  <w:tcBorders>
                    <w:top w:val="single" w:color="000000" w:sz="12" w:space="0"/>
                    <w:left w:val="nil"/>
                    <w:bottom w:val="single" w:color="000000" w:sz="4" w:space="0"/>
                    <w:right w:val="single" w:color="000000" w:sz="4" w:space="0"/>
                  </w:tcBorders>
                  <w:vAlign w:val="center"/>
                </w:tcPr>
                <w:p w14:paraId="4AF3023A">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污染物</w:t>
                  </w:r>
                </w:p>
              </w:tc>
              <w:tc>
                <w:tcPr>
                  <w:tcW w:w="725" w:type="pct"/>
                  <w:tcBorders>
                    <w:top w:val="single" w:color="000000" w:sz="12" w:space="0"/>
                    <w:left w:val="nil"/>
                    <w:bottom w:val="single" w:color="000000" w:sz="4" w:space="0"/>
                    <w:right w:val="single" w:color="000000" w:sz="4" w:space="0"/>
                  </w:tcBorders>
                  <w:vAlign w:val="center"/>
                </w:tcPr>
                <w:p w14:paraId="5C9BC0BE">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检测点位</w:t>
                  </w:r>
                </w:p>
              </w:tc>
              <w:tc>
                <w:tcPr>
                  <w:tcW w:w="1357" w:type="pct"/>
                  <w:tcBorders>
                    <w:top w:val="single" w:color="000000" w:sz="12" w:space="0"/>
                    <w:left w:val="single" w:color="000000" w:sz="4" w:space="0"/>
                    <w:bottom w:val="single" w:color="000000" w:sz="4" w:space="0"/>
                    <w:right w:val="nil"/>
                  </w:tcBorders>
                  <w:vAlign w:val="center"/>
                </w:tcPr>
                <w:p w14:paraId="1FB9D5AE">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浓度限值（mg/m</w:t>
                  </w:r>
                  <w:r>
                    <w:rPr>
                      <w:rStyle w:val="64"/>
                      <w:color w:val="000000" w:themeColor="text1"/>
                      <w:szCs w:val="21"/>
                      <w:vertAlign w:val="superscript"/>
                      <w14:textFill>
                        <w14:solidFill>
                          <w14:schemeClr w14:val="tx1"/>
                        </w14:solidFill>
                      </w14:textFill>
                    </w:rPr>
                    <w:t>3</w:t>
                  </w:r>
                  <w:r>
                    <w:rPr>
                      <w:rStyle w:val="64"/>
                      <w:color w:val="000000" w:themeColor="text1"/>
                      <w:szCs w:val="21"/>
                      <w14:textFill>
                        <w14:solidFill>
                          <w14:schemeClr w14:val="tx1"/>
                        </w14:solidFill>
                      </w14:textFill>
                    </w:rPr>
                    <w:t>）</w:t>
                  </w:r>
                </w:p>
              </w:tc>
              <w:tc>
                <w:tcPr>
                  <w:tcW w:w="1076" w:type="pct"/>
                  <w:tcBorders>
                    <w:top w:val="single" w:color="000000" w:sz="12" w:space="0"/>
                    <w:left w:val="single" w:color="000000" w:sz="4" w:space="0"/>
                    <w:bottom w:val="single" w:color="000000" w:sz="4" w:space="0"/>
                    <w:right w:val="nil"/>
                  </w:tcBorders>
                  <w:vAlign w:val="center"/>
                </w:tcPr>
                <w:p w14:paraId="3E6B0814">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排气筒高度（m）</w:t>
                  </w:r>
                </w:p>
              </w:tc>
            </w:tr>
            <w:tr w14:paraId="5B6A1D6D">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99" w:type="pct"/>
                  <w:vMerge w:val="restart"/>
                  <w:tcBorders>
                    <w:top w:val="single" w:color="000000" w:sz="4" w:space="0"/>
                    <w:left w:val="nil"/>
                    <w:right w:val="single" w:color="000000" w:sz="4" w:space="0"/>
                  </w:tcBorders>
                  <w:vAlign w:val="center"/>
                </w:tcPr>
                <w:p w14:paraId="07D14AE6">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燃煤锅炉（参考）</w:t>
                  </w:r>
                </w:p>
              </w:tc>
              <w:tc>
                <w:tcPr>
                  <w:tcW w:w="1141" w:type="pct"/>
                  <w:tcBorders>
                    <w:top w:val="single" w:color="000000" w:sz="4" w:space="0"/>
                    <w:left w:val="nil"/>
                    <w:right w:val="single" w:color="000000" w:sz="4" w:space="0"/>
                  </w:tcBorders>
                  <w:vAlign w:val="center"/>
                </w:tcPr>
                <w:p w14:paraId="25E57C23">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烟尘</w:t>
                  </w:r>
                </w:p>
              </w:tc>
              <w:tc>
                <w:tcPr>
                  <w:tcW w:w="725" w:type="pct"/>
                  <w:vMerge w:val="restart"/>
                  <w:tcBorders>
                    <w:top w:val="single" w:color="000000" w:sz="4" w:space="0"/>
                    <w:left w:val="nil"/>
                    <w:right w:val="single" w:color="000000" w:sz="4" w:space="0"/>
                  </w:tcBorders>
                  <w:vAlign w:val="center"/>
                </w:tcPr>
                <w:p w14:paraId="3B5D6178">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烟囱或烟道</w:t>
                  </w:r>
                </w:p>
              </w:tc>
              <w:tc>
                <w:tcPr>
                  <w:tcW w:w="1357" w:type="pct"/>
                  <w:tcBorders>
                    <w:top w:val="single" w:color="000000" w:sz="4" w:space="0"/>
                    <w:left w:val="single" w:color="000000" w:sz="4" w:space="0"/>
                    <w:bottom w:val="single" w:color="000000" w:sz="4" w:space="0"/>
                    <w:right w:val="nil"/>
                  </w:tcBorders>
                  <w:vAlign w:val="center"/>
                </w:tcPr>
                <w:p w14:paraId="30FA7BA3">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30</w:t>
                  </w:r>
                </w:p>
              </w:tc>
              <w:tc>
                <w:tcPr>
                  <w:tcW w:w="1076" w:type="pct"/>
                  <w:vMerge w:val="restart"/>
                  <w:tcBorders>
                    <w:top w:val="single" w:color="000000" w:sz="4" w:space="0"/>
                    <w:left w:val="single" w:color="000000" w:sz="4" w:space="0"/>
                    <w:right w:val="nil"/>
                  </w:tcBorders>
                  <w:vAlign w:val="center"/>
                </w:tcPr>
                <w:p w14:paraId="0A14EE07">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30</w:t>
                  </w:r>
                </w:p>
              </w:tc>
            </w:tr>
            <w:tr w14:paraId="044F5D4C">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99" w:type="pct"/>
                  <w:vMerge w:val="continue"/>
                  <w:tcBorders>
                    <w:left w:val="nil"/>
                    <w:right w:val="single" w:color="000000" w:sz="4" w:space="0"/>
                  </w:tcBorders>
                  <w:vAlign w:val="center"/>
                </w:tcPr>
                <w:p w14:paraId="0C00AFA9">
                  <w:pPr>
                    <w:widowControl/>
                    <w:snapToGrid w:val="0"/>
                    <w:jc w:val="center"/>
                    <w:textAlignment w:val="baseline"/>
                    <w:rPr>
                      <w:rStyle w:val="64"/>
                      <w:color w:val="000000" w:themeColor="text1"/>
                      <w:szCs w:val="21"/>
                      <w14:textFill>
                        <w14:solidFill>
                          <w14:schemeClr w14:val="tx1"/>
                        </w14:solidFill>
                      </w14:textFill>
                    </w:rPr>
                  </w:pPr>
                </w:p>
              </w:tc>
              <w:tc>
                <w:tcPr>
                  <w:tcW w:w="1141" w:type="pct"/>
                  <w:tcBorders>
                    <w:left w:val="nil"/>
                    <w:right w:val="single" w:color="000000" w:sz="4" w:space="0"/>
                  </w:tcBorders>
                  <w:vAlign w:val="center"/>
                </w:tcPr>
                <w:p w14:paraId="75CB7634">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SO</w:t>
                  </w:r>
                  <w:r>
                    <w:rPr>
                      <w:rStyle w:val="64"/>
                      <w:color w:val="000000" w:themeColor="text1"/>
                      <w:szCs w:val="21"/>
                      <w:vertAlign w:val="subscript"/>
                      <w14:textFill>
                        <w14:solidFill>
                          <w14:schemeClr w14:val="tx1"/>
                        </w14:solidFill>
                      </w14:textFill>
                    </w:rPr>
                    <w:t>2</w:t>
                  </w:r>
                </w:p>
              </w:tc>
              <w:tc>
                <w:tcPr>
                  <w:tcW w:w="725" w:type="pct"/>
                  <w:vMerge w:val="continue"/>
                  <w:tcBorders>
                    <w:left w:val="nil"/>
                    <w:right w:val="single" w:color="000000" w:sz="4" w:space="0"/>
                  </w:tcBorders>
                  <w:vAlign w:val="center"/>
                </w:tcPr>
                <w:p w14:paraId="7EB1B41D">
                  <w:pPr>
                    <w:widowControl/>
                    <w:snapToGrid w:val="0"/>
                    <w:jc w:val="center"/>
                    <w:textAlignment w:val="baseline"/>
                    <w:rPr>
                      <w:rStyle w:val="64"/>
                      <w:color w:val="000000" w:themeColor="text1"/>
                      <w:szCs w:val="21"/>
                      <w14:textFill>
                        <w14:solidFill>
                          <w14:schemeClr w14:val="tx1"/>
                        </w14:solidFill>
                      </w14:textFill>
                    </w:rPr>
                  </w:pPr>
                </w:p>
              </w:tc>
              <w:tc>
                <w:tcPr>
                  <w:tcW w:w="1357" w:type="pct"/>
                  <w:tcBorders>
                    <w:top w:val="single" w:color="000000" w:sz="4" w:space="0"/>
                    <w:left w:val="single" w:color="000000" w:sz="4" w:space="0"/>
                    <w:bottom w:val="single" w:color="000000" w:sz="4" w:space="0"/>
                    <w:right w:val="nil"/>
                  </w:tcBorders>
                  <w:vAlign w:val="center"/>
                </w:tcPr>
                <w:p w14:paraId="36E3B8BF">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200</w:t>
                  </w:r>
                </w:p>
              </w:tc>
              <w:tc>
                <w:tcPr>
                  <w:tcW w:w="1076" w:type="pct"/>
                  <w:vMerge w:val="continue"/>
                  <w:tcBorders>
                    <w:left w:val="single" w:color="000000" w:sz="4" w:space="0"/>
                    <w:right w:val="nil"/>
                  </w:tcBorders>
                  <w:vAlign w:val="center"/>
                </w:tcPr>
                <w:p w14:paraId="6F140E0B">
                  <w:pPr>
                    <w:widowControl/>
                    <w:snapToGrid w:val="0"/>
                    <w:jc w:val="center"/>
                    <w:textAlignment w:val="baseline"/>
                    <w:rPr>
                      <w:rStyle w:val="64"/>
                      <w:color w:val="000000" w:themeColor="text1"/>
                      <w:szCs w:val="21"/>
                      <w14:textFill>
                        <w14:solidFill>
                          <w14:schemeClr w14:val="tx1"/>
                        </w14:solidFill>
                      </w14:textFill>
                    </w:rPr>
                  </w:pPr>
                </w:p>
              </w:tc>
            </w:tr>
            <w:tr w14:paraId="0619589E">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99" w:type="pct"/>
                  <w:vMerge w:val="continue"/>
                  <w:tcBorders>
                    <w:left w:val="nil"/>
                    <w:right w:val="single" w:color="000000" w:sz="4" w:space="0"/>
                  </w:tcBorders>
                  <w:vAlign w:val="center"/>
                </w:tcPr>
                <w:p w14:paraId="7C9D5FC9">
                  <w:pPr>
                    <w:widowControl/>
                    <w:snapToGrid w:val="0"/>
                    <w:jc w:val="center"/>
                    <w:textAlignment w:val="baseline"/>
                    <w:rPr>
                      <w:rStyle w:val="64"/>
                      <w:color w:val="000000" w:themeColor="text1"/>
                      <w:szCs w:val="21"/>
                      <w14:textFill>
                        <w14:solidFill>
                          <w14:schemeClr w14:val="tx1"/>
                        </w14:solidFill>
                      </w14:textFill>
                    </w:rPr>
                  </w:pPr>
                </w:p>
              </w:tc>
              <w:tc>
                <w:tcPr>
                  <w:tcW w:w="1141" w:type="pct"/>
                  <w:tcBorders>
                    <w:left w:val="nil"/>
                    <w:right w:val="single" w:color="000000" w:sz="4" w:space="0"/>
                  </w:tcBorders>
                  <w:vAlign w:val="center"/>
                </w:tcPr>
                <w:p w14:paraId="3B546B2B">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NOx</w:t>
                  </w:r>
                </w:p>
              </w:tc>
              <w:tc>
                <w:tcPr>
                  <w:tcW w:w="725" w:type="pct"/>
                  <w:vMerge w:val="continue"/>
                  <w:tcBorders>
                    <w:left w:val="nil"/>
                    <w:right w:val="single" w:color="000000" w:sz="4" w:space="0"/>
                  </w:tcBorders>
                  <w:vAlign w:val="center"/>
                </w:tcPr>
                <w:p w14:paraId="5A6ED1B7">
                  <w:pPr>
                    <w:widowControl/>
                    <w:snapToGrid w:val="0"/>
                    <w:jc w:val="center"/>
                    <w:textAlignment w:val="baseline"/>
                    <w:rPr>
                      <w:rStyle w:val="64"/>
                      <w:color w:val="000000" w:themeColor="text1"/>
                      <w:szCs w:val="21"/>
                      <w14:textFill>
                        <w14:solidFill>
                          <w14:schemeClr w14:val="tx1"/>
                        </w14:solidFill>
                      </w14:textFill>
                    </w:rPr>
                  </w:pPr>
                </w:p>
              </w:tc>
              <w:tc>
                <w:tcPr>
                  <w:tcW w:w="1357" w:type="pct"/>
                  <w:tcBorders>
                    <w:top w:val="single" w:color="000000" w:sz="4" w:space="0"/>
                    <w:left w:val="single" w:color="000000" w:sz="4" w:space="0"/>
                    <w:bottom w:val="single" w:color="000000" w:sz="4" w:space="0"/>
                    <w:right w:val="nil"/>
                  </w:tcBorders>
                  <w:vAlign w:val="center"/>
                </w:tcPr>
                <w:p w14:paraId="57521077">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200</w:t>
                  </w:r>
                </w:p>
              </w:tc>
              <w:tc>
                <w:tcPr>
                  <w:tcW w:w="1076" w:type="pct"/>
                  <w:vMerge w:val="continue"/>
                  <w:tcBorders>
                    <w:left w:val="single" w:color="000000" w:sz="4" w:space="0"/>
                    <w:right w:val="nil"/>
                  </w:tcBorders>
                  <w:vAlign w:val="center"/>
                </w:tcPr>
                <w:p w14:paraId="0ADB423A">
                  <w:pPr>
                    <w:widowControl/>
                    <w:snapToGrid w:val="0"/>
                    <w:jc w:val="center"/>
                    <w:textAlignment w:val="baseline"/>
                    <w:rPr>
                      <w:rStyle w:val="64"/>
                      <w:color w:val="000000" w:themeColor="text1"/>
                      <w:szCs w:val="21"/>
                      <w14:textFill>
                        <w14:solidFill>
                          <w14:schemeClr w14:val="tx1"/>
                        </w14:solidFill>
                      </w14:textFill>
                    </w:rPr>
                  </w:pPr>
                </w:p>
              </w:tc>
            </w:tr>
            <w:tr w14:paraId="086DCA21">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699" w:type="pct"/>
                  <w:vMerge w:val="continue"/>
                  <w:tcBorders>
                    <w:left w:val="nil"/>
                    <w:right w:val="single" w:color="000000" w:sz="4" w:space="0"/>
                  </w:tcBorders>
                  <w:vAlign w:val="center"/>
                </w:tcPr>
                <w:p w14:paraId="4E5743BF">
                  <w:pPr>
                    <w:widowControl/>
                    <w:snapToGrid w:val="0"/>
                    <w:jc w:val="center"/>
                    <w:textAlignment w:val="baseline"/>
                    <w:rPr>
                      <w:rStyle w:val="64"/>
                      <w:color w:val="000000" w:themeColor="text1"/>
                      <w:szCs w:val="21"/>
                      <w14:textFill>
                        <w14:solidFill>
                          <w14:schemeClr w14:val="tx1"/>
                        </w14:solidFill>
                      </w14:textFill>
                    </w:rPr>
                  </w:pPr>
                </w:p>
              </w:tc>
              <w:tc>
                <w:tcPr>
                  <w:tcW w:w="1141" w:type="pct"/>
                  <w:tcBorders>
                    <w:left w:val="nil"/>
                    <w:right w:val="single" w:color="000000" w:sz="4" w:space="0"/>
                  </w:tcBorders>
                  <w:vAlign w:val="center"/>
                </w:tcPr>
                <w:p w14:paraId="21E317EC">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烟气黑度（格林曼黑度，级）</w:t>
                  </w:r>
                </w:p>
              </w:tc>
              <w:tc>
                <w:tcPr>
                  <w:tcW w:w="725" w:type="pct"/>
                  <w:vMerge w:val="continue"/>
                  <w:tcBorders>
                    <w:left w:val="nil"/>
                    <w:right w:val="single" w:color="000000" w:sz="4" w:space="0"/>
                  </w:tcBorders>
                  <w:vAlign w:val="center"/>
                </w:tcPr>
                <w:p w14:paraId="1FF6C4DA">
                  <w:pPr>
                    <w:widowControl/>
                    <w:snapToGrid w:val="0"/>
                    <w:jc w:val="center"/>
                    <w:textAlignment w:val="baseline"/>
                    <w:rPr>
                      <w:rStyle w:val="64"/>
                      <w:color w:val="000000" w:themeColor="text1"/>
                      <w:szCs w:val="21"/>
                      <w14:textFill>
                        <w14:solidFill>
                          <w14:schemeClr w14:val="tx1"/>
                        </w14:solidFill>
                      </w14:textFill>
                    </w:rPr>
                  </w:pPr>
                </w:p>
              </w:tc>
              <w:tc>
                <w:tcPr>
                  <w:tcW w:w="1357" w:type="pct"/>
                  <w:tcBorders>
                    <w:top w:val="single" w:color="000000" w:sz="4" w:space="0"/>
                    <w:left w:val="single" w:color="000000" w:sz="4" w:space="0"/>
                    <w:bottom w:val="single" w:color="000000" w:sz="4" w:space="0"/>
                    <w:right w:val="nil"/>
                  </w:tcBorders>
                  <w:vAlign w:val="center"/>
                </w:tcPr>
                <w:p w14:paraId="1E0F1718">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Cs w:val="21"/>
                      <w14:textFill>
                        <w14:solidFill>
                          <w14:schemeClr w14:val="tx1"/>
                        </w14:solidFill>
                      </w14:textFill>
                    </w:rPr>
                    <w:t>≦1</w:t>
                  </w:r>
                </w:p>
              </w:tc>
              <w:tc>
                <w:tcPr>
                  <w:tcW w:w="1076" w:type="pct"/>
                  <w:vMerge w:val="continue"/>
                  <w:tcBorders>
                    <w:left w:val="single" w:color="000000" w:sz="4" w:space="0"/>
                    <w:right w:val="nil"/>
                  </w:tcBorders>
                  <w:vAlign w:val="center"/>
                </w:tcPr>
                <w:p w14:paraId="69D4EE56">
                  <w:pPr>
                    <w:widowControl/>
                    <w:snapToGrid w:val="0"/>
                    <w:jc w:val="center"/>
                    <w:textAlignment w:val="baseline"/>
                    <w:rPr>
                      <w:rStyle w:val="64"/>
                      <w:color w:val="000000" w:themeColor="text1"/>
                      <w:szCs w:val="21"/>
                      <w14:textFill>
                        <w14:solidFill>
                          <w14:schemeClr w14:val="tx1"/>
                        </w14:solidFill>
                      </w14:textFill>
                    </w:rPr>
                  </w:pPr>
                </w:p>
              </w:tc>
            </w:tr>
            <w:tr w14:paraId="52978E51">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00" w:type="pct"/>
                  <w:gridSpan w:val="5"/>
                  <w:tcBorders>
                    <w:left w:val="nil"/>
                    <w:bottom w:val="single" w:color="000000" w:sz="12" w:space="0"/>
                    <w:right w:val="nil"/>
                  </w:tcBorders>
                  <w:vAlign w:val="center"/>
                </w:tcPr>
                <w:p w14:paraId="784F7C09">
                  <w:pPr>
                    <w:widowControl/>
                    <w:snapToGrid w:val="0"/>
                    <w:jc w:val="center"/>
                    <w:textAlignment w:val="baseline"/>
                    <w:rPr>
                      <w:rStyle w:val="64"/>
                      <w:color w:val="000000" w:themeColor="text1"/>
                      <w:szCs w:val="21"/>
                      <w14:textFill>
                        <w14:solidFill>
                          <w14:schemeClr w14:val="tx1"/>
                        </w14:solidFill>
                      </w14:textFill>
                    </w:rPr>
                  </w:pPr>
                  <w:r>
                    <w:rPr>
                      <w:rStyle w:val="64"/>
                      <w:color w:val="000000" w:themeColor="text1"/>
                      <w:sz w:val="18"/>
                      <w:szCs w:val="18"/>
                      <w14:textFill>
                        <w14:solidFill>
                          <w14:schemeClr w14:val="tx1"/>
                        </w14:solidFill>
                      </w14:textFill>
                    </w:rPr>
                    <w:t>根据《锅炉大气污染物排放标准》（GB13271-2014）表4燃煤锅炉房烟囱最低允许高度，2.5t/h蒸汽发生器其烟囱高度应不低于30m，烟囱周围半径200m距离内无高出本项目的建筑物，因此本项目蒸汽发生器需设置30m高烟囱</w:t>
                  </w:r>
                </w:p>
              </w:tc>
            </w:tr>
          </w:tbl>
          <w:p w14:paraId="029B7989">
            <w:pPr>
              <w:spacing w:line="360" w:lineRule="auto"/>
              <w:ind w:firstLine="480" w:firstLineChars="20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炉渣清理过程中产生的无组织颗粒物排放浓度执行《大气污染物综合排放标准》（GB16297-1996）中表2浓度限值</w:t>
            </w:r>
            <w:r>
              <w:rPr>
                <w:color w:val="000000" w:themeColor="text1"/>
                <w:sz w:val="24"/>
                <w14:textFill>
                  <w14:solidFill>
                    <w14:schemeClr w14:val="tx1"/>
                  </w14:solidFill>
                </w14:textFill>
              </w:rPr>
              <w:t>。</w:t>
            </w:r>
          </w:p>
          <w:p w14:paraId="5F5F83B2">
            <w:pPr>
              <w:jc w:val="center"/>
              <w:rPr>
                <w:b/>
                <w:bCs/>
                <w:color w:val="000000" w:themeColor="text1"/>
                <w14:textFill>
                  <w14:solidFill>
                    <w14:schemeClr w14:val="tx1"/>
                  </w14:solidFill>
                </w14:textFill>
              </w:rPr>
            </w:pPr>
            <w:r>
              <w:rPr>
                <w:b/>
                <w:bCs/>
                <w:color w:val="000000" w:themeColor="text1"/>
                <w:szCs w:val="21"/>
                <w14:textFill>
                  <w14:solidFill>
                    <w14:schemeClr w14:val="tx1"/>
                  </w14:solidFill>
                </w14:textFill>
              </w:rPr>
              <w:t>表3-8  运营期废气排放执行标准</w:t>
            </w:r>
          </w:p>
          <w:tbl>
            <w:tblPr>
              <w:tblStyle w:val="31"/>
              <w:tblW w:w="4999"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660"/>
              <w:gridCol w:w="3171"/>
              <w:gridCol w:w="3206"/>
            </w:tblGrid>
            <w:tr w14:paraId="561169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1033" w:type="pct"/>
                  <w:tcBorders>
                    <w:tl2br w:val="nil"/>
                    <w:tr2bl w:val="nil"/>
                  </w:tcBorders>
                  <w:vAlign w:val="center"/>
                </w:tcPr>
                <w:p w14:paraId="4BC854BA">
                  <w:pPr>
                    <w:pStyle w:val="94"/>
                    <w:spacing w:before="0"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w:t>
                  </w:r>
                </w:p>
              </w:tc>
              <w:tc>
                <w:tcPr>
                  <w:tcW w:w="1972" w:type="pct"/>
                  <w:tcBorders>
                    <w:tl2br w:val="nil"/>
                    <w:tr2bl w:val="nil"/>
                  </w:tcBorders>
                  <w:vAlign w:val="center"/>
                </w:tcPr>
                <w:p w14:paraId="381C8EF1">
                  <w:pPr>
                    <w:pStyle w:val="94"/>
                    <w:spacing w:before="0"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无组织排放监控浓度限值mg/m</w:t>
                  </w:r>
                  <w:r>
                    <w:rPr>
                      <w:color w:val="000000" w:themeColor="text1"/>
                      <w:sz w:val="21"/>
                      <w:szCs w:val="21"/>
                      <w:vertAlign w:val="superscript"/>
                      <w14:textFill>
                        <w14:solidFill>
                          <w14:schemeClr w14:val="tx1"/>
                        </w14:solidFill>
                      </w14:textFill>
                    </w:rPr>
                    <w:t>3</w:t>
                  </w:r>
                </w:p>
              </w:tc>
              <w:tc>
                <w:tcPr>
                  <w:tcW w:w="1994" w:type="pct"/>
                  <w:tcBorders>
                    <w:tl2br w:val="nil"/>
                    <w:tr2bl w:val="nil"/>
                  </w:tcBorders>
                  <w:vAlign w:val="center"/>
                </w:tcPr>
                <w:p w14:paraId="72B32356">
                  <w:pPr>
                    <w:pStyle w:val="94"/>
                    <w:spacing w:before="0"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无组织排放监控位置</w:t>
                  </w:r>
                </w:p>
              </w:tc>
            </w:tr>
            <w:tr w14:paraId="1D13C0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1033" w:type="pct"/>
                  <w:tcBorders>
                    <w:tl2br w:val="nil"/>
                    <w:tr2bl w:val="nil"/>
                  </w:tcBorders>
                  <w:vAlign w:val="center"/>
                </w:tcPr>
                <w:p w14:paraId="40B76100">
                  <w:pPr>
                    <w:pStyle w:val="94"/>
                    <w:spacing w:before="0"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颗粒物</w:t>
                  </w:r>
                </w:p>
              </w:tc>
              <w:tc>
                <w:tcPr>
                  <w:tcW w:w="1972" w:type="pct"/>
                  <w:tcBorders>
                    <w:tl2br w:val="nil"/>
                    <w:tr2bl w:val="nil"/>
                  </w:tcBorders>
                  <w:vAlign w:val="center"/>
                </w:tcPr>
                <w:p w14:paraId="1C65D8BD">
                  <w:pPr>
                    <w:pStyle w:val="94"/>
                    <w:spacing w:before="0"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w:t>
                  </w:r>
                </w:p>
              </w:tc>
              <w:tc>
                <w:tcPr>
                  <w:tcW w:w="1994" w:type="pct"/>
                  <w:tcBorders>
                    <w:tl2br w:val="nil"/>
                    <w:tr2bl w:val="nil"/>
                  </w:tcBorders>
                  <w:vAlign w:val="center"/>
                </w:tcPr>
                <w:p w14:paraId="26E20F1A">
                  <w:pPr>
                    <w:pStyle w:val="94"/>
                    <w:spacing w:before="0"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周界外浓度最高点</w:t>
                  </w:r>
                </w:p>
              </w:tc>
            </w:tr>
          </w:tbl>
          <w:p w14:paraId="30AD3967">
            <w:pPr>
              <w:pStyle w:val="129"/>
              <w:snapToGrid w:val="0"/>
              <w:spacing w:beforeLines="50" w:line="360" w:lineRule="auto"/>
              <w:ind w:firstLine="0" w:firstLineChars="0"/>
              <w:rPr>
                <w:b/>
                <w:color w:val="000000" w:themeColor="text1"/>
                <w:sz w:val="24"/>
                <w14:textFill>
                  <w14:solidFill>
                    <w14:schemeClr w14:val="tx1"/>
                  </w14:solidFill>
                </w14:textFill>
              </w:rPr>
            </w:pPr>
            <w:r>
              <w:rPr>
                <w:b/>
                <w:color w:val="000000" w:themeColor="text1"/>
                <w:sz w:val="24"/>
                <w14:textFill>
                  <w14:solidFill>
                    <w14:schemeClr w14:val="tx1"/>
                  </w14:solidFill>
                </w14:textFill>
              </w:rPr>
              <w:t>2、废水排放标准</w:t>
            </w:r>
          </w:p>
          <w:p w14:paraId="78D07FF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蒸汽发生器排污水经化粪池处理后，排入峡河乡污水处理设施。厂区总排放口污染物pH执行《污水综合排放标准》（GB8978-1996）三级标准，其余污染因子执行《辽宁省污水综合排放标准》（DB21/1627-2008）中排入城镇污水处理厂的水污染物最高允许排放浓度，具体见下表。</w:t>
            </w:r>
          </w:p>
          <w:p w14:paraId="38D020B5">
            <w:pPr>
              <w:keepNext/>
              <w:autoSpaceDE w:val="0"/>
              <w:autoSpaceDN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表3-9   废水污染物排放标准     单位:mg/L (PH除外)</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2025"/>
              <w:gridCol w:w="1712"/>
              <w:gridCol w:w="2873"/>
            </w:tblGrid>
            <w:tr w14:paraId="77FD59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1A06BE40">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2025" w:type="dxa"/>
                  <w:tcBorders>
                    <w:tl2br w:val="nil"/>
                    <w:tr2bl w:val="nil"/>
                  </w:tcBorders>
                  <w:vAlign w:val="center"/>
                </w:tcPr>
                <w:p w14:paraId="54591EC1">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污染物或项目名称</w:t>
                  </w:r>
                </w:p>
              </w:tc>
              <w:tc>
                <w:tcPr>
                  <w:tcW w:w="1712" w:type="dxa"/>
                  <w:tcBorders>
                    <w:tl2br w:val="nil"/>
                    <w:tr2bl w:val="nil"/>
                  </w:tcBorders>
                  <w:vAlign w:val="center"/>
                </w:tcPr>
                <w:p w14:paraId="1037B873">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限值</w:t>
                  </w:r>
                </w:p>
              </w:tc>
              <w:tc>
                <w:tcPr>
                  <w:tcW w:w="2873" w:type="dxa"/>
                  <w:tcBorders>
                    <w:tl2br w:val="nil"/>
                    <w:tr2bl w:val="nil"/>
                  </w:tcBorders>
                  <w:vAlign w:val="center"/>
                </w:tcPr>
                <w:p w14:paraId="01025B66">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标准来源</w:t>
                  </w:r>
                </w:p>
              </w:tc>
            </w:tr>
            <w:tr w14:paraId="1E3225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4E84D604">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2025" w:type="dxa"/>
                  <w:tcBorders>
                    <w:tl2br w:val="nil"/>
                    <w:tr2bl w:val="nil"/>
                  </w:tcBorders>
                  <w:vAlign w:val="center"/>
                </w:tcPr>
                <w:p w14:paraId="3F8BD2E6">
                  <w:pPr>
                    <w:widowControl/>
                    <w:jc w:val="center"/>
                    <w:rPr>
                      <w:bCs/>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COD</w:t>
                  </w:r>
                </w:p>
              </w:tc>
              <w:tc>
                <w:tcPr>
                  <w:tcW w:w="1712" w:type="dxa"/>
                  <w:tcBorders>
                    <w:tl2br w:val="nil"/>
                    <w:tr2bl w:val="nil"/>
                  </w:tcBorders>
                  <w:vAlign w:val="center"/>
                </w:tcPr>
                <w:p w14:paraId="1BAD514C">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300</w:t>
                  </w:r>
                </w:p>
              </w:tc>
              <w:tc>
                <w:tcPr>
                  <w:tcW w:w="2873" w:type="dxa"/>
                  <w:vMerge w:val="restart"/>
                  <w:tcBorders>
                    <w:tl2br w:val="nil"/>
                    <w:tr2bl w:val="nil"/>
                  </w:tcBorders>
                  <w:vAlign w:val="center"/>
                </w:tcPr>
                <w:p w14:paraId="0C08AB65">
                  <w:pPr>
                    <w:widowControl/>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《辽宁省污水综合排放标准》（DB21/1627-2008）</w:t>
                  </w:r>
                </w:p>
              </w:tc>
            </w:tr>
            <w:tr w14:paraId="02FCF5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73821818">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2025" w:type="dxa"/>
                  <w:tcBorders>
                    <w:tl2br w:val="nil"/>
                    <w:tr2bl w:val="nil"/>
                  </w:tcBorders>
                  <w:vAlign w:val="center"/>
                </w:tcPr>
                <w:p w14:paraId="26AC7FD9">
                  <w:pPr>
                    <w:widowControl/>
                    <w:jc w:val="center"/>
                    <w:rPr>
                      <w:bCs/>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BOD</w:t>
                  </w:r>
                  <w:r>
                    <w:rPr>
                      <w:bCs/>
                      <w:color w:val="000000" w:themeColor="text1"/>
                      <w:kern w:val="0"/>
                      <w:szCs w:val="21"/>
                      <w:vertAlign w:val="subscript"/>
                      <w14:textFill>
                        <w14:solidFill>
                          <w14:schemeClr w14:val="tx1"/>
                        </w14:solidFill>
                      </w14:textFill>
                    </w:rPr>
                    <w:t>5</w:t>
                  </w:r>
                </w:p>
              </w:tc>
              <w:tc>
                <w:tcPr>
                  <w:tcW w:w="1712" w:type="dxa"/>
                  <w:tcBorders>
                    <w:tl2br w:val="nil"/>
                    <w:tr2bl w:val="nil"/>
                  </w:tcBorders>
                  <w:vAlign w:val="center"/>
                </w:tcPr>
                <w:p w14:paraId="1ABCA23A">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250</w:t>
                  </w:r>
                </w:p>
              </w:tc>
              <w:tc>
                <w:tcPr>
                  <w:tcW w:w="2873" w:type="dxa"/>
                  <w:vMerge w:val="continue"/>
                  <w:tcBorders>
                    <w:tl2br w:val="nil"/>
                    <w:tr2bl w:val="nil"/>
                  </w:tcBorders>
                  <w:vAlign w:val="center"/>
                </w:tcPr>
                <w:p w14:paraId="3AE8FEE7">
                  <w:pPr>
                    <w:widowControl/>
                    <w:jc w:val="center"/>
                    <w:rPr>
                      <w:bCs/>
                      <w:color w:val="000000" w:themeColor="text1"/>
                      <w:kern w:val="0"/>
                      <w:szCs w:val="21"/>
                      <w14:textFill>
                        <w14:solidFill>
                          <w14:schemeClr w14:val="tx1"/>
                        </w14:solidFill>
                      </w14:textFill>
                    </w:rPr>
                  </w:pPr>
                </w:p>
              </w:tc>
            </w:tr>
            <w:tr w14:paraId="44165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0AA7E369">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2025" w:type="dxa"/>
                  <w:tcBorders>
                    <w:tl2br w:val="nil"/>
                    <w:tr2bl w:val="nil"/>
                  </w:tcBorders>
                  <w:vAlign w:val="center"/>
                </w:tcPr>
                <w:p w14:paraId="56984777">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悬浮物</w:t>
                  </w:r>
                </w:p>
              </w:tc>
              <w:tc>
                <w:tcPr>
                  <w:tcW w:w="1712" w:type="dxa"/>
                  <w:tcBorders>
                    <w:tl2br w:val="nil"/>
                    <w:tr2bl w:val="nil"/>
                  </w:tcBorders>
                  <w:vAlign w:val="center"/>
                </w:tcPr>
                <w:p w14:paraId="5130F6EE">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300</w:t>
                  </w:r>
                </w:p>
              </w:tc>
              <w:tc>
                <w:tcPr>
                  <w:tcW w:w="2873" w:type="dxa"/>
                  <w:vMerge w:val="continue"/>
                  <w:tcBorders>
                    <w:tl2br w:val="nil"/>
                    <w:tr2bl w:val="nil"/>
                  </w:tcBorders>
                  <w:vAlign w:val="center"/>
                </w:tcPr>
                <w:p w14:paraId="6778A752">
                  <w:pPr>
                    <w:widowControl/>
                    <w:jc w:val="center"/>
                    <w:rPr>
                      <w:bCs/>
                      <w:color w:val="000000" w:themeColor="text1"/>
                      <w:kern w:val="0"/>
                      <w:szCs w:val="21"/>
                      <w14:textFill>
                        <w14:solidFill>
                          <w14:schemeClr w14:val="tx1"/>
                        </w14:solidFill>
                      </w14:textFill>
                    </w:rPr>
                  </w:pPr>
                </w:p>
              </w:tc>
            </w:tr>
            <w:tr w14:paraId="3E3185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439FFB8D">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2025" w:type="dxa"/>
                  <w:tcBorders>
                    <w:tl2br w:val="nil"/>
                    <w:tr2bl w:val="nil"/>
                  </w:tcBorders>
                  <w:vAlign w:val="center"/>
                </w:tcPr>
                <w:p w14:paraId="6CEFA6BC">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氨氮</w:t>
                  </w:r>
                </w:p>
              </w:tc>
              <w:tc>
                <w:tcPr>
                  <w:tcW w:w="1712" w:type="dxa"/>
                  <w:tcBorders>
                    <w:tl2br w:val="nil"/>
                    <w:tr2bl w:val="nil"/>
                  </w:tcBorders>
                  <w:vAlign w:val="center"/>
                </w:tcPr>
                <w:p w14:paraId="4A365D53">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30</w:t>
                  </w:r>
                </w:p>
              </w:tc>
              <w:tc>
                <w:tcPr>
                  <w:tcW w:w="2873" w:type="dxa"/>
                  <w:vMerge w:val="continue"/>
                  <w:tcBorders>
                    <w:tl2br w:val="nil"/>
                    <w:tr2bl w:val="nil"/>
                  </w:tcBorders>
                  <w:vAlign w:val="center"/>
                </w:tcPr>
                <w:p w14:paraId="4DBF406A">
                  <w:pPr>
                    <w:widowControl/>
                    <w:jc w:val="center"/>
                    <w:rPr>
                      <w:bCs/>
                      <w:color w:val="000000" w:themeColor="text1"/>
                      <w:kern w:val="0"/>
                      <w:szCs w:val="21"/>
                      <w14:textFill>
                        <w14:solidFill>
                          <w14:schemeClr w14:val="tx1"/>
                        </w14:solidFill>
                      </w14:textFill>
                    </w:rPr>
                  </w:pPr>
                </w:p>
              </w:tc>
            </w:tr>
            <w:tr w14:paraId="2163E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457ABA2F">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2025" w:type="dxa"/>
                  <w:tcBorders>
                    <w:tl2br w:val="nil"/>
                    <w:tr2bl w:val="nil"/>
                  </w:tcBorders>
                  <w:vAlign w:val="center"/>
                </w:tcPr>
                <w:p w14:paraId="77599C70">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总氮</w:t>
                  </w:r>
                </w:p>
              </w:tc>
              <w:tc>
                <w:tcPr>
                  <w:tcW w:w="1712" w:type="dxa"/>
                  <w:tcBorders>
                    <w:tl2br w:val="nil"/>
                    <w:tr2bl w:val="nil"/>
                  </w:tcBorders>
                  <w:vAlign w:val="center"/>
                </w:tcPr>
                <w:p w14:paraId="6C8E07BF">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50</w:t>
                  </w:r>
                </w:p>
              </w:tc>
              <w:tc>
                <w:tcPr>
                  <w:tcW w:w="2873" w:type="dxa"/>
                  <w:vMerge w:val="continue"/>
                  <w:tcBorders>
                    <w:tl2br w:val="nil"/>
                    <w:tr2bl w:val="nil"/>
                  </w:tcBorders>
                  <w:vAlign w:val="center"/>
                </w:tcPr>
                <w:p w14:paraId="1AC6E490">
                  <w:pPr>
                    <w:widowControl/>
                    <w:jc w:val="center"/>
                    <w:rPr>
                      <w:bCs/>
                      <w:color w:val="000000" w:themeColor="text1"/>
                      <w:kern w:val="0"/>
                      <w:szCs w:val="21"/>
                      <w14:textFill>
                        <w14:solidFill>
                          <w14:schemeClr w14:val="tx1"/>
                        </w14:solidFill>
                      </w14:textFill>
                    </w:rPr>
                  </w:pPr>
                </w:p>
              </w:tc>
            </w:tr>
            <w:tr w14:paraId="2269B3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4B67B62B">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2025" w:type="dxa"/>
                  <w:tcBorders>
                    <w:tl2br w:val="nil"/>
                    <w:tr2bl w:val="nil"/>
                  </w:tcBorders>
                  <w:vAlign w:val="center"/>
                </w:tcPr>
                <w:p w14:paraId="309504DE">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总磷</w:t>
                  </w:r>
                </w:p>
              </w:tc>
              <w:tc>
                <w:tcPr>
                  <w:tcW w:w="1712" w:type="dxa"/>
                  <w:tcBorders>
                    <w:tl2br w:val="nil"/>
                    <w:tr2bl w:val="nil"/>
                  </w:tcBorders>
                  <w:vAlign w:val="center"/>
                </w:tcPr>
                <w:p w14:paraId="3EFEC133">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5</w:t>
                  </w:r>
                </w:p>
              </w:tc>
              <w:tc>
                <w:tcPr>
                  <w:tcW w:w="2873" w:type="dxa"/>
                  <w:vMerge w:val="continue"/>
                  <w:tcBorders>
                    <w:tl2br w:val="nil"/>
                    <w:tr2bl w:val="nil"/>
                  </w:tcBorders>
                  <w:vAlign w:val="center"/>
                </w:tcPr>
                <w:p w14:paraId="1F5CD007">
                  <w:pPr>
                    <w:widowControl/>
                    <w:jc w:val="center"/>
                    <w:rPr>
                      <w:bCs/>
                      <w:color w:val="000000" w:themeColor="text1"/>
                      <w:kern w:val="0"/>
                      <w:szCs w:val="21"/>
                      <w14:textFill>
                        <w14:solidFill>
                          <w14:schemeClr w14:val="tx1"/>
                        </w14:solidFill>
                      </w14:textFill>
                    </w:rPr>
                  </w:pPr>
                </w:p>
              </w:tc>
            </w:tr>
            <w:tr w14:paraId="285200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9" w:type="dxa"/>
                  <w:tcBorders>
                    <w:tl2br w:val="nil"/>
                    <w:tr2bl w:val="nil"/>
                  </w:tcBorders>
                  <w:vAlign w:val="center"/>
                </w:tcPr>
                <w:p w14:paraId="207D9500">
                  <w:pPr>
                    <w:spacing w:line="276"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w:t>
                  </w:r>
                </w:p>
              </w:tc>
              <w:tc>
                <w:tcPr>
                  <w:tcW w:w="2025" w:type="dxa"/>
                  <w:tcBorders>
                    <w:tl2br w:val="nil"/>
                    <w:tr2bl w:val="nil"/>
                  </w:tcBorders>
                  <w:vAlign w:val="center"/>
                </w:tcPr>
                <w:p w14:paraId="1394549A">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pH</w:t>
                  </w:r>
                </w:p>
              </w:tc>
              <w:tc>
                <w:tcPr>
                  <w:tcW w:w="1712" w:type="dxa"/>
                  <w:tcBorders>
                    <w:tl2br w:val="nil"/>
                    <w:tr2bl w:val="nil"/>
                  </w:tcBorders>
                  <w:vAlign w:val="center"/>
                </w:tcPr>
                <w:p w14:paraId="1D330115">
                  <w:pPr>
                    <w:pStyle w:val="23"/>
                    <w:adjustRightInd w:val="0"/>
                    <w:jc w:val="center"/>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6-9</w:t>
                  </w:r>
                </w:p>
              </w:tc>
              <w:tc>
                <w:tcPr>
                  <w:tcW w:w="2873" w:type="dxa"/>
                  <w:tcBorders>
                    <w:tl2br w:val="nil"/>
                    <w:tr2bl w:val="nil"/>
                  </w:tcBorders>
                  <w:vAlign w:val="center"/>
                </w:tcPr>
                <w:p w14:paraId="23DF284A">
                  <w:pPr>
                    <w:widowControl/>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《污水综合排放标准》（GB8978-1996）</w:t>
                  </w:r>
                </w:p>
              </w:tc>
            </w:tr>
          </w:tbl>
          <w:p w14:paraId="3895346F">
            <w:pPr>
              <w:pStyle w:val="129"/>
              <w:snapToGrid w:val="0"/>
              <w:spacing w:before="0" w:line="360" w:lineRule="auto"/>
              <w:ind w:firstLine="0" w:firstLineChars="0"/>
              <w:rPr>
                <w:b/>
                <w:color w:val="000000" w:themeColor="text1"/>
                <w:sz w:val="24"/>
                <w14:textFill>
                  <w14:solidFill>
                    <w14:schemeClr w14:val="tx1"/>
                  </w14:solidFill>
                </w14:textFill>
              </w:rPr>
            </w:pPr>
            <w:r>
              <w:rPr>
                <w:b/>
                <w:color w:val="000000" w:themeColor="text1"/>
                <w:sz w:val="24"/>
                <w14:textFill>
                  <w14:solidFill>
                    <w14:schemeClr w14:val="tx1"/>
                  </w14:solidFill>
                </w14:textFill>
              </w:rPr>
              <w:t>3、噪声排放标准</w:t>
            </w:r>
          </w:p>
          <w:p w14:paraId="36728C2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施工期噪声排放执行《建筑施工噪声排放标准》（GB12523-2025）。</w:t>
            </w:r>
          </w:p>
          <w:p w14:paraId="4371E72F">
            <w:pPr>
              <w:pStyle w:val="149"/>
              <w:spacing w:line="360" w:lineRule="auto"/>
              <w:rPr>
                <w:rFonts w:ascii="Times New Roman" w:hAnsi="Times New Roman"/>
                <w:color w:val="000000" w:themeColor="text1"/>
                <w:szCs w:val="24"/>
                <w14:textFill>
                  <w14:solidFill>
                    <w14:schemeClr w14:val="tx1"/>
                  </w14:solidFill>
                </w14:textFill>
              </w:rPr>
            </w:pPr>
            <w:r>
              <w:rPr>
                <w:rFonts w:ascii="Times New Roman" w:hAnsi="Times New Roman"/>
                <w:color w:val="000000" w:themeColor="text1"/>
                <w:szCs w:val="24"/>
                <w14:textFill>
                  <w14:solidFill>
                    <w14:schemeClr w14:val="tx1"/>
                  </w14:solidFill>
                </w14:textFill>
              </w:rPr>
              <w:t>根据</w:t>
            </w:r>
            <w:r>
              <w:rPr>
                <w:rFonts w:ascii="Times New Roman" w:hAnsi="Times New Roman"/>
                <w:color w:val="000000" w:themeColor="text1"/>
                <w14:textFill>
                  <w14:solidFill>
                    <w14:schemeClr w14:val="tx1"/>
                  </w14:solidFill>
                </w14:textFill>
              </w:rPr>
              <w:t>《声环境质量标准</w:t>
            </w:r>
            <w:r>
              <w:rPr>
                <w:rFonts w:ascii="Times New Roman" w:hAnsi="Times New Roman"/>
                <w:color w:val="000000" w:themeColor="text1"/>
                <w:kern w:val="2"/>
                <w:szCs w:val="24"/>
                <w14:textFill>
                  <w14:solidFill>
                    <w14:schemeClr w14:val="tx1"/>
                  </w14:solidFill>
                </w14:textFill>
              </w:rPr>
              <w:t>》（GB3096-2008），本项目所在地属于</w:t>
            </w:r>
            <w:r>
              <w:rPr>
                <w:rFonts w:ascii="Times New Roman" w:hAnsi="Times New Roman"/>
                <w:color w:val="000000" w:themeColor="text1"/>
                <w:szCs w:val="24"/>
                <w14:textFill>
                  <w14:solidFill>
                    <w14:schemeClr w14:val="tx1"/>
                  </w14:solidFill>
                </w14:textFill>
              </w:rPr>
              <w:t>1类功能区，运营期厂界四周噪声排放执行《工业企业厂界环境噪声排放标准》（GB12348-2008）中1类标准，具体标准限值见下表。</w:t>
            </w:r>
          </w:p>
          <w:p w14:paraId="0FB61184">
            <w:pPr>
              <w:keepNext/>
              <w:autoSpaceDE w:val="0"/>
              <w:autoSpaceDN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表3-10  噪声排放标准</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177"/>
              <w:gridCol w:w="1199"/>
              <w:gridCol w:w="1132"/>
              <w:gridCol w:w="1100"/>
              <w:gridCol w:w="3428"/>
            </w:tblGrid>
            <w:tr w14:paraId="6E01DA0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32" w:type="pct"/>
                  <w:vMerge w:val="restart"/>
                  <w:vAlign w:val="center"/>
                </w:tcPr>
                <w:p w14:paraId="696943DE">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时段</w:t>
                  </w:r>
                </w:p>
              </w:tc>
              <w:tc>
                <w:tcPr>
                  <w:tcW w:w="746" w:type="pct"/>
                  <w:vMerge w:val="restart"/>
                  <w:vAlign w:val="center"/>
                </w:tcPr>
                <w:p w14:paraId="72C02C4C">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监控点</w:t>
                  </w:r>
                </w:p>
              </w:tc>
              <w:tc>
                <w:tcPr>
                  <w:tcW w:w="1388" w:type="pct"/>
                  <w:gridSpan w:val="2"/>
                  <w:vAlign w:val="center"/>
                </w:tcPr>
                <w:p w14:paraId="6C1814BC">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排放限值（dB(A)）</w:t>
                  </w:r>
                </w:p>
              </w:tc>
              <w:tc>
                <w:tcPr>
                  <w:tcW w:w="2132" w:type="pct"/>
                  <w:vMerge w:val="restart"/>
                  <w:vAlign w:val="center"/>
                </w:tcPr>
                <w:p w14:paraId="00FAF734">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标准来源</w:t>
                  </w:r>
                </w:p>
              </w:tc>
            </w:tr>
            <w:tr w14:paraId="3D2E483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32" w:type="pct"/>
                  <w:vMerge w:val="continue"/>
                  <w:vAlign w:val="center"/>
                </w:tcPr>
                <w:p w14:paraId="55896D5B">
                  <w:pPr>
                    <w:snapToGrid w:val="0"/>
                    <w:jc w:val="center"/>
                    <w:rPr>
                      <w:color w:val="000000" w:themeColor="text1"/>
                      <w:szCs w:val="21"/>
                      <w14:textFill>
                        <w14:solidFill>
                          <w14:schemeClr w14:val="tx1"/>
                        </w14:solidFill>
                      </w14:textFill>
                    </w:rPr>
                  </w:pPr>
                </w:p>
              </w:tc>
              <w:tc>
                <w:tcPr>
                  <w:tcW w:w="746" w:type="pct"/>
                  <w:vMerge w:val="continue"/>
                  <w:vAlign w:val="center"/>
                </w:tcPr>
                <w:p w14:paraId="5A8E0982">
                  <w:pPr>
                    <w:snapToGrid w:val="0"/>
                    <w:jc w:val="center"/>
                    <w:rPr>
                      <w:color w:val="000000" w:themeColor="text1"/>
                      <w:szCs w:val="21"/>
                      <w14:textFill>
                        <w14:solidFill>
                          <w14:schemeClr w14:val="tx1"/>
                        </w14:solidFill>
                      </w14:textFill>
                    </w:rPr>
                  </w:pPr>
                </w:p>
              </w:tc>
              <w:tc>
                <w:tcPr>
                  <w:tcW w:w="704" w:type="pct"/>
                  <w:vAlign w:val="center"/>
                </w:tcPr>
                <w:p w14:paraId="69EB1648">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684" w:type="pct"/>
                  <w:vAlign w:val="center"/>
                </w:tcPr>
                <w:p w14:paraId="7EA8433C">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2132" w:type="pct"/>
                  <w:vMerge w:val="continue"/>
                  <w:vAlign w:val="center"/>
                </w:tcPr>
                <w:p w14:paraId="72DBAEFC">
                  <w:pPr>
                    <w:snapToGrid w:val="0"/>
                    <w:jc w:val="center"/>
                    <w:rPr>
                      <w:color w:val="000000" w:themeColor="text1"/>
                      <w:szCs w:val="21"/>
                      <w14:textFill>
                        <w14:solidFill>
                          <w14:schemeClr w14:val="tx1"/>
                        </w14:solidFill>
                      </w14:textFill>
                    </w:rPr>
                  </w:pPr>
                </w:p>
              </w:tc>
            </w:tr>
            <w:tr w14:paraId="35E4359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32" w:type="pct"/>
                  <w:vAlign w:val="center"/>
                </w:tcPr>
                <w:p w14:paraId="1F8A8CBE">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施工期</w:t>
                  </w:r>
                </w:p>
              </w:tc>
              <w:tc>
                <w:tcPr>
                  <w:tcW w:w="746" w:type="pct"/>
                  <w:vAlign w:val="center"/>
                </w:tcPr>
                <w:p w14:paraId="62BA24D0">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厂界四周</w:t>
                  </w:r>
                </w:p>
              </w:tc>
              <w:tc>
                <w:tcPr>
                  <w:tcW w:w="704" w:type="pct"/>
                  <w:vAlign w:val="center"/>
                </w:tcPr>
                <w:p w14:paraId="793275D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684" w:type="pct"/>
                  <w:vAlign w:val="center"/>
                </w:tcPr>
                <w:p w14:paraId="5C0B62F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55</w:t>
                  </w:r>
                </w:p>
              </w:tc>
              <w:tc>
                <w:tcPr>
                  <w:tcW w:w="2132" w:type="pct"/>
                  <w:vAlign w:val="center"/>
                </w:tcPr>
                <w:p w14:paraId="2E241447">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《建筑施工噪声排放标准》（GB12523-2025）</w:t>
                  </w:r>
                </w:p>
              </w:tc>
            </w:tr>
            <w:tr w14:paraId="75A48F5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32" w:type="pct"/>
                  <w:vAlign w:val="center"/>
                </w:tcPr>
                <w:p w14:paraId="1DB40B20">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营运期</w:t>
                  </w:r>
                </w:p>
              </w:tc>
              <w:tc>
                <w:tcPr>
                  <w:tcW w:w="746" w:type="pct"/>
                  <w:vAlign w:val="center"/>
                </w:tcPr>
                <w:p w14:paraId="5D627855">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厂界四周</w:t>
                  </w:r>
                </w:p>
              </w:tc>
              <w:tc>
                <w:tcPr>
                  <w:tcW w:w="704" w:type="pct"/>
                  <w:vAlign w:val="center"/>
                </w:tcPr>
                <w:p w14:paraId="69DA120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55</w:t>
                  </w:r>
                </w:p>
              </w:tc>
              <w:tc>
                <w:tcPr>
                  <w:tcW w:w="684" w:type="pct"/>
                  <w:vAlign w:val="center"/>
                </w:tcPr>
                <w:p w14:paraId="3801564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45</w:t>
                  </w:r>
                </w:p>
              </w:tc>
              <w:tc>
                <w:tcPr>
                  <w:tcW w:w="2132" w:type="pct"/>
                  <w:vAlign w:val="center"/>
                </w:tcPr>
                <w:p w14:paraId="142FB602">
                  <w:pPr>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《工业企业厂界环境噪声排放标准》（GB12348-2008）1类</w:t>
                  </w:r>
                </w:p>
              </w:tc>
            </w:tr>
          </w:tbl>
          <w:p w14:paraId="63CA0226">
            <w:pPr>
              <w:pStyle w:val="129"/>
              <w:snapToGrid w:val="0"/>
              <w:spacing w:beforeLines="50" w:line="360" w:lineRule="auto"/>
              <w:ind w:firstLine="0" w:firstLineChars="0"/>
              <w:rPr>
                <w:b/>
                <w:color w:val="000000" w:themeColor="text1"/>
                <w:sz w:val="24"/>
                <w14:textFill>
                  <w14:solidFill>
                    <w14:schemeClr w14:val="tx1"/>
                  </w14:solidFill>
                </w14:textFill>
              </w:rPr>
            </w:pPr>
            <w:r>
              <w:rPr>
                <w:b/>
                <w:color w:val="000000" w:themeColor="text1"/>
                <w:sz w:val="24"/>
                <w14:textFill>
                  <w14:solidFill>
                    <w14:schemeClr w14:val="tx1"/>
                  </w14:solidFill>
                </w14:textFill>
              </w:rPr>
              <w:t>4、固体废物排放标准</w:t>
            </w:r>
          </w:p>
          <w:p w14:paraId="33E340D9">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本项目运营期一般工业固体废物执行《一般工业固体废物贮存和填埋污染控制标准》（GB18599-2020）中相应防渗漏、防雨淋、防扬尘等环境保护要求。</w:t>
            </w:r>
          </w:p>
          <w:p w14:paraId="4C394D17">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危险废物执行《危险废物贮存污染控制标准》（GB18597-2023）中的有关要求。</w:t>
            </w:r>
          </w:p>
        </w:tc>
      </w:tr>
      <w:tr w14:paraId="1042963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3" w:hRule="atLeast"/>
          <w:jc w:val="center"/>
        </w:trPr>
        <w:tc>
          <w:tcPr>
            <w:tcW w:w="806" w:type="dxa"/>
            <w:vAlign w:val="center"/>
          </w:tcPr>
          <w:p w14:paraId="6844BCBD">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总量</w:t>
            </w:r>
          </w:p>
          <w:p w14:paraId="0EE2FE05">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控制</w:t>
            </w:r>
          </w:p>
          <w:p w14:paraId="5F1B89E7">
            <w:pPr>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指标</w:t>
            </w:r>
          </w:p>
        </w:tc>
        <w:tc>
          <w:tcPr>
            <w:tcW w:w="8255" w:type="dxa"/>
            <w:vAlign w:val="center"/>
          </w:tcPr>
          <w:p w14:paraId="1DB0CE4E">
            <w:pPr>
              <w:spacing w:line="360" w:lineRule="auto"/>
              <w:ind w:firstLine="482"/>
              <w:rPr>
                <w:color w:val="000000" w:themeColor="text1"/>
                <w:sz w:val="24"/>
                <w14:textFill>
                  <w14:solidFill>
                    <w14:schemeClr w14:val="tx1"/>
                  </w14:solidFill>
                </w14:textFill>
              </w:rPr>
            </w:pPr>
            <w:r>
              <w:rPr>
                <w:color w:val="000000" w:themeColor="text1"/>
                <w:sz w:val="24"/>
                <w14:textFill>
                  <w14:solidFill>
                    <w14:schemeClr w14:val="tx1"/>
                  </w14:solidFill>
                </w14:textFill>
              </w:rPr>
              <w:t>根据工程分析可知，本项目NOx总量为0.45</w:t>
            </w: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t/a。</w:t>
            </w:r>
          </w:p>
          <w:p w14:paraId="135F3920">
            <w:pPr>
              <w:spacing w:line="360" w:lineRule="auto"/>
              <w:ind w:firstLine="482"/>
              <w:rPr>
                <w:color w:val="000000" w:themeColor="text1"/>
                <w:sz w:val="24"/>
                <w14:textFill>
                  <w14:solidFill>
                    <w14:schemeClr w14:val="tx1"/>
                  </w14:solidFill>
                </w14:textFill>
              </w:rPr>
            </w:pPr>
            <w:r>
              <w:rPr>
                <w:color w:val="000000" w:themeColor="text1"/>
                <w:sz w:val="24"/>
                <w14:textFill>
                  <w14:solidFill>
                    <w14:schemeClr w14:val="tx1"/>
                  </w14:solidFill>
                </w14:textFill>
              </w:rPr>
              <w:t>本项目软水制备废水用于炉渣清理时洒水降尘，不外排；蒸汽发生器排污水经化粪池处理后排入峡河乡污水处理设施，废水总量指标以峡河乡污水处理设施出厂浓度计算，COD、总磷排放浓度分别为50mg/L、0.5mg/L，本项目</w:t>
            </w:r>
            <w:r>
              <w:rPr>
                <w:rFonts w:hint="eastAsia"/>
                <w:color w:val="000000" w:themeColor="text1"/>
                <w:sz w:val="24"/>
                <w14:textFill>
                  <w14:solidFill>
                    <w14:schemeClr w14:val="tx1"/>
                  </w14:solidFill>
                </w14:textFill>
              </w:rPr>
              <w:t>将</w:t>
            </w:r>
            <w:r>
              <w:rPr>
                <w:color w:val="000000" w:themeColor="text1"/>
                <w:sz w:val="24"/>
                <w14:textFill>
                  <w14:solidFill>
                    <w14:schemeClr w14:val="tx1"/>
                  </w14:solidFill>
                </w14:textFill>
              </w:rPr>
              <w:t>食用菌加工废水</w:t>
            </w:r>
            <w:r>
              <w:rPr>
                <w:rFonts w:eastAsia="Segoe UI"/>
                <w:color w:val="000000" w:themeColor="text1"/>
                <w:sz w:val="24"/>
                <w:shd w:val="clear" w:color="auto" w:fill="FFFFFF"/>
                <w14:textFill>
                  <w14:solidFill>
                    <w14:schemeClr w14:val="tx1"/>
                  </w14:solidFill>
                </w14:textFill>
              </w:rPr>
              <w:t>、生活污水和蒸汽发生器排污水</w:t>
            </w:r>
            <w:r>
              <w:rPr>
                <w:rStyle w:val="64"/>
                <w:rFonts w:hint="eastAsia"/>
                <w:color w:val="000000" w:themeColor="text1"/>
                <w:sz w:val="24"/>
                <w14:textFill>
                  <w14:solidFill>
                    <w14:schemeClr w14:val="tx1"/>
                  </w14:solidFill>
                </w14:textFill>
              </w:rPr>
              <w:t>纳入本次环评，统一申请总量指标</w:t>
            </w:r>
            <w:r>
              <w:rPr>
                <w:rFonts w:hint="eastAsia"/>
                <w:color w:val="000000" w:themeColor="text1"/>
                <w:sz w:val="24"/>
                <w:shd w:val="clear" w:color="auto" w:fill="FFFFFF"/>
                <w14:textFill>
                  <w14:solidFill>
                    <w14:schemeClr w14:val="tx1"/>
                  </w14:solidFill>
                </w14:textFill>
              </w:rPr>
              <w:t>，综合</w:t>
            </w:r>
            <w:r>
              <w:rPr>
                <w:color w:val="000000" w:themeColor="text1"/>
                <w:sz w:val="24"/>
                <w14:textFill>
                  <w14:solidFill>
                    <w14:schemeClr w14:val="tx1"/>
                  </w14:solidFill>
                </w14:textFill>
              </w:rPr>
              <w:t>废水排放量为</w:t>
            </w:r>
            <w:r>
              <w:rPr>
                <w:rFonts w:hint="eastAsia"/>
                <w:color w:val="000000" w:themeColor="text1"/>
                <w:sz w:val="24"/>
                <w14:textFill>
                  <w14:solidFill>
                    <w14:schemeClr w14:val="tx1"/>
                  </w14:solidFill>
                </w14:textFill>
              </w:rPr>
              <w:t>278</w:t>
            </w:r>
            <w:r>
              <w:rPr>
                <w:color w:val="000000" w:themeColor="text1"/>
                <w:sz w:val="24"/>
                <w14:textFill>
                  <w14:solidFill>
                    <w14:schemeClr w14:val="tx1"/>
                  </w14:solidFill>
                </w14:textFill>
              </w:rPr>
              <w:t>t/a，确定本项目的废水总量控制指标核算过程如下：</w:t>
            </w:r>
          </w:p>
          <w:p w14:paraId="71DC3469">
            <w:pPr>
              <w:spacing w:line="360" w:lineRule="auto"/>
              <w:ind w:firstLine="482"/>
              <w:rPr>
                <w:color w:val="000000" w:themeColor="text1"/>
                <w:sz w:val="24"/>
                <w14:textFill>
                  <w14:solidFill>
                    <w14:schemeClr w14:val="tx1"/>
                  </w14:solidFill>
                </w14:textFill>
              </w:rPr>
            </w:pPr>
            <w:r>
              <w:rPr>
                <w:color w:val="000000" w:themeColor="text1"/>
                <w:sz w:val="24"/>
                <w14:textFill>
                  <w14:solidFill>
                    <w14:schemeClr w14:val="tx1"/>
                  </w14:solidFill>
                </w14:textFill>
              </w:rPr>
              <w:t>COD=</w:t>
            </w:r>
            <w:r>
              <w:rPr>
                <w:rFonts w:hint="eastAsia"/>
                <w:color w:val="000000" w:themeColor="text1"/>
                <w:sz w:val="24"/>
                <w14:textFill>
                  <w14:solidFill>
                    <w14:schemeClr w14:val="tx1"/>
                  </w14:solidFill>
                </w14:textFill>
              </w:rPr>
              <w:t>278</w:t>
            </w:r>
            <w:r>
              <w:rPr>
                <w:color w:val="000000" w:themeColor="text1"/>
                <w:sz w:val="24"/>
                <w14:textFill>
                  <w14:solidFill>
                    <w14:schemeClr w14:val="tx1"/>
                  </w14:solidFill>
                </w14:textFill>
              </w:rPr>
              <w:t>t/a×50mg/L×10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0.014</w:t>
            </w:r>
            <w:r>
              <w:rPr>
                <w:color w:val="000000" w:themeColor="text1"/>
                <w:sz w:val="24"/>
                <w14:textFill>
                  <w14:solidFill>
                    <w14:schemeClr w14:val="tx1"/>
                  </w14:solidFill>
                </w14:textFill>
              </w:rPr>
              <w:t>t/a</w:t>
            </w:r>
          </w:p>
          <w:p w14:paraId="00AF85BE">
            <w:pPr>
              <w:spacing w:line="360" w:lineRule="auto"/>
              <w:ind w:firstLine="482"/>
              <w:rPr>
                <w:color w:val="000000" w:themeColor="text1"/>
                <w:sz w:val="24"/>
                <w14:textFill>
                  <w14:solidFill>
                    <w14:schemeClr w14:val="tx1"/>
                  </w14:solidFill>
                </w14:textFill>
              </w:rPr>
            </w:pPr>
            <w:r>
              <w:rPr>
                <w:color w:val="000000" w:themeColor="text1"/>
                <w:sz w:val="24"/>
                <w14:textFill>
                  <w14:solidFill>
                    <w14:schemeClr w14:val="tx1"/>
                  </w14:solidFill>
                </w14:textFill>
              </w:rPr>
              <w:t>TP=</w:t>
            </w:r>
            <w:r>
              <w:rPr>
                <w:rFonts w:hint="eastAsia"/>
                <w:color w:val="000000" w:themeColor="text1"/>
                <w:sz w:val="24"/>
                <w14:textFill>
                  <w14:solidFill>
                    <w14:schemeClr w14:val="tx1"/>
                  </w14:solidFill>
                </w14:textFill>
              </w:rPr>
              <w:t>278</w:t>
            </w:r>
            <w:r>
              <w:rPr>
                <w:color w:val="000000" w:themeColor="text1"/>
                <w:sz w:val="24"/>
                <w14:textFill>
                  <w14:solidFill>
                    <w14:schemeClr w14:val="tx1"/>
                  </w14:solidFill>
                </w14:textFill>
              </w:rPr>
              <w:t>t/a×0.5mg/L×10</w:t>
            </w:r>
            <w:r>
              <w:rPr>
                <w:color w:val="000000" w:themeColor="text1"/>
                <w:sz w:val="24"/>
                <w:vertAlign w:val="superscript"/>
                <w14:textFill>
                  <w14:solidFill>
                    <w14:schemeClr w14:val="tx1"/>
                  </w14:solidFill>
                </w14:textFill>
              </w:rPr>
              <w:t>-6</w:t>
            </w:r>
            <w:r>
              <w:rPr>
                <w:color w:val="000000" w:themeColor="text1"/>
                <w:sz w:val="24"/>
                <w14:textFill>
                  <w14:solidFill>
                    <w14:schemeClr w14:val="tx1"/>
                  </w14:solidFill>
                </w14:textFill>
              </w:rPr>
              <w:t>=0.0</w:t>
            </w:r>
            <w:r>
              <w:rPr>
                <w:rFonts w:hint="eastAsia"/>
                <w:color w:val="000000" w:themeColor="text1"/>
                <w:sz w:val="24"/>
                <w14:textFill>
                  <w14:solidFill>
                    <w14:schemeClr w14:val="tx1"/>
                  </w14:solidFill>
                </w14:textFill>
              </w:rPr>
              <w:t>0014</w:t>
            </w:r>
            <w:r>
              <w:rPr>
                <w:color w:val="000000" w:themeColor="text1"/>
                <w:sz w:val="24"/>
                <w14:textFill>
                  <w14:solidFill>
                    <w14:schemeClr w14:val="tx1"/>
                  </w14:solidFill>
                </w14:textFill>
              </w:rPr>
              <w:t>t/a</w:t>
            </w:r>
          </w:p>
          <w:p w14:paraId="3CBBC0E8">
            <w:pPr>
              <w:spacing w:line="360" w:lineRule="auto"/>
              <w:ind w:firstLine="482"/>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综上所述，本项目总量指标为：COD0.0</w:t>
            </w:r>
            <w:r>
              <w:rPr>
                <w:rFonts w:hint="eastAsia"/>
                <w:color w:val="000000" w:themeColor="text1"/>
                <w:sz w:val="24"/>
                <w14:textFill>
                  <w14:solidFill>
                    <w14:schemeClr w14:val="tx1"/>
                  </w14:solidFill>
                </w14:textFill>
              </w:rPr>
              <w:t>14</w:t>
            </w:r>
            <w:r>
              <w:rPr>
                <w:color w:val="000000" w:themeColor="text1"/>
                <w:sz w:val="24"/>
                <w14:textFill>
                  <w14:solidFill>
                    <w14:schemeClr w14:val="tx1"/>
                  </w14:solidFill>
                </w14:textFill>
              </w:rPr>
              <w:t xml:space="preserve"> t/a，总磷0.000</w:t>
            </w:r>
            <w:r>
              <w:rPr>
                <w:rFonts w:hint="eastAsia"/>
                <w:color w:val="000000" w:themeColor="text1"/>
                <w:sz w:val="24"/>
                <w14:textFill>
                  <w14:solidFill>
                    <w14:schemeClr w14:val="tx1"/>
                  </w14:solidFill>
                </w14:textFill>
              </w:rPr>
              <w:t>14</w:t>
            </w:r>
            <w:r>
              <w:rPr>
                <w:color w:val="000000" w:themeColor="text1"/>
                <w:sz w:val="24"/>
                <w14:textFill>
                  <w14:solidFill>
                    <w14:schemeClr w14:val="tx1"/>
                  </w14:solidFill>
                </w14:textFill>
              </w:rPr>
              <w:t>t/a，NOx 0.45</w:t>
            </w: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t/a。</w:t>
            </w:r>
          </w:p>
          <w:p w14:paraId="4B24B5DF">
            <w:pPr>
              <w:rPr>
                <w:color w:val="000000" w:themeColor="text1"/>
                <w14:textFill>
                  <w14:solidFill>
                    <w14:schemeClr w14:val="tx1"/>
                  </w14:solidFill>
                </w14:textFill>
              </w:rPr>
            </w:pPr>
          </w:p>
          <w:p w14:paraId="2247DF23">
            <w:pPr>
              <w:pStyle w:val="23"/>
              <w:rPr>
                <w:color w:val="000000" w:themeColor="text1"/>
                <w14:textFill>
                  <w14:solidFill>
                    <w14:schemeClr w14:val="tx1"/>
                  </w14:solidFill>
                </w14:textFill>
              </w:rPr>
            </w:pPr>
          </w:p>
        </w:tc>
      </w:tr>
    </w:tbl>
    <w:p w14:paraId="37D76BA3">
      <w:pPr>
        <w:pStyle w:val="27"/>
        <w:spacing w:before="0" w:beforeAutospacing="0" w:after="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eastAsia="黑体"/>
          <w:snapToGrid w:val="0"/>
          <w:color w:val="000000" w:themeColor="text1"/>
          <w:sz w:val="36"/>
          <w:szCs w:val="36"/>
          <w14:textFill>
            <w14:solidFill>
              <w14:schemeClr w14:val="tx1"/>
            </w14:solidFill>
          </w14:textFill>
        </w:rPr>
        <w:br w:type="page"/>
      </w:r>
      <w:r>
        <w:rPr>
          <w:rFonts w:ascii="Times New Roman" w:hAnsi="Times New Roman" w:eastAsia="黑体"/>
          <w:snapToGrid w:val="0"/>
          <w:color w:val="000000" w:themeColor="text1"/>
          <w:sz w:val="30"/>
          <w:szCs w:val="30"/>
          <w14:textFill>
            <w14:solidFill>
              <w14:schemeClr w14:val="tx1"/>
            </w14:solidFill>
          </w14:textFill>
        </w:rPr>
        <w:t>四、主要环境影响和保护措施</w:t>
      </w:r>
    </w:p>
    <w:tbl>
      <w:tblPr>
        <w:tblStyle w:val="31"/>
        <w:tblW w:w="920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686"/>
        <w:gridCol w:w="8523"/>
      </w:tblGrid>
      <w:tr w14:paraId="5B666DD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236" w:hRule="atLeast"/>
          <w:jc w:val="center"/>
        </w:trPr>
        <w:tc>
          <w:tcPr>
            <w:tcW w:w="686" w:type="dxa"/>
            <w:tcMar>
              <w:left w:w="28" w:type="dxa"/>
              <w:right w:w="28" w:type="dxa"/>
            </w:tcMar>
            <w:vAlign w:val="center"/>
          </w:tcPr>
          <w:p w14:paraId="457F90A5">
            <w:pPr>
              <w:pStyle w:val="27"/>
              <w:adjustRightInd w:val="0"/>
              <w:snapToGrid w:val="0"/>
              <w:spacing w:before="0" w:beforeAutospacing="0" w:after="0" w:afterAutospacing="0" w:line="360" w:lineRule="auto"/>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施工</w:t>
            </w:r>
          </w:p>
          <w:p w14:paraId="37CF3423">
            <w:pPr>
              <w:pStyle w:val="27"/>
              <w:adjustRightInd w:val="0"/>
              <w:snapToGrid w:val="0"/>
              <w:spacing w:before="0" w:beforeAutospacing="0" w:after="0" w:afterAutospacing="0" w:line="360" w:lineRule="auto"/>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期环</w:t>
            </w:r>
          </w:p>
          <w:p w14:paraId="1FEDA6B5">
            <w:pPr>
              <w:pStyle w:val="27"/>
              <w:adjustRightInd w:val="0"/>
              <w:snapToGrid w:val="0"/>
              <w:spacing w:before="0" w:beforeAutospacing="0" w:after="0" w:afterAutospacing="0" w:line="360" w:lineRule="auto"/>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境保</w:t>
            </w:r>
          </w:p>
          <w:p w14:paraId="6A25F3DD">
            <w:pPr>
              <w:pStyle w:val="27"/>
              <w:adjustRightInd w:val="0"/>
              <w:snapToGrid w:val="0"/>
              <w:spacing w:before="0" w:beforeAutospacing="0" w:after="0" w:afterAutospacing="0" w:line="360" w:lineRule="auto"/>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护措</w:t>
            </w:r>
          </w:p>
          <w:p w14:paraId="43E74B80">
            <w:pPr>
              <w:pStyle w:val="27"/>
              <w:adjustRightInd w:val="0"/>
              <w:snapToGrid w:val="0"/>
              <w:spacing w:before="0" w:beforeAutospacing="0" w:after="0" w:afterAutospacing="0" w:line="360" w:lineRule="auto"/>
              <w:jc w:val="center"/>
              <w:rPr>
                <w:rFonts w:ascii="Times New Roman" w:hAnsi="Times New Roman"/>
                <w:bCs/>
                <w:color w:val="000000" w:themeColor="text1"/>
                <w:kern w:val="2"/>
                <w:sz w:val="21"/>
                <w:szCs w:val="21"/>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施</w:t>
            </w:r>
          </w:p>
        </w:tc>
        <w:tc>
          <w:tcPr>
            <w:tcW w:w="8523" w:type="dxa"/>
            <w:vAlign w:val="center"/>
          </w:tcPr>
          <w:p w14:paraId="582E078F">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本项目依托现有厂房，施工期仅为安装设备，不涉及土建部分。会产生少量的废气、废水、固体废物及噪声。采取以下措施后对周边环境的影响较小。</w:t>
            </w:r>
          </w:p>
          <w:p w14:paraId="64555FBD">
            <w:pPr>
              <w:pStyle w:val="85"/>
              <w:ind w:firstLine="0" w:firstLineChars="0"/>
              <w:rPr>
                <w:b/>
                <w:bCs/>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1、施工期废气影响分析</w:t>
            </w:r>
          </w:p>
          <w:p w14:paraId="11E08EB9">
            <w:pPr>
              <w:widowControl/>
              <w:wordWrap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不涉及土建施工，施工期设备安装及物料运输等作业将产生一定扬尘，为有效控制施工扬尘排放，建设单位拟采取以下防治措施：施工期不运输易起尘物料，车辆运输产生的扬尘量较小，通过车辆限速、定期进行车辆冲洗等措施减少扬尘产生，车辆尾气对环境空气有一定影响，选用合格的机械设备及车辆，并采取定期维护，减少尾气污染物排放。由于所用施工设备及车辆尾气排放是间歇排放，且施工结束后，尾气排放已消失，因此对周围环境空气质量影响不大。通过采取上述措施，可有效控制施工扬尘排放浓度满足《施工及堆料场地扬尘排放标准》（DB21/2642-2016）标准要求，对周边环境影响较小。</w:t>
            </w:r>
          </w:p>
          <w:p w14:paraId="46DD2204">
            <w:pPr>
              <w:pStyle w:val="85"/>
              <w:ind w:firstLine="0" w:firstLineChars="0"/>
              <w:rPr>
                <w:b/>
                <w:bCs/>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2、施工期废水影响分析</w:t>
            </w:r>
          </w:p>
          <w:p w14:paraId="35AA7F15">
            <w:pPr>
              <w:widowControl/>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本项目施工期产生的废水主要为施工人员的生活污水依托现有化粪池处理，定期清掏，不外排，不会对当地水环境产生明显不良影响。</w:t>
            </w:r>
          </w:p>
          <w:p w14:paraId="48D7811D">
            <w:pPr>
              <w:pStyle w:val="85"/>
              <w:ind w:firstLine="0" w:firstLineChars="0"/>
              <w:rPr>
                <w:b/>
                <w:bCs/>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3、施工期噪声影响分析</w:t>
            </w:r>
          </w:p>
          <w:p w14:paraId="528EA42C">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施工期的噪声主要有施工现场的各类机械设备发出的噪声和设备材料运输的交通噪声。施工场地噪声主要是施工机械设备噪声，物料装卸碰撞噪声及施工人员的生活噪声，由于施工时，其噪声是由许多种不同种类的施工机械设备和运输车辆发出的，且一般设备的运作都是间歇性的。要求本项目合理安排施工时间：制定施工计划时，尽可能避免大量高噪声设备同时施工。同时，高噪声设备施工时间尽量安排在昼间，禁止夜间施工。合理布局施工现场：避免在同一地点安排大量动力机械设备，以避免局部声级过高。在采取以上措施后，施工期噪声对外环境影响不大。</w:t>
            </w:r>
          </w:p>
          <w:p w14:paraId="78A59677">
            <w:pPr>
              <w:pStyle w:val="85"/>
              <w:ind w:firstLine="0" w:firstLineChars="0"/>
              <w:rPr>
                <w:b/>
                <w:bCs/>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4、施工期固体废物处置</w:t>
            </w:r>
          </w:p>
          <w:p w14:paraId="42D316CF">
            <w:pPr>
              <w:pStyle w:val="85"/>
              <w:ind w:firstLine="480"/>
              <w:rPr>
                <w:color w:val="000000" w:themeColor="text1"/>
                <w:szCs w:val="24"/>
                <w14:textFill>
                  <w14:solidFill>
                    <w14:schemeClr w14:val="tx1"/>
                  </w14:solidFill>
                </w14:textFill>
              </w:rPr>
            </w:pPr>
            <w:r>
              <w:rPr>
                <w:color w:val="000000" w:themeColor="text1"/>
                <w:lang w:val="en-US"/>
                <w14:textFill>
                  <w14:solidFill>
                    <w14:schemeClr w14:val="tx1"/>
                  </w14:solidFill>
                </w14:textFill>
              </w:rPr>
              <w:t>本项目不涉及开挖基础，施工期固体废物主要为施工人员生活垃圾和废包装材料，废包装材料外售综合利用，生活垃圾委托环卫部门统一处理，对环境产生影响较小。</w:t>
            </w:r>
          </w:p>
          <w:p w14:paraId="2AB895CA">
            <w:pPr>
              <w:pStyle w:val="126"/>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5、生态环境</w:t>
            </w:r>
          </w:p>
          <w:p w14:paraId="434A538E">
            <w:pPr>
              <w:pStyle w:val="125"/>
              <w:spacing w:after="0"/>
              <w:ind w:left="0" w:leftChars="0"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本项目用地范围内不含有生态环境保护目标。</w:t>
            </w:r>
          </w:p>
          <w:p w14:paraId="06377CC7">
            <w:pPr>
              <w:pStyle w:val="85"/>
              <w:ind w:firstLine="480"/>
              <w:rPr>
                <w:color w:val="000000" w:themeColor="text1"/>
                <w:szCs w:val="24"/>
                <w:lang w:val="en-US"/>
                <w14:textFill>
                  <w14:solidFill>
                    <w14:schemeClr w14:val="tx1"/>
                  </w14:solidFill>
                </w14:textFill>
              </w:rPr>
            </w:pPr>
            <w:r>
              <w:rPr>
                <w:color w:val="000000" w:themeColor="text1"/>
                <w:szCs w:val="24"/>
                <w14:textFill>
                  <w14:solidFill>
                    <w14:schemeClr w14:val="tx1"/>
                  </w14:solidFill>
                </w14:textFill>
              </w:rPr>
              <w:t>综上所述，施工期对环境的影响是局部的、暂时的、可恢复性的，随着施工期的结束而消除。通过加强管理，文明施工，并在工程结束时采取一些恢复措施，降低对周围环境的影响程度，故本项目施工期对周围环境影响较小。</w:t>
            </w:r>
          </w:p>
        </w:tc>
      </w:tr>
      <w:tr w14:paraId="527DFFC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686" w:type="dxa"/>
            <w:vMerge w:val="restart"/>
            <w:tcMar>
              <w:left w:w="28" w:type="dxa"/>
              <w:right w:w="28" w:type="dxa"/>
            </w:tcMar>
            <w:vAlign w:val="center"/>
          </w:tcPr>
          <w:p w14:paraId="04B1D962">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运营</w:t>
            </w:r>
          </w:p>
          <w:p w14:paraId="4C4AD1DE">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期环</w:t>
            </w:r>
          </w:p>
          <w:p w14:paraId="0512399E">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境影</w:t>
            </w:r>
          </w:p>
          <w:p w14:paraId="0409D5FE">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响和</w:t>
            </w:r>
          </w:p>
          <w:p w14:paraId="499B1A43">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保护</w:t>
            </w:r>
          </w:p>
          <w:p w14:paraId="48C7C279">
            <w:pPr>
              <w:adjustRightInd w:val="0"/>
              <w:snapToGrid w:val="0"/>
              <w:jc w:val="center"/>
              <w:rPr>
                <w:bCs/>
                <w:color w:val="000000" w:themeColor="text1"/>
                <w:szCs w:val="21"/>
                <w14:textFill>
                  <w14:solidFill>
                    <w14:schemeClr w14:val="tx1"/>
                  </w14:solidFill>
                </w14:textFill>
              </w:rPr>
            </w:pPr>
            <w:r>
              <w:rPr>
                <w:bCs/>
                <w:color w:val="000000" w:themeColor="text1"/>
                <w:sz w:val="24"/>
                <w14:textFill>
                  <w14:solidFill>
                    <w14:schemeClr w14:val="tx1"/>
                  </w14:solidFill>
                </w14:textFill>
              </w:rPr>
              <w:t>措施</w:t>
            </w:r>
          </w:p>
        </w:tc>
        <w:tc>
          <w:tcPr>
            <w:tcW w:w="8523" w:type="dxa"/>
            <w:vAlign w:val="center"/>
          </w:tcPr>
          <w:p w14:paraId="54E6F691">
            <w:pPr>
              <w:numPr>
                <w:ilvl w:val="0"/>
                <w:numId w:val="9"/>
              </w:numPr>
              <w:spacing w:line="360" w:lineRule="auto"/>
              <w:rPr>
                <w:b/>
                <w:bCs/>
                <w:color w:val="000000" w:themeColor="text1"/>
                <w:sz w:val="24"/>
                <w14:textFill>
                  <w14:solidFill>
                    <w14:schemeClr w14:val="tx1"/>
                  </w14:solidFill>
                </w14:textFill>
              </w:rPr>
            </w:pPr>
            <w:bookmarkStart w:id="14" w:name="_Toc19926"/>
            <w:bookmarkStart w:id="15" w:name="_Toc26072"/>
            <w:bookmarkStart w:id="16" w:name="_Toc42076827"/>
            <w:bookmarkStart w:id="17" w:name="_Toc28680"/>
            <w:bookmarkStart w:id="18" w:name="_Toc9113"/>
            <w:bookmarkStart w:id="19" w:name="_Toc21979"/>
            <w:r>
              <w:rPr>
                <w:b/>
                <w:bCs/>
                <w:color w:val="000000" w:themeColor="text1"/>
                <w:sz w:val="24"/>
                <w14:textFill>
                  <w14:solidFill>
                    <w14:schemeClr w14:val="tx1"/>
                  </w14:solidFill>
                </w14:textFill>
              </w:rPr>
              <w:t>废气</w:t>
            </w:r>
            <w:bookmarkEnd w:id="14"/>
            <w:bookmarkEnd w:id="15"/>
            <w:bookmarkEnd w:id="16"/>
            <w:bookmarkEnd w:id="17"/>
            <w:bookmarkEnd w:id="18"/>
            <w:bookmarkEnd w:id="19"/>
          </w:p>
          <w:p w14:paraId="723F1CCC">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1.1废气污染源分析</w:t>
            </w:r>
          </w:p>
          <w:p w14:paraId="7751CB5E">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本项目废气主要为蒸汽发生器燃烧废气、以及燃料装卸、贮存和除渣等过程产生的少量粉尘。</w:t>
            </w:r>
          </w:p>
          <w:p w14:paraId="31F50EB3">
            <w:pPr>
              <w:pStyle w:val="85"/>
              <w:spacing w:before="120" w:beforeLines="50"/>
              <w:ind w:firstLine="0" w:firstLineChars="0"/>
              <w:rPr>
                <w:b/>
                <w:bCs/>
                <w:color w:val="000000" w:themeColor="text1"/>
                <w:szCs w:val="24"/>
                <w:lang w:val="en-US"/>
                <w14:textFill>
                  <w14:solidFill>
                    <w14:schemeClr w14:val="tx1"/>
                  </w14:solidFill>
                </w14:textFill>
              </w:rPr>
            </w:pPr>
            <w:r>
              <w:rPr>
                <w:b/>
                <w:bCs/>
                <w:color w:val="000000" w:themeColor="text1"/>
                <w:szCs w:val="24"/>
                <w14:textFill>
                  <w14:solidFill>
                    <w14:schemeClr w14:val="tx1"/>
                  </w14:solidFill>
                </w14:textFill>
              </w:rPr>
              <w:t>（</w:t>
            </w:r>
            <w:r>
              <w:rPr>
                <w:b/>
                <w:bCs/>
                <w:color w:val="000000" w:themeColor="text1"/>
                <w:szCs w:val="24"/>
                <w:lang w:val="en-US"/>
                <w14:textFill>
                  <w14:solidFill>
                    <w14:schemeClr w14:val="tx1"/>
                  </w14:solidFill>
                </w14:textFill>
              </w:rPr>
              <w:t>1</w:t>
            </w:r>
            <w:r>
              <w:rPr>
                <w:b/>
                <w:bCs/>
                <w:color w:val="000000" w:themeColor="text1"/>
                <w:szCs w:val="24"/>
                <w14:textFill>
                  <w14:solidFill>
                    <w14:schemeClr w14:val="tx1"/>
                  </w14:solidFill>
                </w14:textFill>
              </w:rPr>
              <w:t>）</w:t>
            </w:r>
            <w:r>
              <w:rPr>
                <w:b/>
                <w:bCs/>
                <w:color w:val="000000" w:themeColor="text1"/>
                <w:szCs w:val="24"/>
                <w:lang w:val="en-US"/>
                <w14:textFill>
                  <w14:solidFill>
                    <w14:schemeClr w14:val="tx1"/>
                  </w14:solidFill>
                </w14:textFill>
              </w:rPr>
              <w:t>蒸汽发生器废气</w:t>
            </w:r>
          </w:p>
          <w:p w14:paraId="773F5702">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项目建设1台2.5t/h生物质蒸汽发生器，年运行200天。蒸汽发生器运行过程中产生的燃烧废气，主要污染物为颗粒物、二氧化硫、氮氧化物，经旋风+布袋除尘器处理后由一根30m排气筒（DA001）高空排放。本次参考《污染源源强核算技术指南锅炉》（HJ991-2018）及《排污许可证申请与核发技术规范锅炉》（HJ953</w:t>
            </w:r>
            <w:r>
              <w:rPr>
                <w:rFonts w:hint="eastAsia"/>
                <w:color w:val="000000" w:themeColor="text1"/>
                <w:lang w:val="en-US"/>
                <w14:textFill>
                  <w14:solidFill>
                    <w14:schemeClr w14:val="tx1"/>
                  </w14:solidFill>
                </w14:textFill>
              </w:rPr>
              <w:t>.2-2026</w:t>
            </w:r>
            <w:r>
              <w:rPr>
                <w:color w:val="000000" w:themeColor="text1"/>
                <w:lang w:val="en-US"/>
                <w14:textFill>
                  <w14:solidFill>
                    <w14:schemeClr w14:val="tx1"/>
                  </w14:solidFill>
                </w14:textFill>
              </w:rPr>
              <w:t>）核算蒸汽发生器废气污染物源强，具体如下。</w:t>
            </w:r>
          </w:p>
          <w:p w14:paraId="26897607">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①烟气量</w:t>
            </w:r>
          </w:p>
          <w:p w14:paraId="51E48B50">
            <w:pPr>
              <w:tabs>
                <w:tab w:val="left" w:pos="2415"/>
              </w:tabs>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根据《排污许可证申请与核发技术规范锅炉》（HJ953</w:t>
            </w:r>
            <w:r>
              <w:rPr>
                <w:rFonts w:hint="eastAsia"/>
                <w:color w:val="000000" w:themeColor="text1"/>
                <w:sz w:val="24"/>
                <w14:textFill>
                  <w14:solidFill>
                    <w14:schemeClr w14:val="tx1"/>
                  </w14:solidFill>
                </w14:textFill>
              </w:rPr>
              <w:t>.2-2026</w:t>
            </w:r>
            <w:r>
              <w:rPr>
                <w:color w:val="000000" w:themeColor="text1"/>
                <w:sz w:val="24"/>
                <w14:textFill>
                  <w14:solidFill>
                    <w14:schemeClr w14:val="tx1"/>
                  </w14:solidFill>
                </w14:textFill>
              </w:rPr>
              <w:t>），生物质蒸汽发生器基准烟气量按下式计算：</w:t>
            </w:r>
          </w:p>
          <w:p w14:paraId="376CBBBE">
            <w:pPr>
              <w:spacing w:line="360" w:lineRule="auto"/>
              <w:ind w:firstLine="480" w:firstLineChars="20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Vgy=0.393Qnet,ar+0.876（Qnet,ar≥12.54MJ/kg，Vdaf≥15%）</w:t>
            </w:r>
          </w:p>
          <w:p w14:paraId="0EF74E8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式中：Vgy——基准烟气量（Nm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/kg））；</w:t>
            </w:r>
          </w:p>
          <w:p w14:paraId="6A6C82BD">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Qnet——气体燃料低位发热量（MJ/kg）；按前三年所有批次燃料低位发热量的平均值进行选取，未投运或投运不满一年的锅炉按设计燃料低位发热量进行选取，投运满一年但未满三年的锅炉按运行周期年内所有批次燃料低位发热量的平均值选取。</w:t>
            </w:r>
          </w:p>
          <w:p w14:paraId="5DDD7D8F">
            <w:pPr>
              <w:pStyle w:val="85"/>
              <w:ind w:firstLine="480"/>
              <w:rPr>
                <w:color w:val="000000" w:themeColor="text1"/>
                <w:lang w:val="en-US"/>
                <w14:textFill>
                  <w14:solidFill>
                    <w14:schemeClr w14:val="tx1"/>
                  </w14:solidFill>
                </w14:textFill>
              </w:rPr>
            </w:pPr>
            <w:r>
              <w:rPr>
                <w:color w:val="000000" w:themeColor="text1"/>
                <w:szCs w:val="24"/>
                <w:lang w:val="en-US"/>
                <w14:textFill>
                  <w14:solidFill>
                    <w14:schemeClr w14:val="tx1"/>
                  </w14:solidFill>
                </w14:textFill>
              </w:rPr>
              <w:t>根据生物质监测报告</w:t>
            </w:r>
            <w:r>
              <w:rPr>
                <w:color w:val="000000" w:themeColor="text1"/>
                <w:szCs w:val="24"/>
                <w14:textFill>
                  <w14:solidFill>
                    <w14:schemeClr w14:val="tx1"/>
                  </w14:solidFill>
                </w14:textFill>
              </w:rPr>
              <w:t>项目生物质</w:t>
            </w:r>
            <w:r>
              <w:rPr>
                <w:color w:val="000000" w:themeColor="text1"/>
                <w:szCs w:val="24"/>
                <w:lang w:val="en-US"/>
                <w14:textFill>
                  <w14:solidFill>
                    <w14:schemeClr w14:val="tx1"/>
                  </w14:solidFill>
                </w14:textFill>
              </w:rPr>
              <w:t>低位发热量</w:t>
            </w:r>
            <w:r>
              <w:rPr>
                <w:color w:val="000000" w:themeColor="text1"/>
                <w:szCs w:val="24"/>
                <w14:textFill>
                  <w14:solidFill>
                    <w14:schemeClr w14:val="tx1"/>
                  </w14:solidFill>
                </w14:textFill>
              </w:rPr>
              <w:t>为</w:t>
            </w:r>
            <w:r>
              <w:rPr>
                <w:color w:val="000000" w:themeColor="text1"/>
                <w:szCs w:val="24"/>
                <w:lang w:val="en-US"/>
                <w14:textFill>
                  <w14:solidFill>
                    <w14:schemeClr w14:val="tx1"/>
                  </w14:solidFill>
                </w14:textFill>
              </w:rPr>
              <w:t>16.47</w:t>
            </w:r>
            <w:r>
              <w:rPr>
                <w:color w:val="000000" w:themeColor="text1"/>
                <w:szCs w:val="24"/>
                <w14:textFill>
                  <w14:solidFill>
                    <w14:schemeClr w14:val="tx1"/>
                  </w14:solidFill>
                </w14:textFill>
              </w:rPr>
              <w:t>MJ/kg，根据计算，项目基准烟气量为7.</w:t>
            </w:r>
            <w:r>
              <w:rPr>
                <w:color w:val="000000" w:themeColor="text1"/>
                <w:szCs w:val="24"/>
                <w:lang w:val="en-US"/>
                <w14:textFill>
                  <w14:solidFill>
                    <w14:schemeClr w14:val="tx1"/>
                  </w14:solidFill>
                </w14:textFill>
              </w:rPr>
              <w:t>35</w:t>
            </w:r>
            <w:r>
              <w:rPr>
                <w:color w:val="000000" w:themeColor="text1"/>
                <w:szCs w:val="24"/>
                <w14:textFill>
                  <w14:solidFill>
                    <w14:schemeClr w14:val="tx1"/>
                  </w14:solidFill>
                </w14:textFill>
              </w:rPr>
              <w:t>Nm</w:t>
            </w:r>
            <w:r>
              <w:rPr>
                <w:color w:val="000000" w:themeColor="text1"/>
                <w:szCs w:val="24"/>
                <w:vertAlign w:val="superscript"/>
                <w14:textFill>
                  <w14:solidFill>
                    <w14:schemeClr w14:val="tx1"/>
                  </w14:solidFill>
                </w14:textFill>
              </w:rPr>
              <w:t>3</w:t>
            </w:r>
            <w:r>
              <w:rPr>
                <w:color w:val="000000" w:themeColor="text1"/>
                <w:szCs w:val="24"/>
                <w14:textFill>
                  <w14:solidFill>
                    <w14:schemeClr w14:val="tx1"/>
                  </w14:solidFill>
                </w14:textFill>
              </w:rPr>
              <w:t>/kg，</w:t>
            </w:r>
            <w:r>
              <w:rPr>
                <w:color w:val="000000" w:themeColor="text1"/>
                <w:szCs w:val="24"/>
                <w:lang w:val="en-US"/>
                <w14:textFill>
                  <w14:solidFill>
                    <w14:schemeClr w14:val="tx1"/>
                  </w14:solidFill>
                </w14:textFill>
              </w:rPr>
              <w:t>运行期间</w:t>
            </w:r>
            <w:r>
              <w:rPr>
                <w:color w:val="000000" w:themeColor="text1"/>
                <w:szCs w:val="24"/>
                <w14:textFill>
                  <w14:solidFill>
                    <w14:schemeClr w14:val="tx1"/>
                  </w14:solidFill>
                </w14:textFill>
              </w:rPr>
              <w:t>生物质燃烧量为</w:t>
            </w:r>
            <w:r>
              <w:rPr>
                <w:color w:val="000000" w:themeColor="text1"/>
                <w:szCs w:val="24"/>
                <w:lang w:val="en-US"/>
                <w14:textFill>
                  <w14:solidFill>
                    <w14:schemeClr w14:val="tx1"/>
                  </w14:solidFill>
                </w14:textFill>
              </w:rPr>
              <w:t>640</w:t>
            </w:r>
            <w:r>
              <w:rPr>
                <w:color w:val="000000" w:themeColor="text1"/>
                <w:szCs w:val="24"/>
                <w14:textFill>
                  <w14:solidFill>
                    <w14:schemeClr w14:val="tx1"/>
                  </w14:solidFill>
                </w14:textFill>
              </w:rPr>
              <w:t>t，则项目蒸汽发生器烟气排放量为</w:t>
            </w:r>
            <w:r>
              <w:rPr>
                <w:color w:val="000000" w:themeColor="text1"/>
                <w:szCs w:val="24"/>
                <w:lang w:val="en-US"/>
                <w14:textFill>
                  <w14:solidFill>
                    <w14:schemeClr w14:val="tx1"/>
                  </w14:solidFill>
                </w14:textFill>
              </w:rPr>
              <w:t>470.3174</w:t>
            </w:r>
            <w:r>
              <w:rPr>
                <w:color w:val="000000" w:themeColor="text1"/>
                <w:szCs w:val="24"/>
                <w14:textFill>
                  <w14:solidFill>
                    <w14:schemeClr w14:val="tx1"/>
                  </w14:solidFill>
                </w14:textFill>
              </w:rPr>
              <w:t>万m</w:t>
            </w:r>
            <w:r>
              <w:rPr>
                <w:color w:val="000000" w:themeColor="text1"/>
                <w:szCs w:val="24"/>
                <w:vertAlign w:val="superscript"/>
                <w14:textFill>
                  <w14:solidFill>
                    <w14:schemeClr w14:val="tx1"/>
                  </w14:solidFill>
                </w14:textFill>
              </w:rPr>
              <w:t>3</w:t>
            </w:r>
            <w:r>
              <w:rPr>
                <w:color w:val="000000" w:themeColor="text1"/>
                <w:szCs w:val="24"/>
                <w:lang w:val="en-US"/>
                <w14:textFill>
                  <w14:solidFill>
                    <w14:schemeClr w14:val="tx1"/>
                  </w14:solidFill>
                </w14:textFill>
              </w:rPr>
              <w:t>/a（2939.484m</w:t>
            </w:r>
            <w:r>
              <w:rPr>
                <w:color w:val="000000" w:themeColor="text1"/>
                <w:szCs w:val="24"/>
                <w:vertAlign w:val="superscript"/>
                <w:lang w:val="en-US"/>
                <w14:textFill>
                  <w14:solidFill>
                    <w14:schemeClr w14:val="tx1"/>
                  </w14:solidFill>
                </w14:textFill>
              </w:rPr>
              <w:t>3</w:t>
            </w:r>
            <w:r>
              <w:rPr>
                <w:color w:val="000000" w:themeColor="text1"/>
                <w:szCs w:val="24"/>
                <w:lang w:val="en-US"/>
                <w14:textFill>
                  <w14:solidFill>
                    <w14:schemeClr w14:val="tx1"/>
                  </w14:solidFill>
                </w14:textFill>
              </w:rPr>
              <w:t>/h）</w:t>
            </w:r>
            <w:r>
              <w:rPr>
                <w:color w:val="000000" w:themeColor="text1"/>
                <w:szCs w:val="24"/>
                <w14:textFill>
                  <w14:solidFill>
                    <w14:schemeClr w14:val="tx1"/>
                  </w14:solidFill>
                </w14:textFill>
              </w:rPr>
              <w:t>。</w:t>
            </w:r>
          </w:p>
          <w:p w14:paraId="4246BE85">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②颗粒物</w:t>
            </w:r>
          </w:p>
          <w:p w14:paraId="47714C5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生物质蒸汽发生器颗粒物排放量按下式计算。</w:t>
            </w:r>
          </w:p>
          <w:p w14:paraId="29ABCF00">
            <w:pPr>
              <w:spacing w:line="360" w:lineRule="auto"/>
              <w:ind w:firstLine="420" w:firstLineChars="20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62175" cy="790575"/>
                  <wp:effectExtent l="0" t="0" r="9525" b="9525"/>
                  <wp:docPr id="9" name="图片 23" descr="w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3" descr="wps2"/>
                          <pic:cNvPicPr>
                            <a:picLocks noChangeAspect="1"/>
                          </pic:cNvPicPr>
                        </pic:nvPicPr>
                        <pic:blipFill>
                          <a:blip r:embed="rId20"/>
                          <a:stretch>
                            <a:fillRect/>
                          </a:stretch>
                        </pic:blipFill>
                        <pic:spPr>
                          <a:xfrm>
                            <a:off x="0" y="0"/>
                            <a:ext cx="2162175" cy="790575"/>
                          </a:xfrm>
                          <a:prstGeom prst="rect">
                            <a:avLst/>
                          </a:prstGeom>
                          <a:noFill/>
                          <a:ln>
                            <a:noFill/>
                          </a:ln>
                        </pic:spPr>
                      </pic:pic>
                    </a:graphicData>
                  </a:graphic>
                </wp:inline>
              </w:drawing>
            </w:r>
          </w:p>
          <w:p w14:paraId="14C4663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式中：EA——核算时段内颗粒物（烟尘）排放量，t；</w:t>
            </w:r>
          </w:p>
          <w:p w14:paraId="508CA0F7">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R——核算时段内锅炉燃料耗量，t；</w:t>
            </w:r>
          </w:p>
          <w:p w14:paraId="4E64B60A">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Aar——收到基灰分的质量分数，%；</w:t>
            </w:r>
          </w:p>
          <w:p w14:paraId="70AE66AB">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dfh——锅炉烟气带出的飞灰份额，%；</w:t>
            </w:r>
          </w:p>
          <w:p w14:paraId="2DE7F1D3">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ηc——综合除尘效率，%；</w:t>
            </w:r>
          </w:p>
          <w:p w14:paraId="57112B97">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Cfh——飞灰中的可燃物含量，%。</w:t>
            </w:r>
          </w:p>
          <w:p w14:paraId="1AE94CBA">
            <w:pPr>
              <w:pStyle w:val="85"/>
              <w:ind w:firstLine="480"/>
              <w:rPr>
                <w:color w:val="000000" w:themeColor="text1"/>
                <w:lang w:val="en-US"/>
                <w14:textFill>
                  <w14:solidFill>
                    <w14:schemeClr w14:val="tx1"/>
                  </w14:solidFill>
                </w14:textFill>
              </w:rPr>
            </w:pPr>
            <w:r>
              <w:rPr>
                <w:color w:val="000000" w:themeColor="text1"/>
                <w:szCs w:val="24"/>
                <w14:textFill>
                  <w14:solidFill>
                    <w14:schemeClr w14:val="tx1"/>
                  </w14:solidFill>
                </w14:textFill>
              </w:rPr>
              <w:t>项目年消耗生物质燃料R为</w:t>
            </w:r>
            <w:r>
              <w:rPr>
                <w:color w:val="000000" w:themeColor="text1"/>
                <w:szCs w:val="24"/>
                <w:lang w:val="en-US"/>
                <w14:textFill>
                  <w14:solidFill>
                    <w14:schemeClr w14:val="tx1"/>
                  </w14:solidFill>
                </w14:textFill>
              </w:rPr>
              <w:t>640</w:t>
            </w:r>
            <w:r>
              <w:rPr>
                <w:color w:val="000000" w:themeColor="text1"/>
                <w:szCs w:val="24"/>
                <w14:textFill>
                  <w14:solidFill>
                    <w14:schemeClr w14:val="tx1"/>
                  </w14:solidFill>
                </w14:textFill>
              </w:rPr>
              <w:t>t；</w:t>
            </w:r>
            <w:r>
              <w:rPr>
                <w:color w:val="000000" w:themeColor="text1"/>
                <w:szCs w:val="24"/>
                <w:lang w:val="en-US"/>
                <w14:textFill>
                  <w14:solidFill>
                    <w14:schemeClr w14:val="tx1"/>
                  </w14:solidFill>
                </w14:textFill>
              </w:rPr>
              <w:t>根据生物质监测报告</w:t>
            </w:r>
            <w:r>
              <w:rPr>
                <w:color w:val="000000" w:themeColor="text1"/>
                <w:szCs w:val="24"/>
                <w14:textFill>
                  <w14:solidFill>
                    <w14:schemeClr w14:val="tx1"/>
                  </w14:solidFill>
                </w14:textFill>
              </w:rPr>
              <w:t>项目生物质颗粒Aar取</w:t>
            </w:r>
            <w:r>
              <w:rPr>
                <w:color w:val="000000" w:themeColor="text1"/>
                <w:szCs w:val="24"/>
                <w:lang w:val="en-US"/>
                <w14:textFill>
                  <w14:solidFill>
                    <w14:schemeClr w14:val="tx1"/>
                  </w14:solidFill>
                </w14:textFill>
              </w:rPr>
              <w:t>2.7</w:t>
            </w:r>
            <w:r>
              <w:rPr>
                <w:color w:val="000000" w:themeColor="text1"/>
                <w:szCs w:val="24"/>
                <w14:textFill>
                  <w14:solidFill>
                    <w14:schemeClr w14:val="tx1"/>
                  </w14:solidFill>
                </w14:textFill>
              </w:rPr>
              <w:t>%。根据（HJ 991</w:t>
            </w:r>
            <w:r>
              <w:rPr>
                <w:color w:val="000000" w:themeColor="text1"/>
                <w:szCs w:val="24"/>
                <w:lang w:val="en-US"/>
                <w14:textFill>
                  <w14:solidFill>
                    <w14:schemeClr w14:val="tx1"/>
                  </w14:solidFill>
                </w14:textFill>
              </w:rPr>
              <w:t>-</w:t>
            </w:r>
            <w:r>
              <w:rPr>
                <w:color w:val="000000" w:themeColor="text1"/>
                <w:szCs w:val="24"/>
                <w14:textFill>
                  <w14:solidFill>
                    <w14:schemeClr w14:val="tx1"/>
                  </w14:solidFill>
                </w14:textFill>
              </w:rPr>
              <w:t>2018）附录B，表B.2，项目生物质蒸汽发生器dfh取</w:t>
            </w:r>
            <w:r>
              <w:rPr>
                <w:color w:val="000000" w:themeColor="text1"/>
                <w:szCs w:val="24"/>
                <w:lang w:val="en-US"/>
                <w14:textFill>
                  <w14:solidFill>
                    <w14:schemeClr w14:val="tx1"/>
                  </w14:solidFill>
                </w14:textFill>
              </w:rPr>
              <w:t>70</w:t>
            </w:r>
            <w:r>
              <w:rPr>
                <w:color w:val="000000" w:themeColor="text1"/>
                <w:szCs w:val="24"/>
                <w14:textFill>
                  <w14:solidFill>
                    <w14:schemeClr w14:val="tx1"/>
                  </w14:solidFill>
                </w14:textFill>
              </w:rPr>
              <w:t>%。计算颗粒物产生量，则ηc取0。飞灰中的可燃物含量参考《燃煤工业锅炉节能监测》（GB/T15317</w:t>
            </w:r>
            <w:r>
              <w:rPr>
                <w:color w:val="000000" w:themeColor="text1"/>
                <w:szCs w:val="24"/>
                <w:lang w:val="en-US"/>
                <w14:textFill>
                  <w14:solidFill>
                    <w14:schemeClr w14:val="tx1"/>
                  </w14:solidFill>
                </w14:textFill>
              </w:rPr>
              <w:t>-2009</w:t>
            </w:r>
            <w:r>
              <w:rPr>
                <w:color w:val="000000" w:themeColor="text1"/>
                <w:szCs w:val="24"/>
                <w14:textFill>
                  <w14:solidFill>
                    <w14:schemeClr w14:val="tx1"/>
                  </w14:solidFill>
                </w14:textFill>
              </w:rPr>
              <w:t>），则Cfh取5%。因此项目颗粒物产生量为</w:t>
            </w:r>
            <w:r>
              <w:rPr>
                <w:color w:val="000000" w:themeColor="text1"/>
                <w:szCs w:val="24"/>
                <w:lang w:val="en-US"/>
                <w14:textFill>
                  <w14:solidFill>
                    <w14:schemeClr w14:val="tx1"/>
                  </w14:solidFill>
                </w14:textFill>
              </w:rPr>
              <w:t>12.733</w:t>
            </w:r>
            <w:r>
              <w:rPr>
                <w:color w:val="000000" w:themeColor="text1"/>
                <w:szCs w:val="24"/>
                <w14:textFill>
                  <w14:solidFill>
                    <w14:schemeClr w14:val="tx1"/>
                  </w14:solidFill>
                </w14:textFill>
              </w:rPr>
              <w:t>t/a。产生的颗粒物</w:t>
            </w:r>
            <w:r>
              <w:rPr>
                <w:color w:val="000000" w:themeColor="text1"/>
                <w:szCs w:val="24"/>
                <w:lang w:val="en-US"/>
                <w14:textFill>
                  <w14:solidFill>
                    <w14:schemeClr w14:val="tx1"/>
                  </w14:solidFill>
                </w14:textFill>
              </w:rPr>
              <w:t>经旋风除尘器和</w:t>
            </w:r>
            <w:r>
              <w:rPr>
                <w:color w:val="000000" w:themeColor="text1"/>
                <w:szCs w:val="24"/>
                <w14:textFill>
                  <w14:solidFill>
                    <w14:schemeClr w14:val="tx1"/>
                  </w14:solidFill>
                </w14:textFill>
              </w:rPr>
              <w:t>布袋除尘器处理后经</w:t>
            </w:r>
            <w:r>
              <w:rPr>
                <w:color w:val="000000" w:themeColor="text1"/>
                <w:szCs w:val="24"/>
                <w:lang w:val="en-US"/>
                <w14:textFill>
                  <w14:solidFill>
                    <w14:schemeClr w14:val="tx1"/>
                  </w14:solidFill>
                </w14:textFill>
              </w:rPr>
              <w:t>DA001（30m）</w:t>
            </w:r>
            <w:r>
              <w:rPr>
                <w:color w:val="000000" w:themeColor="text1"/>
                <w:szCs w:val="24"/>
                <w14:textFill>
                  <w14:solidFill>
                    <w14:schemeClr w14:val="tx1"/>
                  </w14:solidFill>
                </w14:textFill>
              </w:rPr>
              <w:t>排气筒排放，去除效率</w:t>
            </w:r>
            <w:r>
              <w:rPr>
                <w:color w:val="000000" w:themeColor="text1"/>
                <w:szCs w:val="24"/>
                <w:lang w:val="en-US"/>
                <w14:textFill>
                  <w14:solidFill>
                    <w14:schemeClr w14:val="tx1"/>
                  </w14:solidFill>
                </w14:textFill>
              </w:rPr>
              <w:t>按</w:t>
            </w:r>
            <w:r>
              <w:rPr>
                <w:color w:val="000000" w:themeColor="text1"/>
                <w:szCs w:val="24"/>
                <w14:textFill>
                  <w14:solidFill>
                    <w14:schemeClr w14:val="tx1"/>
                  </w14:solidFill>
                </w14:textFill>
              </w:rPr>
              <w:t>99%</w:t>
            </w:r>
            <w:r>
              <w:rPr>
                <w:color w:val="000000" w:themeColor="text1"/>
                <w:szCs w:val="24"/>
                <w:lang w:val="en-US"/>
                <w14:textFill>
                  <w14:solidFill>
                    <w14:schemeClr w14:val="tx1"/>
                  </w14:solidFill>
                </w14:textFill>
              </w:rPr>
              <w:t>计</w:t>
            </w:r>
            <w:r>
              <w:rPr>
                <w:color w:val="000000" w:themeColor="text1"/>
                <w:szCs w:val="24"/>
                <w14:textFill>
                  <w14:solidFill>
                    <w14:schemeClr w14:val="tx1"/>
                  </w14:solidFill>
                </w14:textFill>
              </w:rPr>
              <w:t>，则排放量为</w:t>
            </w:r>
            <w:r>
              <w:rPr>
                <w:color w:val="000000" w:themeColor="text1"/>
                <w:szCs w:val="24"/>
                <w:lang w:val="en-US"/>
                <w14:textFill>
                  <w14:solidFill>
                    <w14:schemeClr w14:val="tx1"/>
                  </w14:solidFill>
                </w14:textFill>
              </w:rPr>
              <w:t>0.127</w:t>
            </w:r>
            <w:r>
              <w:rPr>
                <w:color w:val="000000" w:themeColor="text1"/>
                <w:szCs w:val="24"/>
                <w14:textFill>
                  <w14:solidFill>
                    <w14:schemeClr w14:val="tx1"/>
                  </w14:solidFill>
                </w14:textFill>
              </w:rPr>
              <w:t>t/a。</w:t>
            </w:r>
          </w:p>
          <w:p w14:paraId="3526CAB2">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③二氧化硫</w:t>
            </w:r>
          </w:p>
          <w:p w14:paraId="6CA80E2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生物质蒸汽发生器二氧化硫排放量按下式计算。</w:t>
            </w:r>
          </w:p>
          <w:p w14:paraId="301BD34E">
            <w:pPr>
              <w:spacing w:line="360" w:lineRule="auto"/>
              <w:ind w:firstLine="420" w:firstLineChars="20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971800" cy="438150"/>
                  <wp:effectExtent l="0" t="0" r="0" b="0"/>
                  <wp:docPr id="35" name="图片 24"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4" descr="wps3"/>
                          <pic:cNvPicPr>
                            <a:picLocks noChangeAspect="1"/>
                          </pic:cNvPicPr>
                        </pic:nvPicPr>
                        <pic:blipFill>
                          <a:blip r:embed="rId21"/>
                          <a:stretch>
                            <a:fillRect/>
                          </a:stretch>
                        </pic:blipFill>
                        <pic:spPr>
                          <a:xfrm>
                            <a:off x="0" y="0"/>
                            <a:ext cx="2971800" cy="438150"/>
                          </a:xfrm>
                          <a:prstGeom prst="rect">
                            <a:avLst/>
                          </a:prstGeom>
                          <a:noFill/>
                          <a:ln>
                            <a:noFill/>
                          </a:ln>
                        </pic:spPr>
                      </pic:pic>
                    </a:graphicData>
                  </a:graphic>
                </wp:inline>
              </w:drawing>
            </w:r>
          </w:p>
          <w:p w14:paraId="17FFAD6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式中：E</w:t>
            </w:r>
            <w:r>
              <w:rPr>
                <w:color w:val="000000" w:themeColor="text1"/>
                <w:sz w:val="24"/>
                <w:vertAlign w:val="subscript"/>
                <w14:textFill>
                  <w14:solidFill>
                    <w14:schemeClr w14:val="tx1"/>
                  </w14:solidFill>
                </w14:textFill>
              </w:rPr>
              <w:t>SO2</w:t>
            </w:r>
            <w:r>
              <w:rPr>
                <w:color w:val="000000" w:themeColor="text1"/>
                <w:sz w:val="24"/>
                <w14:textFill>
                  <w14:solidFill>
                    <w14:schemeClr w14:val="tx1"/>
                  </w14:solidFill>
                </w14:textFill>
              </w:rPr>
              <w:t>——核算时段内二氧化硫排放量，t；</w:t>
            </w:r>
          </w:p>
          <w:p w14:paraId="3585FF7D">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R——核算时段内锅炉燃料耗量，t；</w:t>
            </w:r>
          </w:p>
          <w:p w14:paraId="2BD8DB2B">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Sar——收到基硫的质量分数，%；</w:t>
            </w:r>
          </w:p>
          <w:p w14:paraId="43D263DA">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q4——锅炉机械不完全燃烧热损失，%；</w:t>
            </w:r>
          </w:p>
          <w:p w14:paraId="419A4111">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ηS——脱硫效率，%；</w:t>
            </w:r>
          </w:p>
          <w:p w14:paraId="65CBA85D">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K——燃料中的硫燃烧后氧化成二氧化硫的份额，量纲一的量。</w:t>
            </w:r>
          </w:p>
          <w:p w14:paraId="4D74C025">
            <w:pPr>
              <w:pStyle w:val="85"/>
              <w:ind w:firstLine="480"/>
              <w:rPr>
                <w:color w:val="000000" w:themeColor="text1"/>
                <w:lang w:val="en-US"/>
                <w14:textFill>
                  <w14:solidFill>
                    <w14:schemeClr w14:val="tx1"/>
                  </w14:solidFill>
                </w14:textFill>
              </w:rPr>
            </w:pPr>
            <w:r>
              <w:rPr>
                <w:color w:val="000000" w:themeColor="text1"/>
                <w:szCs w:val="24"/>
                <w14:textFill>
                  <w14:solidFill>
                    <w14:schemeClr w14:val="tx1"/>
                  </w14:solidFill>
                </w14:textFill>
              </w:rPr>
              <w:t>项目年消耗生物质燃料R为</w:t>
            </w:r>
            <w:r>
              <w:rPr>
                <w:color w:val="000000" w:themeColor="text1"/>
                <w:szCs w:val="24"/>
                <w:lang w:val="en-US"/>
                <w14:textFill>
                  <w14:solidFill>
                    <w14:schemeClr w14:val="tx1"/>
                  </w14:solidFill>
                </w14:textFill>
              </w:rPr>
              <w:t>640</w:t>
            </w:r>
            <w:r>
              <w:rPr>
                <w:color w:val="000000" w:themeColor="text1"/>
                <w:szCs w:val="24"/>
                <w14:textFill>
                  <w14:solidFill>
                    <w14:schemeClr w14:val="tx1"/>
                  </w14:solidFill>
                </w14:textFill>
              </w:rPr>
              <w:t>t。</w:t>
            </w:r>
            <w:r>
              <w:rPr>
                <w:color w:val="000000" w:themeColor="text1"/>
                <w:szCs w:val="24"/>
                <w:lang w:val="en-US"/>
                <w14:textFill>
                  <w14:solidFill>
                    <w14:schemeClr w14:val="tx1"/>
                  </w14:solidFill>
                </w14:textFill>
              </w:rPr>
              <w:t>根据监测报告收到基硫的质量分数Sar为</w:t>
            </w:r>
            <w:r>
              <w:rPr>
                <w:color w:val="000000" w:themeColor="text1"/>
                <w:szCs w:val="24"/>
                <w14:textFill>
                  <w14:solidFill>
                    <w14:schemeClr w14:val="tx1"/>
                  </w14:solidFill>
                </w14:textFill>
              </w:rPr>
              <w:t>0.</w:t>
            </w:r>
            <w:r>
              <w:rPr>
                <w:color w:val="000000" w:themeColor="text1"/>
                <w:szCs w:val="24"/>
                <w:lang w:val="en-US"/>
                <w14:textFill>
                  <w14:solidFill>
                    <w14:schemeClr w14:val="tx1"/>
                  </w14:solidFill>
                </w14:textFill>
              </w:rPr>
              <w:t>01</w:t>
            </w:r>
            <w:r>
              <w:rPr>
                <w:color w:val="000000" w:themeColor="text1"/>
                <w:szCs w:val="24"/>
                <w14:textFill>
                  <w14:solidFill>
                    <w14:schemeClr w14:val="tx1"/>
                  </w14:solidFill>
                </w14:textFill>
              </w:rPr>
              <w:t>%。项目无脱硫设施，则ηS为0。根据（HJ 991</w:t>
            </w:r>
            <w:r>
              <w:rPr>
                <w:color w:val="000000" w:themeColor="text1"/>
                <w:szCs w:val="24"/>
                <w:lang w:val="en-US"/>
                <w14:textFill>
                  <w14:solidFill>
                    <w14:schemeClr w14:val="tx1"/>
                  </w14:solidFill>
                </w14:textFill>
              </w:rPr>
              <w:t>-</w:t>
            </w:r>
            <w:r>
              <w:rPr>
                <w:color w:val="000000" w:themeColor="text1"/>
                <w:szCs w:val="24"/>
                <w14:textFill>
                  <w14:solidFill>
                    <w14:schemeClr w14:val="tx1"/>
                  </w14:solidFill>
                </w14:textFill>
              </w:rPr>
              <w:t>2018）附录B，B.1，生物质蒸汽发生器q4取值为2。根据（HJ 991</w:t>
            </w:r>
            <w:r>
              <w:rPr>
                <w:color w:val="000000" w:themeColor="text1"/>
                <w:szCs w:val="24"/>
                <w:lang w:val="en-US"/>
                <w14:textFill>
                  <w14:solidFill>
                    <w14:schemeClr w14:val="tx1"/>
                  </w14:solidFill>
                </w14:textFill>
              </w:rPr>
              <w:t>-</w:t>
            </w:r>
            <w:r>
              <w:rPr>
                <w:color w:val="000000" w:themeColor="text1"/>
                <w:szCs w:val="24"/>
                <w14:textFill>
                  <w14:solidFill>
                    <w14:schemeClr w14:val="tx1"/>
                  </w14:solidFill>
                </w14:textFill>
              </w:rPr>
              <w:t>2018）附录B，B.3，生物质蒸汽发生器K取值为0.</w:t>
            </w:r>
            <w:r>
              <w:rPr>
                <w:color w:val="000000" w:themeColor="text1"/>
                <w:szCs w:val="24"/>
                <w:lang w:val="en-US"/>
                <w14:textFill>
                  <w14:solidFill>
                    <w14:schemeClr w14:val="tx1"/>
                  </w14:solidFill>
                </w14:textFill>
              </w:rPr>
              <w:t>4</w:t>
            </w:r>
            <w:r>
              <w:rPr>
                <w:color w:val="000000" w:themeColor="text1"/>
                <w:szCs w:val="24"/>
                <w14:textFill>
                  <w14:solidFill>
                    <w14:schemeClr w14:val="tx1"/>
                  </w14:solidFill>
                </w14:textFill>
              </w:rPr>
              <w:t>。则项目二氧化硫排放量为</w:t>
            </w:r>
            <w:r>
              <w:rPr>
                <w:color w:val="000000" w:themeColor="text1"/>
                <w:szCs w:val="24"/>
                <w:lang w:val="en-US"/>
                <w14:textFill>
                  <w14:solidFill>
                    <w14:schemeClr w14:val="tx1"/>
                  </w14:solidFill>
                </w14:textFill>
              </w:rPr>
              <w:t>0.05</w:t>
            </w:r>
            <w:r>
              <w:rPr>
                <w:color w:val="000000" w:themeColor="text1"/>
                <w:szCs w:val="24"/>
                <w14:textFill>
                  <w14:solidFill>
                    <w14:schemeClr w14:val="tx1"/>
                  </w14:solidFill>
                </w14:textFill>
              </w:rPr>
              <w:t>t/a。</w:t>
            </w:r>
          </w:p>
          <w:p w14:paraId="10F796A9">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④氮氧化物</w:t>
            </w:r>
          </w:p>
          <w:p w14:paraId="281992F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用低氮燃烧技术，根据《排放源统计调查产排污核算方法和系数手册》（公告2021年第24号）中4430工业锅炉（热力生产和供应行业）产污系数表，生物质工业锅炉的氮氧化物产排污系数1.02kg/t-原料，低氮燃烧去除效率为30%，则NOx排放量为0.4</w:t>
            </w:r>
            <w:r>
              <w:rPr>
                <w:rFonts w:hint="eastAsia"/>
                <w:color w:val="000000" w:themeColor="text1"/>
                <w:sz w:val="24"/>
                <w14:textFill>
                  <w14:solidFill>
                    <w14:schemeClr w14:val="tx1"/>
                  </w14:solidFill>
                </w14:textFill>
              </w:rPr>
              <w:t>57</w:t>
            </w:r>
            <w:r>
              <w:rPr>
                <w:color w:val="000000" w:themeColor="text1"/>
                <w:sz w:val="24"/>
                <w14:textFill>
                  <w14:solidFill>
                    <w14:schemeClr w14:val="tx1"/>
                  </w14:solidFill>
                </w14:textFill>
              </w:rPr>
              <w:t>t/a。</w:t>
            </w:r>
          </w:p>
          <w:p w14:paraId="16869992">
            <w:pPr>
              <w:adjustRightInd w:val="0"/>
              <w:snapToGrid w:val="0"/>
              <w:spacing w:line="360" w:lineRule="auto"/>
              <w:ind w:firstLine="480" w:firstLineChars="200"/>
              <w:rPr>
                <w:color w:val="000000" w:themeColor="text1"/>
                <w:sz w:val="24"/>
                <w14:textFill>
                  <w14:solidFill>
                    <w14:schemeClr w14:val="tx1"/>
                  </w14:solidFill>
                </w14:textFill>
              </w:rPr>
            </w:pPr>
            <w:r>
              <w:rPr>
                <w:rStyle w:val="64"/>
                <w:color w:val="000000" w:themeColor="text1"/>
                <w:sz w:val="24"/>
                <w14:textFill>
                  <w14:solidFill>
                    <w14:schemeClr w14:val="tx1"/>
                  </w14:solidFill>
                </w14:textFill>
              </w:rPr>
              <w:t>综上所述，</w:t>
            </w:r>
            <w:r>
              <w:rPr>
                <w:color w:val="000000" w:themeColor="text1"/>
                <w:sz w:val="24"/>
                <w14:textFill>
                  <w14:solidFill>
                    <w14:schemeClr w14:val="tx1"/>
                  </w14:solidFill>
                </w14:textFill>
              </w:rPr>
              <w:t>生物质蒸汽发生器污染物产生及情况见下表。</w:t>
            </w:r>
          </w:p>
          <w:p w14:paraId="5671FEAE">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表4-1  项目废气产生及排放情况</w:t>
            </w:r>
          </w:p>
          <w:tbl>
            <w:tblPr>
              <w:tblStyle w:val="31"/>
              <w:tblW w:w="4997"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780"/>
              <w:gridCol w:w="840"/>
              <w:gridCol w:w="979"/>
              <w:gridCol w:w="1115"/>
              <w:gridCol w:w="989"/>
              <w:gridCol w:w="692"/>
              <w:gridCol w:w="1021"/>
              <w:gridCol w:w="858"/>
              <w:gridCol w:w="1028"/>
            </w:tblGrid>
            <w:tr w14:paraId="0535590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69" w:type="pct"/>
                  <w:vMerge w:val="restart"/>
                  <w:tcBorders>
                    <w:tl2br w:val="nil"/>
                    <w:tr2bl w:val="nil"/>
                  </w:tcBorders>
                  <w:vAlign w:val="center"/>
                </w:tcPr>
                <w:p w14:paraId="7FEB9C4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505" w:type="pct"/>
                  <w:vMerge w:val="restart"/>
                  <w:tcBorders>
                    <w:tl2br w:val="nil"/>
                    <w:tr2bl w:val="nil"/>
                  </w:tcBorders>
                  <w:vAlign w:val="center"/>
                </w:tcPr>
                <w:p w14:paraId="335E4C6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260" w:type="pct"/>
                  <w:gridSpan w:val="2"/>
                  <w:tcBorders>
                    <w:tl2br w:val="nil"/>
                    <w:tr2bl w:val="nil"/>
                  </w:tcBorders>
                  <w:vAlign w:val="center"/>
                </w:tcPr>
                <w:p w14:paraId="3B383FF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产生情况</w:t>
                  </w:r>
                </w:p>
              </w:tc>
              <w:tc>
                <w:tcPr>
                  <w:tcW w:w="595" w:type="pct"/>
                  <w:vMerge w:val="restart"/>
                  <w:tcBorders>
                    <w:tl2br w:val="nil"/>
                    <w:tr2bl w:val="nil"/>
                  </w:tcBorders>
                  <w:vAlign w:val="center"/>
                </w:tcPr>
                <w:p w14:paraId="0838F6B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治理措施</w:t>
                  </w:r>
                </w:p>
              </w:tc>
              <w:tc>
                <w:tcPr>
                  <w:tcW w:w="417" w:type="pct"/>
                  <w:vMerge w:val="restart"/>
                  <w:tcBorders>
                    <w:tl2br w:val="nil"/>
                    <w:tr2bl w:val="nil"/>
                  </w:tcBorders>
                  <w:vAlign w:val="center"/>
                </w:tcPr>
                <w:p w14:paraId="7608D85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处理效率（%）</w:t>
                  </w:r>
                </w:p>
              </w:tc>
              <w:tc>
                <w:tcPr>
                  <w:tcW w:w="1132" w:type="pct"/>
                  <w:gridSpan w:val="2"/>
                  <w:tcBorders>
                    <w:tl2br w:val="nil"/>
                    <w:tr2bl w:val="nil"/>
                  </w:tcBorders>
                  <w:vAlign w:val="center"/>
                </w:tcPr>
                <w:p w14:paraId="28685CC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排放情况</w:t>
                  </w:r>
                </w:p>
              </w:tc>
              <w:tc>
                <w:tcPr>
                  <w:tcW w:w="619" w:type="pct"/>
                  <w:vMerge w:val="restart"/>
                  <w:tcBorders>
                    <w:tl2br w:val="nil"/>
                    <w:tr2bl w:val="nil"/>
                  </w:tcBorders>
                  <w:vAlign w:val="center"/>
                </w:tcPr>
                <w:p w14:paraId="25AB28C7">
                  <w:pPr>
                    <w:tabs>
                      <w:tab w:val="left" w:pos="557"/>
                    </w:tabs>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标准排放浓度(mg/m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r>
            <w:tr w14:paraId="16730C4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69" w:type="pct"/>
                  <w:vMerge w:val="continue"/>
                  <w:tcBorders>
                    <w:tl2br w:val="nil"/>
                    <w:tr2bl w:val="nil"/>
                  </w:tcBorders>
                  <w:vAlign w:val="center"/>
                </w:tcPr>
                <w:p w14:paraId="77CD17CC">
                  <w:pPr>
                    <w:jc w:val="center"/>
                    <w:rPr>
                      <w:color w:val="000000" w:themeColor="text1"/>
                      <w:szCs w:val="21"/>
                      <w14:textFill>
                        <w14:solidFill>
                          <w14:schemeClr w14:val="tx1"/>
                        </w14:solidFill>
                      </w14:textFill>
                    </w:rPr>
                  </w:pPr>
                </w:p>
              </w:tc>
              <w:tc>
                <w:tcPr>
                  <w:tcW w:w="505" w:type="pct"/>
                  <w:vMerge w:val="continue"/>
                  <w:tcBorders>
                    <w:tl2br w:val="nil"/>
                    <w:tr2bl w:val="nil"/>
                  </w:tcBorders>
                  <w:vAlign w:val="center"/>
                </w:tcPr>
                <w:p w14:paraId="12787F7A">
                  <w:pPr>
                    <w:jc w:val="center"/>
                    <w:rPr>
                      <w:color w:val="000000" w:themeColor="text1"/>
                      <w:szCs w:val="21"/>
                      <w14:textFill>
                        <w14:solidFill>
                          <w14:schemeClr w14:val="tx1"/>
                        </w14:solidFill>
                      </w14:textFill>
                    </w:rPr>
                  </w:pPr>
                </w:p>
              </w:tc>
              <w:tc>
                <w:tcPr>
                  <w:tcW w:w="589" w:type="pct"/>
                  <w:tcBorders>
                    <w:tl2br w:val="nil"/>
                    <w:tr2bl w:val="nil"/>
                  </w:tcBorders>
                  <w:vAlign w:val="center"/>
                </w:tcPr>
                <w:p w14:paraId="14A3992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产生量</w:t>
                  </w:r>
                </w:p>
                <w:p w14:paraId="7B3E3FB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670" w:type="pct"/>
                  <w:tcBorders>
                    <w:tl2br w:val="nil"/>
                    <w:tr2bl w:val="nil"/>
                  </w:tcBorders>
                  <w:vAlign w:val="center"/>
                </w:tcPr>
                <w:p w14:paraId="13E142C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浓度</w:t>
                  </w:r>
                </w:p>
                <w:p w14:paraId="4FED8F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595" w:type="pct"/>
                  <w:vMerge w:val="continue"/>
                  <w:tcBorders>
                    <w:tl2br w:val="nil"/>
                    <w:tr2bl w:val="nil"/>
                  </w:tcBorders>
                  <w:vAlign w:val="center"/>
                </w:tcPr>
                <w:p w14:paraId="5FEE4B8C">
                  <w:pPr>
                    <w:jc w:val="center"/>
                    <w:rPr>
                      <w:color w:val="000000" w:themeColor="text1"/>
                      <w:szCs w:val="21"/>
                      <w14:textFill>
                        <w14:solidFill>
                          <w14:schemeClr w14:val="tx1"/>
                        </w14:solidFill>
                      </w14:textFill>
                    </w:rPr>
                  </w:pPr>
                </w:p>
              </w:tc>
              <w:tc>
                <w:tcPr>
                  <w:tcW w:w="417" w:type="pct"/>
                  <w:vMerge w:val="continue"/>
                  <w:tcBorders>
                    <w:tl2br w:val="nil"/>
                    <w:tr2bl w:val="nil"/>
                  </w:tcBorders>
                  <w:vAlign w:val="center"/>
                </w:tcPr>
                <w:p w14:paraId="34D5752F">
                  <w:pPr>
                    <w:jc w:val="center"/>
                    <w:rPr>
                      <w:color w:val="000000" w:themeColor="text1"/>
                      <w:szCs w:val="21"/>
                      <w14:textFill>
                        <w14:solidFill>
                          <w14:schemeClr w14:val="tx1"/>
                        </w14:solidFill>
                      </w14:textFill>
                    </w:rPr>
                  </w:pPr>
                </w:p>
              </w:tc>
              <w:tc>
                <w:tcPr>
                  <w:tcW w:w="615" w:type="pct"/>
                  <w:tcBorders>
                    <w:tl2br w:val="nil"/>
                    <w:tr2bl w:val="nil"/>
                  </w:tcBorders>
                  <w:vAlign w:val="center"/>
                </w:tcPr>
                <w:p w14:paraId="10580C3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排放量</w:t>
                  </w:r>
                </w:p>
                <w:p w14:paraId="32583D7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517" w:type="pct"/>
                  <w:tcBorders>
                    <w:tl2br w:val="nil"/>
                    <w:tr2bl w:val="nil"/>
                  </w:tcBorders>
                  <w:vAlign w:val="center"/>
                </w:tcPr>
                <w:p w14:paraId="37B1ECF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浓度</w:t>
                  </w:r>
                </w:p>
                <w:p w14:paraId="2EF1F18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619" w:type="pct"/>
                  <w:vMerge w:val="continue"/>
                  <w:tcBorders>
                    <w:tl2br w:val="nil"/>
                    <w:tr2bl w:val="nil"/>
                  </w:tcBorders>
                  <w:vAlign w:val="center"/>
                </w:tcPr>
                <w:p w14:paraId="34270C73">
                  <w:pPr>
                    <w:jc w:val="center"/>
                    <w:rPr>
                      <w:color w:val="000000" w:themeColor="text1"/>
                      <w:szCs w:val="21"/>
                      <w14:textFill>
                        <w14:solidFill>
                          <w14:schemeClr w14:val="tx1"/>
                        </w14:solidFill>
                      </w14:textFill>
                    </w:rPr>
                  </w:pPr>
                </w:p>
              </w:tc>
            </w:tr>
            <w:tr w14:paraId="26B76EF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69" w:type="pct"/>
                  <w:vMerge w:val="restart"/>
                  <w:tcBorders>
                    <w:tl2br w:val="nil"/>
                    <w:tr2bl w:val="nil"/>
                  </w:tcBorders>
                  <w:vAlign w:val="center"/>
                </w:tcPr>
                <w:p w14:paraId="68EE7A2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DA001排气筒</w:t>
                  </w:r>
                </w:p>
              </w:tc>
              <w:tc>
                <w:tcPr>
                  <w:tcW w:w="505" w:type="pct"/>
                  <w:tcBorders>
                    <w:tl2br w:val="nil"/>
                    <w:tr2bl w:val="nil"/>
                  </w:tcBorders>
                  <w:vAlign w:val="center"/>
                </w:tcPr>
                <w:p w14:paraId="7BA9CA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烟气量</w:t>
                  </w:r>
                </w:p>
              </w:tc>
              <w:tc>
                <w:tcPr>
                  <w:tcW w:w="1260" w:type="pct"/>
                  <w:gridSpan w:val="2"/>
                  <w:tcBorders>
                    <w:tl2br w:val="nil"/>
                    <w:tr2bl w:val="nil"/>
                  </w:tcBorders>
                  <w:shd w:val="clear" w:color="auto" w:fill="auto"/>
                  <w:vAlign w:val="center"/>
                </w:tcPr>
                <w:p w14:paraId="2E64B76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470.3174万m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/a（2939.484m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/h）</w:t>
                  </w:r>
                </w:p>
              </w:tc>
              <w:tc>
                <w:tcPr>
                  <w:tcW w:w="595" w:type="pct"/>
                  <w:vMerge w:val="restart"/>
                  <w:tcBorders>
                    <w:tl2br w:val="nil"/>
                    <w:tr2bl w:val="nil"/>
                  </w:tcBorders>
                  <w:vAlign w:val="center"/>
                </w:tcPr>
                <w:p w14:paraId="2ED343D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低氮燃烧，旋风+布袋除尘器</w:t>
                  </w:r>
                </w:p>
              </w:tc>
              <w:tc>
                <w:tcPr>
                  <w:tcW w:w="417" w:type="pct"/>
                  <w:tcBorders>
                    <w:tl2br w:val="nil"/>
                    <w:tr2bl w:val="nil"/>
                  </w:tcBorders>
                  <w:vAlign w:val="center"/>
                </w:tcPr>
                <w:p w14:paraId="554202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132" w:type="pct"/>
                  <w:gridSpan w:val="2"/>
                  <w:tcBorders>
                    <w:tl2br w:val="nil"/>
                    <w:tr2bl w:val="nil"/>
                  </w:tcBorders>
                  <w:vAlign w:val="center"/>
                </w:tcPr>
                <w:p w14:paraId="1D2A132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470.3174万m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/a（2939.484m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/h）</w:t>
                  </w:r>
                </w:p>
              </w:tc>
              <w:tc>
                <w:tcPr>
                  <w:tcW w:w="619" w:type="pct"/>
                  <w:tcBorders>
                    <w:tl2br w:val="nil"/>
                    <w:tr2bl w:val="nil"/>
                  </w:tcBorders>
                  <w:vAlign w:val="center"/>
                </w:tcPr>
                <w:p w14:paraId="32FCCD2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36FD00D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69" w:type="pct"/>
                  <w:vMerge w:val="continue"/>
                  <w:tcBorders>
                    <w:tl2br w:val="nil"/>
                    <w:tr2bl w:val="nil"/>
                  </w:tcBorders>
                  <w:vAlign w:val="center"/>
                </w:tcPr>
                <w:p w14:paraId="3B8A438F">
                  <w:pPr>
                    <w:jc w:val="center"/>
                    <w:rPr>
                      <w:color w:val="000000" w:themeColor="text1"/>
                      <w:szCs w:val="21"/>
                      <w14:textFill>
                        <w14:solidFill>
                          <w14:schemeClr w14:val="tx1"/>
                        </w14:solidFill>
                      </w14:textFill>
                    </w:rPr>
                  </w:pPr>
                </w:p>
              </w:tc>
              <w:tc>
                <w:tcPr>
                  <w:tcW w:w="505" w:type="pct"/>
                  <w:tcBorders>
                    <w:tl2br w:val="nil"/>
                    <w:tr2bl w:val="nil"/>
                  </w:tcBorders>
                  <w:vAlign w:val="center"/>
                </w:tcPr>
                <w:p w14:paraId="3CA7202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976" w:type="dxa"/>
                  <w:tcBorders>
                    <w:tl2br w:val="nil"/>
                    <w:tr2bl w:val="nil"/>
                  </w:tcBorders>
                  <w:vAlign w:val="center"/>
                </w:tcPr>
                <w:p w14:paraId="32B7CA51">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12.733 </w:t>
                  </w:r>
                </w:p>
              </w:tc>
              <w:tc>
                <w:tcPr>
                  <w:tcW w:w="670" w:type="pct"/>
                  <w:tcBorders>
                    <w:tl2br w:val="nil"/>
                    <w:tr2bl w:val="nil"/>
                  </w:tcBorders>
                  <w:vAlign w:val="center"/>
                </w:tcPr>
                <w:p w14:paraId="7E8D1FA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2707.24 </w:t>
                  </w:r>
                </w:p>
              </w:tc>
              <w:tc>
                <w:tcPr>
                  <w:tcW w:w="595" w:type="pct"/>
                  <w:vMerge w:val="continue"/>
                  <w:tcBorders>
                    <w:tl2br w:val="nil"/>
                    <w:tr2bl w:val="nil"/>
                  </w:tcBorders>
                  <w:vAlign w:val="center"/>
                </w:tcPr>
                <w:p w14:paraId="0E2A4E2B">
                  <w:pPr>
                    <w:jc w:val="center"/>
                    <w:rPr>
                      <w:color w:val="000000" w:themeColor="text1"/>
                      <w:szCs w:val="21"/>
                      <w14:textFill>
                        <w14:solidFill>
                          <w14:schemeClr w14:val="tx1"/>
                        </w14:solidFill>
                      </w14:textFill>
                    </w:rPr>
                  </w:pPr>
                </w:p>
              </w:tc>
              <w:tc>
                <w:tcPr>
                  <w:tcW w:w="417" w:type="pct"/>
                  <w:tcBorders>
                    <w:tl2br w:val="nil"/>
                    <w:tr2bl w:val="nil"/>
                  </w:tcBorders>
                  <w:vAlign w:val="center"/>
                </w:tcPr>
                <w:p w14:paraId="581BC9B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99</w:t>
                  </w:r>
                </w:p>
              </w:tc>
              <w:tc>
                <w:tcPr>
                  <w:tcW w:w="1019" w:type="dxa"/>
                  <w:tcBorders>
                    <w:tl2br w:val="nil"/>
                    <w:tr2bl w:val="nil"/>
                  </w:tcBorders>
                  <w:vAlign w:val="center"/>
                </w:tcPr>
                <w:p w14:paraId="1A5DCEC1">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0.127 </w:t>
                  </w:r>
                </w:p>
              </w:tc>
              <w:tc>
                <w:tcPr>
                  <w:tcW w:w="517" w:type="pct"/>
                  <w:tcBorders>
                    <w:tl2br w:val="nil"/>
                    <w:tr2bl w:val="nil"/>
                  </w:tcBorders>
                  <w:vAlign w:val="center"/>
                </w:tcPr>
                <w:p w14:paraId="2FF262D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27.07 </w:t>
                  </w:r>
                </w:p>
              </w:tc>
              <w:tc>
                <w:tcPr>
                  <w:tcW w:w="619" w:type="pct"/>
                  <w:tcBorders>
                    <w:tl2br w:val="nil"/>
                    <w:tr2bl w:val="nil"/>
                  </w:tcBorders>
                  <w:vAlign w:val="center"/>
                </w:tcPr>
                <w:p w14:paraId="2145829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r>
            <w:tr w14:paraId="7F29DC3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69" w:type="pct"/>
                  <w:vMerge w:val="continue"/>
                  <w:tcBorders>
                    <w:tl2br w:val="nil"/>
                    <w:tr2bl w:val="nil"/>
                  </w:tcBorders>
                  <w:vAlign w:val="center"/>
                </w:tcPr>
                <w:p w14:paraId="4F22E094">
                  <w:pPr>
                    <w:jc w:val="center"/>
                    <w:rPr>
                      <w:color w:val="000000" w:themeColor="text1"/>
                      <w:szCs w:val="21"/>
                      <w14:textFill>
                        <w14:solidFill>
                          <w14:schemeClr w14:val="tx1"/>
                        </w14:solidFill>
                      </w14:textFill>
                    </w:rPr>
                  </w:pPr>
                </w:p>
              </w:tc>
              <w:tc>
                <w:tcPr>
                  <w:tcW w:w="505" w:type="pct"/>
                  <w:tcBorders>
                    <w:tl2br w:val="nil"/>
                    <w:tr2bl w:val="nil"/>
                  </w:tcBorders>
                  <w:vAlign w:val="center"/>
                </w:tcPr>
                <w:p w14:paraId="1C89880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976" w:type="dxa"/>
                  <w:tcBorders>
                    <w:tl2br w:val="nil"/>
                    <w:tr2bl w:val="nil"/>
                  </w:tcBorders>
                  <w:vAlign w:val="center"/>
                </w:tcPr>
                <w:p w14:paraId="7C09987F">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0.050 </w:t>
                  </w:r>
                </w:p>
              </w:tc>
              <w:tc>
                <w:tcPr>
                  <w:tcW w:w="670" w:type="pct"/>
                  <w:tcBorders>
                    <w:tl2br w:val="nil"/>
                    <w:tr2bl w:val="nil"/>
                  </w:tcBorders>
                  <w:vAlign w:val="center"/>
                </w:tcPr>
                <w:p w14:paraId="20CF5E2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10.67 </w:t>
                  </w:r>
                </w:p>
              </w:tc>
              <w:tc>
                <w:tcPr>
                  <w:tcW w:w="595" w:type="pct"/>
                  <w:vMerge w:val="continue"/>
                  <w:tcBorders>
                    <w:tl2br w:val="nil"/>
                    <w:tr2bl w:val="nil"/>
                  </w:tcBorders>
                  <w:vAlign w:val="center"/>
                </w:tcPr>
                <w:p w14:paraId="5CDC0221">
                  <w:pPr>
                    <w:jc w:val="center"/>
                    <w:rPr>
                      <w:color w:val="000000" w:themeColor="text1"/>
                      <w:szCs w:val="21"/>
                      <w14:textFill>
                        <w14:solidFill>
                          <w14:schemeClr w14:val="tx1"/>
                        </w14:solidFill>
                      </w14:textFill>
                    </w:rPr>
                  </w:pPr>
                </w:p>
              </w:tc>
              <w:tc>
                <w:tcPr>
                  <w:tcW w:w="417" w:type="pct"/>
                  <w:tcBorders>
                    <w:tl2br w:val="nil"/>
                    <w:tr2bl w:val="nil"/>
                  </w:tcBorders>
                  <w:vAlign w:val="center"/>
                </w:tcPr>
                <w:p w14:paraId="1B44916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1019" w:type="dxa"/>
                  <w:tcBorders>
                    <w:tl2br w:val="nil"/>
                    <w:tr2bl w:val="nil"/>
                  </w:tcBorders>
                  <w:vAlign w:val="center"/>
                </w:tcPr>
                <w:p w14:paraId="7592EFEF">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0.050 </w:t>
                  </w:r>
                </w:p>
              </w:tc>
              <w:tc>
                <w:tcPr>
                  <w:tcW w:w="517" w:type="pct"/>
                  <w:tcBorders>
                    <w:tl2br w:val="nil"/>
                    <w:tr2bl w:val="nil"/>
                  </w:tcBorders>
                  <w:vAlign w:val="center"/>
                </w:tcPr>
                <w:p w14:paraId="68A3341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10.67 </w:t>
                  </w:r>
                </w:p>
              </w:tc>
              <w:tc>
                <w:tcPr>
                  <w:tcW w:w="619" w:type="pct"/>
                  <w:tcBorders>
                    <w:tl2br w:val="nil"/>
                    <w:tr2bl w:val="nil"/>
                  </w:tcBorders>
                  <w:vAlign w:val="center"/>
                </w:tcPr>
                <w:p w14:paraId="09E65ED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r>
            <w:tr w14:paraId="7AF5CAD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69" w:type="pct"/>
                  <w:vMerge w:val="continue"/>
                  <w:tcBorders>
                    <w:tl2br w:val="nil"/>
                    <w:tr2bl w:val="nil"/>
                  </w:tcBorders>
                  <w:vAlign w:val="center"/>
                </w:tcPr>
                <w:p w14:paraId="2F2E542E">
                  <w:pPr>
                    <w:jc w:val="center"/>
                    <w:rPr>
                      <w:color w:val="000000" w:themeColor="text1"/>
                      <w:szCs w:val="21"/>
                      <w14:textFill>
                        <w14:solidFill>
                          <w14:schemeClr w14:val="tx1"/>
                        </w14:solidFill>
                      </w14:textFill>
                    </w:rPr>
                  </w:pPr>
                </w:p>
              </w:tc>
              <w:tc>
                <w:tcPr>
                  <w:tcW w:w="505" w:type="pct"/>
                  <w:tcBorders>
                    <w:tl2br w:val="nil"/>
                    <w:tr2bl w:val="nil"/>
                  </w:tcBorders>
                  <w:vAlign w:val="center"/>
                </w:tcPr>
                <w:p w14:paraId="641BAA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NOx</w:t>
                  </w:r>
                </w:p>
              </w:tc>
              <w:tc>
                <w:tcPr>
                  <w:tcW w:w="976" w:type="dxa"/>
                  <w:tcBorders>
                    <w:tl2br w:val="nil"/>
                    <w:tr2bl w:val="nil"/>
                  </w:tcBorders>
                  <w:vAlign w:val="center"/>
                </w:tcPr>
                <w:p w14:paraId="41964674">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0.653</w:t>
                  </w:r>
                </w:p>
              </w:tc>
              <w:tc>
                <w:tcPr>
                  <w:tcW w:w="670" w:type="pct"/>
                  <w:tcBorders>
                    <w:tl2br w:val="nil"/>
                    <w:tr2bl w:val="nil"/>
                  </w:tcBorders>
                  <w:vAlign w:val="center"/>
                </w:tcPr>
                <w:p w14:paraId="0A95CB8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138.80</w:t>
                  </w:r>
                </w:p>
              </w:tc>
              <w:tc>
                <w:tcPr>
                  <w:tcW w:w="595" w:type="pct"/>
                  <w:vMerge w:val="continue"/>
                  <w:tcBorders>
                    <w:tl2br w:val="nil"/>
                    <w:tr2bl w:val="nil"/>
                  </w:tcBorders>
                  <w:vAlign w:val="center"/>
                </w:tcPr>
                <w:p w14:paraId="2D4328C4">
                  <w:pPr>
                    <w:jc w:val="center"/>
                    <w:rPr>
                      <w:color w:val="000000" w:themeColor="text1"/>
                      <w:szCs w:val="21"/>
                      <w14:textFill>
                        <w14:solidFill>
                          <w14:schemeClr w14:val="tx1"/>
                        </w14:solidFill>
                      </w14:textFill>
                    </w:rPr>
                  </w:pPr>
                </w:p>
              </w:tc>
              <w:tc>
                <w:tcPr>
                  <w:tcW w:w="417" w:type="pct"/>
                  <w:tcBorders>
                    <w:tl2br w:val="nil"/>
                    <w:tr2bl w:val="nil"/>
                  </w:tcBorders>
                  <w:vAlign w:val="center"/>
                </w:tcPr>
                <w:p w14:paraId="5618033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30</w:t>
                  </w:r>
                </w:p>
              </w:tc>
              <w:tc>
                <w:tcPr>
                  <w:tcW w:w="1019" w:type="dxa"/>
                  <w:tcBorders>
                    <w:tl2br w:val="nil"/>
                    <w:tr2bl w:val="nil"/>
                  </w:tcBorders>
                  <w:vAlign w:val="center"/>
                </w:tcPr>
                <w:p w14:paraId="60AAF5C7">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0.45</w:t>
                  </w:r>
                  <w:r>
                    <w:rPr>
                      <w:rFonts w:hint="eastAsia" w:eastAsia="等线"/>
                      <w:color w:val="000000" w:themeColor="text1"/>
                      <w:kern w:val="0"/>
                      <w:szCs w:val="21"/>
                      <w:lang w:bidi="ar"/>
                      <w14:textFill>
                        <w14:solidFill>
                          <w14:schemeClr w14:val="tx1"/>
                        </w14:solidFill>
                      </w14:textFill>
                    </w:rPr>
                    <w:t>7</w:t>
                  </w:r>
                </w:p>
              </w:tc>
              <w:tc>
                <w:tcPr>
                  <w:tcW w:w="517" w:type="pct"/>
                  <w:tcBorders>
                    <w:tl2br w:val="nil"/>
                    <w:tr2bl w:val="nil"/>
                  </w:tcBorders>
                  <w:vAlign w:val="center"/>
                </w:tcPr>
                <w:p w14:paraId="5AC63E4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97.16</w:t>
                  </w:r>
                  <w:r>
                    <w:rPr>
                      <w:color w:val="000000" w:themeColor="text1"/>
                      <w:szCs w:val="21"/>
                      <w14:textFill>
                        <w14:solidFill>
                          <w14:schemeClr w14:val="tx1"/>
                        </w14:solidFill>
                      </w14:textFill>
                    </w:rPr>
                    <w:t xml:space="preserve"> </w:t>
                  </w:r>
                </w:p>
              </w:tc>
              <w:tc>
                <w:tcPr>
                  <w:tcW w:w="619" w:type="pct"/>
                  <w:tcBorders>
                    <w:tl2br w:val="nil"/>
                    <w:tr2bl w:val="nil"/>
                  </w:tcBorders>
                  <w:vAlign w:val="center"/>
                </w:tcPr>
                <w:p w14:paraId="317D0A7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r>
            <w:tr w14:paraId="58FB174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469" w:type="pct"/>
                  <w:vMerge w:val="continue"/>
                  <w:tcBorders>
                    <w:tl2br w:val="nil"/>
                    <w:tr2bl w:val="nil"/>
                  </w:tcBorders>
                  <w:vAlign w:val="center"/>
                </w:tcPr>
                <w:p w14:paraId="6ED7F778">
                  <w:pPr>
                    <w:jc w:val="center"/>
                    <w:rPr>
                      <w:color w:val="000000" w:themeColor="text1"/>
                      <w:szCs w:val="21"/>
                      <w14:textFill>
                        <w14:solidFill>
                          <w14:schemeClr w14:val="tx1"/>
                        </w14:solidFill>
                      </w14:textFill>
                    </w:rPr>
                  </w:pPr>
                </w:p>
              </w:tc>
              <w:tc>
                <w:tcPr>
                  <w:tcW w:w="505" w:type="pct"/>
                  <w:tcBorders>
                    <w:tl2br w:val="nil"/>
                    <w:tr2bl w:val="nil"/>
                  </w:tcBorders>
                  <w:shd w:val="clear" w:color="auto" w:fill="auto"/>
                  <w:vAlign w:val="center"/>
                </w:tcPr>
                <w:p w14:paraId="3E07555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烟气黑度</w:t>
                  </w:r>
                </w:p>
              </w:tc>
              <w:tc>
                <w:tcPr>
                  <w:tcW w:w="589" w:type="pct"/>
                  <w:tcBorders>
                    <w:tl2br w:val="nil"/>
                    <w:tr2bl w:val="nil"/>
                  </w:tcBorders>
                  <w:shd w:val="clear" w:color="auto" w:fill="auto"/>
                  <w:vAlign w:val="center"/>
                </w:tcPr>
                <w:p w14:paraId="614A51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70" w:type="pct"/>
                  <w:tcBorders>
                    <w:tl2br w:val="nil"/>
                    <w:tr2bl w:val="nil"/>
                  </w:tcBorders>
                  <w:shd w:val="clear" w:color="auto" w:fill="auto"/>
                  <w:vAlign w:val="center"/>
                </w:tcPr>
                <w:p w14:paraId="55E7F70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95" w:type="pct"/>
                  <w:tcBorders>
                    <w:tl2br w:val="nil"/>
                    <w:tr2bl w:val="nil"/>
                  </w:tcBorders>
                  <w:shd w:val="clear" w:color="auto" w:fill="auto"/>
                  <w:vAlign w:val="center"/>
                </w:tcPr>
                <w:p w14:paraId="31BD7C5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17" w:type="pct"/>
                  <w:tcBorders>
                    <w:tl2br w:val="nil"/>
                    <w:tr2bl w:val="nil"/>
                  </w:tcBorders>
                  <w:shd w:val="clear" w:color="auto" w:fill="auto"/>
                  <w:vAlign w:val="center"/>
                </w:tcPr>
                <w:p w14:paraId="5E0D43C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15" w:type="pct"/>
                  <w:tcBorders>
                    <w:tl2br w:val="nil"/>
                    <w:tr2bl w:val="nil"/>
                  </w:tcBorders>
                  <w:shd w:val="clear" w:color="auto" w:fill="auto"/>
                  <w:vAlign w:val="center"/>
                </w:tcPr>
                <w:p w14:paraId="15CDA0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517" w:type="pct"/>
                  <w:tcBorders>
                    <w:tl2br w:val="nil"/>
                    <w:tr2bl w:val="nil"/>
                  </w:tcBorders>
                  <w:shd w:val="clear" w:color="auto" w:fill="auto"/>
                  <w:vAlign w:val="center"/>
                </w:tcPr>
                <w:p w14:paraId="786A0F7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619" w:type="pct"/>
                  <w:tcBorders>
                    <w:tl2br w:val="nil"/>
                    <w:tr2bl w:val="nil"/>
                  </w:tcBorders>
                  <w:shd w:val="clear" w:color="auto" w:fill="auto"/>
                  <w:vAlign w:val="center"/>
                </w:tcPr>
                <w:p w14:paraId="6ECCE09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≤1（林格曼黑度，级）</w:t>
                  </w:r>
                </w:p>
              </w:tc>
            </w:tr>
          </w:tbl>
          <w:p w14:paraId="1683DD25">
            <w:pPr>
              <w:pStyle w:val="85"/>
              <w:spacing w:before="120" w:beforeLines="50"/>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根据预测结果，本项目蒸汽发生器废气中的颗粒物、SO</w:t>
            </w:r>
            <w:r>
              <w:rPr>
                <w:color w:val="000000" w:themeColor="text1"/>
                <w:vertAlign w:val="subscript"/>
                <w:lang w:val="en-US"/>
                <w14:textFill>
                  <w14:solidFill>
                    <w14:schemeClr w14:val="tx1"/>
                  </w14:solidFill>
                </w14:textFill>
              </w:rPr>
              <w:t>2</w:t>
            </w:r>
            <w:r>
              <w:rPr>
                <w:color w:val="000000" w:themeColor="text1"/>
                <w:lang w:val="en-US"/>
                <w14:textFill>
                  <w14:solidFill>
                    <w14:schemeClr w14:val="tx1"/>
                  </w14:solidFill>
                </w14:textFill>
              </w:rPr>
              <w:t>、NO</w:t>
            </w:r>
            <w:r>
              <w:rPr>
                <w:color w:val="000000" w:themeColor="text1"/>
                <w:vertAlign w:val="subscript"/>
                <w:lang w:val="en-US"/>
                <w14:textFill>
                  <w14:solidFill>
                    <w14:schemeClr w14:val="tx1"/>
                  </w14:solidFill>
                </w14:textFill>
              </w:rPr>
              <w:t>X</w:t>
            </w:r>
            <w:r>
              <w:rPr>
                <w:color w:val="000000" w:themeColor="text1"/>
                <w:lang w:val="en-US"/>
                <w14:textFill>
                  <w14:solidFill>
                    <w14:schemeClr w14:val="tx1"/>
                  </w14:solidFill>
                </w14:textFill>
              </w:rPr>
              <w:t>排放浓度满足</w:t>
            </w:r>
            <w:r>
              <w:rPr>
                <w:color w:val="000000" w:themeColor="text1"/>
                <w:szCs w:val="24"/>
                <w:lang w:val="en-US" w:bidi="ar"/>
                <w14:textFill>
                  <w14:solidFill>
                    <w14:schemeClr w14:val="tx1"/>
                  </w14:solidFill>
                </w14:textFill>
              </w:rPr>
              <w:t>《锅炉大气污染物排放标准》（13271-2014）表3大气污染物特别排放限值中燃煤锅炉标准限值要求。</w:t>
            </w:r>
          </w:p>
          <w:p w14:paraId="361D6D64">
            <w:pPr>
              <w:pStyle w:val="85"/>
              <w:spacing w:before="120" w:beforeLines="50"/>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本次建设完成后，企业排气筒设置情况见下表。</w:t>
            </w:r>
          </w:p>
          <w:p w14:paraId="3E367205">
            <w:pPr>
              <w:snapToGrid w:val="0"/>
              <w:jc w:val="center"/>
              <w:textAlignment w:val="baseline"/>
              <w:rPr>
                <w:rStyle w:val="64"/>
                <w:b/>
                <w:bCs/>
                <w:color w:val="000000" w:themeColor="text1"/>
                <w:szCs w:val="21"/>
                <w14:textFill>
                  <w14:solidFill>
                    <w14:schemeClr w14:val="tx1"/>
                  </w14:solidFill>
                </w14:textFill>
              </w:rPr>
            </w:pPr>
            <w:r>
              <w:rPr>
                <w:rStyle w:val="64"/>
                <w:b/>
                <w:bCs/>
                <w:color w:val="000000" w:themeColor="text1"/>
                <w:szCs w:val="21"/>
                <w14:textFill>
                  <w14:solidFill>
                    <w14:schemeClr w14:val="tx1"/>
                  </w14:solidFill>
                </w14:textFill>
              </w:rPr>
              <w:t>表4-2  企业排气筒基本参数</w:t>
            </w:r>
          </w:p>
          <w:tbl>
            <w:tblPr>
              <w:tblStyle w:val="31"/>
              <w:tblW w:w="5000"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885"/>
              <w:gridCol w:w="1267"/>
              <w:gridCol w:w="1178"/>
              <w:gridCol w:w="753"/>
              <w:gridCol w:w="984"/>
              <w:gridCol w:w="994"/>
              <w:gridCol w:w="774"/>
              <w:gridCol w:w="1472"/>
            </w:tblGrid>
            <w:tr w14:paraId="1EA1634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32" w:type="pct"/>
                  <w:vMerge w:val="restart"/>
                  <w:tcBorders>
                    <w:tl2br w:val="nil"/>
                    <w:tr2bl w:val="nil"/>
                  </w:tcBorders>
                  <w:vAlign w:val="center"/>
                </w:tcPr>
                <w:p w14:paraId="554A2F9B">
                  <w:pPr>
                    <w:jc w:val="center"/>
                    <w:rPr>
                      <w:color w:val="000000" w:themeColor="text1"/>
                      <w14:textFill>
                        <w14:solidFill>
                          <w14:schemeClr w14:val="tx1"/>
                        </w14:solidFill>
                      </w14:textFill>
                    </w:rPr>
                  </w:pPr>
                  <w:r>
                    <w:rPr>
                      <w:color w:val="000000" w:themeColor="text1"/>
                      <w14:textFill>
                        <w14:solidFill>
                          <w14:schemeClr w14:val="tx1"/>
                        </w14:solidFill>
                      </w14:textFill>
                    </w:rPr>
                    <w:t>排气筒编号</w:t>
                  </w:r>
                </w:p>
              </w:tc>
              <w:tc>
                <w:tcPr>
                  <w:tcW w:w="1471" w:type="pct"/>
                  <w:gridSpan w:val="2"/>
                  <w:tcBorders>
                    <w:tl2br w:val="nil"/>
                    <w:tr2bl w:val="nil"/>
                  </w:tcBorders>
                  <w:vAlign w:val="center"/>
                </w:tcPr>
                <w:p w14:paraId="170F3565">
                  <w:pPr>
                    <w:jc w:val="center"/>
                    <w:rPr>
                      <w:color w:val="000000" w:themeColor="text1"/>
                      <w14:textFill>
                        <w14:solidFill>
                          <w14:schemeClr w14:val="tx1"/>
                        </w14:solidFill>
                      </w14:textFill>
                    </w:rPr>
                  </w:pPr>
                  <w:r>
                    <w:rPr>
                      <w:color w:val="000000" w:themeColor="text1"/>
                      <w14:textFill>
                        <w14:solidFill>
                          <w14:schemeClr w14:val="tx1"/>
                        </w14:solidFill>
                      </w14:textFill>
                    </w:rPr>
                    <w:t>定位坐标/°</w:t>
                  </w:r>
                </w:p>
              </w:tc>
              <w:tc>
                <w:tcPr>
                  <w:tcW w:w="1643" w:type="pct"/>
                  <w:gridSpan w:val="3"/>
                  <w:tcBorders>
                    <w:tl2br w:val="nil"/>
                    <w:tr2bl w:val="nil"/>
                  </w:tcBorders>
                  <w:vAlign w:val="center"/>
                </w:tcPr>
                <w:p w14:paraId="1AA8D68F">
                  <w:pPr>
                    <w:jc w:val="center"/>
                    <w:rPr>
                      <w:color w:val="000000" w:themeColor="text1"/>
                      <w14:textFill>
                        <w14:solidFill>
                          <w14:schemeClr w14:val="tx1"/>
                        </w14:solidFill>
                      </w14:textFill>
                    </w:rPr>
                  </w:pPr>
                  <w:r>
                    <w:rPr>
                      <w:color w:val="000000" w:themeColor="text1"/>
                      <w14:textFill>
                        <w14:solidFill>
                          <w14:schemeClr w14:val="tx1"/>
                        </w14:solidFill>
                      </w14:textFill>
                    </w:rPr>
                    <w:t>排气筒参数</w:t>
                  </w:r>
                </w:p>
              </w:tc>
              <w:tc>
                <w:tcPr>
                  <w:tcW w:w="466" w:type="pct"/>
                  <w:vMerge w:val="restart"/>
                  <w:tcBorders>
                    <w:tl2br w:val="nil"/>
                    <w:tr2bl w:val="nil"/>
                  </w:tcBorders>
                  <w:vAlign w:val="center"/>
                </w:tcPr>
                <w:p w14:paraId="364847B6">
                  <w:pPr>
                    <w:tabs>
                      <w:tab w:val="left" w:pos="557"/>
                    </w:tabs>
                    <w:jc w:val="center"/>
                    <w:rPr>
                      <w:color w:val="000000" w:themeColor="text1"/>
                      <w14:textFill>
                        <w14:solidFill>
                          <w14:schemeClr w14:val="tx1"/>
                        </w14:solidFill>
                      </w14:textFill>
                    </w:rPr>
                  </w:pPr>
                  <w:r>
                    <w:rPr>
                      <w:color w:val="000000" w:themeColor="text1"/>
                      <w14:textFill>
                        <w14:solidFill>
                          <w14:schemeClr w14:val="tx1"/>
                        </w14:solidFill>
                      </w14:textFill>
                    </w:rPr>
                    <w:t>排放口类型</w:t>
                  </w:r>
                </w:p>
              </w:tc>
              <w:tc>
                <w:tcPr>
                  <w:tcW w:w="886" w:type="pct"/>
                  <w:vMerge w:val="restart"/>
                  <w:tcBorders>
                    <w:tl2br w:val="nil"/>
                    <w:tr2bl w:val="nil"/>
                  </w:tcBorders>
                  <w:vAlign w:val="center"/>
                </w:tcPr>
                <w:p w14:paraId="197AFDF6">
                  <w:pPr>
                    <w:tabs>
                      <w:tab w:val="left" w:pos="557"/>
                    </w:tabs>
                    <w:jc w:val="center"/>
                    <w:rPr>
                      <w:color w:val="000000" w:themeColor="text1"/>
                      <w14:textFill>
                        <w14:solidFill>
                          <w14:schemeClr w14:val="tx1"/>
                        </w14:solidFill>
                      </w14:textFill>
                    </w:rPr>
                  </w:pPr>
                  <w:r>
                    <w:rPr>
                      <w:color w:val="000000" w:themeColor="text1"/>
                      <w14:textFill>
                        <w14:solidFill>
                          <w14:schemeClr w14:val="tx1"/>
                        </w14:solidFill>
                      </w14:textFill>
                    </w:rPr>
                    <w:t>排放因子</w:t>
                  </w:r>
                </w:p>
              </w:tc>
            </w:tr>
            <w:tr w14:paraId="0DEBF53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32" w:type="pct"/>
                  <w:vMerge w:val="continue"/>
                  <w:tcBorders>
                    <w:tl2br w:val="nil"/>
                    <w:tr2bl w:val="nil"/>
                  </w:tcBorders>
                  <w:vAlign w:val="center"/>
                </w:tcPr>
                <w:p w14:paraId="37445B8C">
                  <w:pPr>
                    <w:jc w:val="center"/>
                    <w:rPr>
                      <w:color w:val="000000" w:themeColor="text1"/>
                      <w14:textFill>
                        <w14:solidFill>
                          <w14:schemeClr w14:val="tx1"/>
                        </w14:solidFill>
                      </w14:textFill>
                    </w:rPr>
                  </w:pPr>
                </w:p>
              </w:tc>
              <w:tc>
                <w:tcPr>
                  <w:tcW w:w="762" w:type="pct"/>
                  <w:tcBorders>
                    <w:tl2br w:val="nil"/>
                    <w:tr2bl w:val="nil"/>
                  </w:tcBorders>
                  <w:vAlign w:val="center"/>
                </w:tcPr>
                <w:p w14:paraId="0D651B7B">
                  <w:pPr>
                    <w:jc w:val="center"/>
                    <w:rPr>
                      <w:color w:val="000000" w:themeColor="text1"/>
                      <w14:textFill>
                        <w14:solidFill>
                          <w14:schemeClr w14:val="tx1"/>
                        </w14:solidFill>
                      </w14:textFill>
                    </w:rPr>
                  </w:pPr>
                  <w:r>
                    <w:rPr>
                      <w:color w:val="000000" w:themeColor="text1"/>
                      <w14:textFill>
                        <w14:solidFill>
                          <w14:schemeClr w14:val="tx1"/>
                        </w14:solidFill>
                      </w14:textFill>
                    </w:rPr>
                    <w:t>经度</w:t>
                  </w:r>
                </w:p>
              </w:tc>
              <w:tc>
                <w:tcPr>
                  <w:tcW w:w="708" w:type="pct"/>
                  <w:tcBorders>
                    <w:tl2br w:val="nil"/>
                    <w:tr2bl w:val="nil"/>
                  </w:tcBorders>
                  <w:vAlign w:val="center"/>
                </w:tcPr>
                <w:p w14:paraId="6917BDAB">
                  <w:pPr>
                    <w:jc w:val="center"/>
                    <w:rPr>
                      <w:color w:val="000000" w:themeColor="text1"/>
                      <w14:textFill>
                        <w14:solidFill>
                          <w14:schemeClr w14:val="tx1"/>
                        </w14:solidFill>
                      </w14:textFill>
                    </w:rPr>
                  </w:pPr>
                  <w:r>
                    <w:rPr>
                      <w:color w:val="000000" w:themeColor="text1"/>
                      <w14:textFill>
                        <w14:solidFill>
                          <w14:schemeClr w14:val="tx1"/>
                        </w14:solidFill>
                      </w14:textFill>
                    </w:rPr>
                    <w:t>纬度</w:t>
                  </w:r>
                </w:p>
              </w:tc>
              <w:tc>
                <w:tcPr>
                  <w:tcW w:w="453" w:type="pct"/>
                  <w:tcBorders>
                    <w:tl2br w:val="nil"/>
                    <w:tr2bl w:val="nil"/>
                  </w:tcBorders>
                  <w:vAlign w:val="center"/>
                </w:tcPr>
                <w:p w14:paraId="562D94FB">
                  <w:pPr>
                    <w:jc w:val="center"/>
                    <w:rPr>
                      <w:color w:val="000000" w:themeColor="text1"/>
                      <w14:textFill>
                        <w14:solidFill>
                          <w14:schemeClr w14:val="tx1"/>
                        </w14:solidFill>
                      </w14:textFill>
                    </w:rPr>
                  </w:pPr>
                  <w:r>
                    <w:rPr>
                      <w:color w:val="000000" w:themeColor="text1"/>
                      <w14:textFill>
                        <w14:solidFill>
                          <w14:schemeClr w14:val="tx1"/>
                        </w14:solidFill>
                      </w14:textFill>
                    </w:rPr>
                    <w:t>高度（m）</w:t>
                  </w:r>
                </w:p>
              </w:tc>
              <w:tc>
                <w:tcPr>
                  <w:tcW w:w="592" w:type="pct"/>
                  <w:tcBorders>
                    <w:tl2br w:val="nil"/>
                    <w:tr2bl w:val="nil"/>
                  </w:tcBorders>
                  <w:vAlign w:val="center"/>
                </w:tcPr>
                <w:p w14:paraId="0DABB649">
                  <w:pPr>
                    <w:jc w:val="center"/>
                    <w:rPr>
                      <w:color w:val="000000" w:themeColor="text1"/>
                      <w14:textFill>
                        <w14:solidFill>
                          <w14:schemeClr w14:val="tx1"/>
                        </w14:solidFill>
                      </w14:textFill>
                    </w:rPr>
                  </w:pPr>
                  <w:r>
                    <w:rPr>
                      <w:color w:val="000000" w:themeColor="text1"/>
                      <w14:textFill>
                        <w14:solidFill>
                          <w14:schemeClr w14:val="tx1"/>
                        </w14:solidFill>
                      </w14:textFill>
                    </w:rPr>
                    <w:t>内径(m)</w:t>
                  </w:r>
                </w:p>
              </w:tc>
              <w:tc>
                <w:tcPr>
                  <w:tcW w:w="598" w:type="pct"/>
                  <w:tcBorders>
                    <w:tl2br w:val="nil"/>
                    <w:tr2bl w:val="nil"/>
                  </w:tcBorders>
                  <w:vAlign w:val="center"/>
                </w:tcPr>
                <w:p w14:paraId="63760FE5">
                  <w:pPr>
                    <w:jc w:val="center"/>
                    <w:rPr>
                      <w:color w:val="000000" w:themeColor="text1"/>
                      <w14:textFill>
                        <w14:solidFill>
                          <w14:schemeClr w14:val="tx1"/>
                        </w14:solidFill>
                      </w14:textFill>
                    </w:rPr>
                  </w:pPr>
                  <w:r>
                    <w:rPr>
                      <w:color w:val="000000" w:themeColor="text1"/>
                      <w14:textFill>
                        <w14:solidFill>
                          <w14:schemeClr w14:val="tx1"/>
                        </w14:solidFill>
                      </w14:textFill>
                    </w:rPr>
                    <w:t>烟气温度（℃）</w:t>
                  </w:r>
                </w:p>
              </w:tc>
              <w:tc>
                <w:tcPr>
                  <w:tcW w:w="466" w:type="pct"/>
                  <w:vMerge w:val="continue"/>
                  <w:tcBorders>
                    <w:tl2br w:val="nil"/>
                    <w:tr2bl w:val="nil"/>
                  </w:tcBorders>
                  <w:vAlign w:val="center"/>
                </w:tcPr>
                <w:p w14:paraId="3E7C64FB">
                  <w:pPr>
                    <w:jc w:val="center"/>
                    <w:rPr>
                      <w:color w:val="000000" w:themeColor="text1"/>
                      <w14:textFill>
                        <w14:solidFill>
                          <w14:schemeClr w14:val="tx1"/>
                        </w14:solidFill>
                      </w14:textFill>
                    </w:rPr>
                  </w:pPr>
                </w:p>
              </w:tc>
              <w:tc>
                <w:tcPr>
                  <w:tcW w:w="886" w:type="pct"/>
                  <w:vMerge w:val="continue"/>
                  <w:tcBorders>
                    <w:tl2br w:val="nil"/>
                    <w:tr2bl w:val="nil"/>
                  </w:tcBorders>
                  <w:vAlign w:val="center"/>
                </w:tcPr>
                <w:p w14:paraId="4D6B58BE">
                  <w:pPr>
                    <w:jc w:val="center"/>
                    <w:rPr>
                      <w:color w:val="000000" w:themeColor="text1"/>
                      <w14:textFill>
                        <w14:solidFill>
                          <w14:schemeClr w14:val="tx1"/>
                        </w14:solidFill>
                      </w14:textFill>
                    </w:rPr>
                  </w:pPr>
                </w:p>
              </w:tc>
            </w:tr>
            <w:tr w14:paraId="3C403E6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32" w:type="pct"/>
                  <w:tcBorders>
                    <w:tl2br w:val="nil"/>
                    <w:tr2bl w:val="nil"/>
                  </w:tcBorders>
                  <w:vAlign w:val="center"/>
                </w:tcPr>
                <w:p w14:paraId="68958BA9">
                  <w:pPr>
                    <w:jc w:val="center"/>
                    <w:rPr>
                      <w:color w:val="000000" w:themeColor="text1"/>
                      <w14:textFill>
                        <w14:solidFill>
                          <w14:schemeClr w14:val="tx1"/>
                        </w14:solidFill>
                      </w14:textFill>
                    </w:rPr>
                  </w:pPr>
                  <w:r>
                    <w:rPr>
                      <w:color w:val="000000" w:themeColor="text1"/>
                      <w14:textFill>
                        <w14:solidFill>
                          <w14:schemeClr w14:val="tx1"/>
                        </w14:solidFill>
                      </w14:textFill>
                    </w:rPr>
                    <w:t>DA001</w:t>
                  </w:r>
                </w:p>
              </w:tc>
              <w:tc>
                <w:tcPr>
                  <w:tcW w:w="762" w:type="pct"/>
                  <w:tcBorders>
                    <w:tl2br w:val="nil"/>
                    <w:tr2bl w:val="nil"/>
                  </w:tcBorders>
                  <w:vAlign w:val="center"/>
                </w:tcPr>
                <w:p w14:paraId="028C926A">
                  <w:pPr>
                    <w:jc w:val="center"/>
                    <w:rPr>
                      <w:color w:val="000000" w:themeColor="text1"/>
                      <w14:textFill>
                        <w14:solidFill>
                          <w14:schemeClr w14:val="tx1"/>
                        </w14:solidFill>
                      </w14:textFill>
                    </w:rPr>
                  </w:pPr>
                  <w:r>
                    <w:rPr>
                      <w:color w:val="000000" w:themeColor="text1"/>
                      <w14:textFill>
                        <w14:solidFill>
                          <w14:schemeClr w14:val="tx1"/>
                        </w14:solidFill>
                      </w14:textFill>
                    </w:rPr>
                    <w:t>123.979024</w:t>
                  </w:r>
                </w:p>
              </w:tc>
              <w:tc>
                <w:tcPr>
                  <w:tcW w:w="708" w:type="pct"/>
                  <w:tcBorders>
                    <w:tl2br w:val="nil"/>
                    <w:tr2bl w:val="nil"/>
                  </w:tcBorders>
                  <w:vAlign w:val="center"/>
                </w:tcPr>
                <w:p w14:paraId="710F6696">
                  <w:pPr>
                    <w:jc w:val="center"/>
                    <w:rPr>
                      <w:color w:val="000000" w:themeColor="text1"/>
                      <w14:textFill>
                        <w14:solidFill>
                          <w14:schemeClr w14:val="tx1"/>
                        </w14:solidFill>
                      </w14:textFill>
                    </w:rPr>
                  </w:pPr>
                  <w:r>
                    <w:rPr>
                      <w:color w:val="000000" w:themeColor="text1"/>
                      <w14:textFill>
                        <w14:solidFill>
                          <w14:schemeClr w14:val="tx1"/>
                        </w14:solidFill>
                      </w14:textFill>
                    </w:rPr>
                    <w:t>41.645615</w:t>
                  </w:r>
                </w:p>
              </w:tc>
              <w:tc>
                <w:tcPr>
                  <w:tcW w:w="453" w:type="pct"/>
                  <w:tcBorders>
                    <w:tl2br w:val="nil"/>
                    <w:tr2bl w:val="nil"/>
                  </w:tcBorders>
                  <w:vAlign w:val="center"/>
                </w:tcPr>
                <w:p w14:paraId="7E5218FE">
                  <w:pPr>
                    <w:widowControl/>
                    <w:jc w:val="center"/>
                    <w:textAlignment w:val="center"/>
                    <w:rPr>
                      <w:rFonts w:eastAsia="等线"/>
                      <w:color w:val="000000" w:themeColor="text1"/>
                      <w:kern w:val="0"/>
                      <w:szCs w:val="21"/>
                      <w:lang w:bidi="ar"/>
                      <w14:textFill>
                        <w14:solidFill>
                          <w14:schemeClr w14:val="tx1"/>
                        </w14:solidFill>
                      </w14:textFill>
                    </w:rPr>
                  </w:pPr>
                  <w:r>
                    <w:rPr>
                      <w:rFonts w:eastAsia="等线"/>
                      <w:color w:val="000000" w:themeColor="text1"/>
                      <w:kern w:val="0"/>
                      <w:szCs w:val="21"/>
                      <w:lang w:bidi="ar"/>
                      <w14:textFill>
                        <w14:solidFill>
                          <w14:schemeClr w14:val="tx1"/>
                        </w14:solidFill>
                      </w14:textFill>
                    </w:rPr>
                    <w:t>30</w:t>
                  </w:r>
                </w:p>
              </w:tc>
              <w:tc>
                <w:tcPr>
                  <w:tcW w:w="592" w:type="pct"/>
                  <w:tcBorders>
                    <w:tl2br w:val="nil"/>
                    <w:tr2bl w:val="nil"/>
                  </w:tcBorders>
                  <w:vAlign w:val="center"/>
                </w:tcPr>
                <w:p w14:paraId="127BB38A">
                  <w:pPr>
                    <w:widowControl/>
                    <w:jc w:val="center"/>
                    <w:textAlignment w:val="center"/>
                    <w:rPr>
                      <w:rFonts w:eastAsia="等线"/>
                      <w:color w:val="000000" w:themeColor="text1"/>
                      <w:kern w:val="0"/>
                      <w:szCs w:val="21"/>
                      <w:lang w:bidi="ar"/>
                      <w14:textFill>
                        <w14:solidFill>
                          <w14:schemeClr w14:val="tx1"/>
                        </w14:solidFill>
                      </w14:textFill>
                    </w:rPr>
                  </w:pPr>
                  <w:r>
                    <w:rPr>
                      <w:rFonts w:eastAsia="等线"/>
                      <w:color w:val="000000" w:themeColor="text1"/>
                      <w:kern w:val="0"/>
                      <w:szCs w:val="21"/>
                      <w:lang w:bidi="ar"/>
                      <w14:textFill>
                        <w14:solidFill>
                          <w14:schemeClr w14:val="tx1"/>
                        </w14:solidFill>
                      </w14:textFill>
                    </w:rPr>
                    <w:t>0.3</w:t>
                  </w:r>
                </w:p>
              </w:tc>
              <w:tc>
                <w:tcPr>
                  <w:tcW w:w="598" w:type="pct"/>
                  <w:tcBorders>
                    <w:tl2br w:val="nil"/>
                    <w:tr2bl w:val="nil"/>
                  </w:tcBorders>
                  <w:vAlign w:val="center"/>
                </w:tcPr>
                <w:p w14:paraId="76B7C8B2">
                  <w:pPr>
                    <w:widowControl/>
                    <w:jc w:val="center"/>
                    <w:textAlignment w:val="center"/>
                    <w:rPr>
                      <w:rFonts w:eastAsia="等线"/>
                      <w:color w:val="000000" w:themeColor="text1"/>
                      <w:kern w:val="0"/>
                      <w:szCs w:val="21"/>
                      <w:lang w:bidi="ar"/>
                      <w14:textFill>
                        <w14:solidFill>
                          <w14:schemeClr w14:val="tx1"/>
                        </w14:solidFill>
                      </w14:textFill>
                    </w:rPr>
                  </w:pPr>
                  <w:r>
                    <w:rPr>
                      <w:rFonts w:eastAsia="等线"/>
                      <w:color w:val="000000" w:themeColor="text1"/>
                      <w:kern w:val="0"/>
                      <w:szCs w:val="21"/>
                      <w:lang w:bidi="ar"/>
                      <w14:textFill>
                        <w14:solidFill>
                          <w14:schemeClr w14:val="tx1"/>
                        </w14:solidFill>
                      </w14:textFill>
                    </w:rPr>
                    <w:t>75</w:t>
                  </w:r>
                </w:p>
              </w:tc>
              <w:tc>
                <w:tcPr>
                  <w:tcW w:w="466" w:type="pct"/>
                  <w:tcBorders>
                    <w:tl2br w:val="nil"/>
                    <w:tr2bl w:val="nil"/>
                  </w:tcBorders>
                  <w:vAlign w:val="center"/>
                </w:tcPr>
                <w:p w14:paraId="6ADB3A86">
                  <w:pPr>
                    <w:widowControl/>
                    <w:snapToGrid w:val="0"/>
                    <w:jc w:val="center"/>
                    <w:textAlignment w:val="baseline"/>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主要</w:t>
                  </w:r>
                  <w:r>
                    <w:rPr>
                      <w:color w:val="000000" w:themeColor="text1"/>
                      <w:kern w:val="0"/>
                      <w:szCs w:val="21"/>
                      <w:lang w:bidi="ar"/>
                      <w14:textFill>
                        <w14:solidFill>
                          <w14:schemeClr w14:val="tx1"/>
                        </w14:solidFill>
                      </w14:textFill>
                    </w:rPr>
                    <w:t>排放口</w:t>
                  </w:r>
                </w:p>
              </w:tc>
              <w:tc>
                <w:tcPr>
                  <w:tcW w:w="886" w:type="pct"/>
                  <w:tcBorders>
                    <w:tl2br w:val="nil"/>
                    <w:tr2bl w:val="nil"/>
                  </w:tcBorders>
                  <w:vAlign w:val="center"/>
                </w:tcPr>
                <w:p w14:paraId="375CC338">
                  <w:pPr>
                    <w:widowControl/>
                    <w:snapToGri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颗粒物、二氧化硫、氮氧化物</w:t>
                  </w:r>
                  <w:r>
                    <w:rPr>
                      <w:rFonts w:hint="eastAsia"/>
                      <w:color w:val="000000" w:themeColor="text1"/>
                      <w:szCs w:val="21"/>
                      <w14:textFill>
                        <w14:solidFill>
                          <w14:schemeClr w14:val="tx1"/>
                        </w14:solidFill>
                      </w14:textFill>
                    </w:rPr>
                    <w:t>、烟气黑度</w:t>
                  </w:r>
                </w:p>
              </w:tc>
            </w:tr>
          </w:tbl>
          <w:p w14:paraId="46979128">
            <w:pPr>
              <w:pStyle w:val="26"/>
              <w:spacing w:line="360" w:lineRule="auto"/>
              <w:ind w:firstLine="480" w:firstLineChars="200"/>
              <w:rPr>
                <w:b/>
                <w:bCs/>
                <w:color w:val="FF0000"/>
                <w:sz w:val="24"/>
              </w:rPr>
            </w:pPr>
            <w:r>
              <w:rPr>
                <w:color w:val="FF0000"/>
                <w:sz w:val="24"/>
              </w:rPr>
              <w:t>本项目生物质蒸汽发生器排放的烟气经30m高烟囱排放，依据《锅炉大气污染物排放标准》（GB13271-2014）中表4烟囱最低允许高度要求，锅炉房装机最容量2~＜4t/h锅炉烟囱最低允许高度为30m，新建锅炉房的烟囱周围半径200m距离内有建筑物时，应高出最高建筑物3m以上。本项目锅炉房周边200m范围内最高建筑物为</w:t>
            </w:r>
            <w:r>
              <w:rPr>
                <w:rFonts w:hint="eastAsia"/>
                <w:color w:val="FF0000"/>
                <w:sz w:val="24"/>
              </w:rPr>
              <w:t>学校教学楼</w:t>
            </w:r>
            <w:r>
              <w:rPr>
                <w:color w:val="FF0000"/>
                <w:sz w:val="24"/>
              </w:rPr>
              <w:t>（</w:t>
            </w:r>
            <w:r>
              <w:rPr>
                <w:rFonts w:hint="eastAsia"/>
                <w:color w:val="FF0000"/>
                <w:sz w:val="24"/>
              </w:rPr>
              <w:t>12</w:t>
            </w:r>
            <w:r>
              <w:rPr>
                <w:color w:val="FF0000"/>
                <w:sz w:val="24"/>
              </w:rPr>
              <w:t>m高），则生物质蒸汽发生器新建烟囱高度满足相关要求。根据《排污单位污染物排放口监测点位置设置技术规范》（HJ1405-2024）要求，监测断面设置位置应满足，其按照气流方向的上游距离弯头、阀门、变径管≥4 倍烟道直径，其下游距离上述部件≥2 倍烟道直径。应配套建设永久、安全、便于采样和测试的工作平台。</w:t>
            </w:r>
          </w:p>
          <w:p w14:paraId="6077E420">
            <w:pPr>
              <w:pStyle w:val="26"/>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（2）无组织废气</w:t>
            </w:r>
          </w:p>
          <w:p w14:paraId="1E68FEA4">
            <w:pPr>
              <w:pStyle w:val="26"/>
              <w:spacing w:line="360" w:lineRule="auto"/>
              <w:ind w:firstLine="482" w:firstLineChars="200"/>
              <w:rPr>
                <w:b/>
                <w:bCs/>
                <w:color w:val="FF0000"/>
                <w:sz w:val="24"/>
              </w:rPr>
            </w:pPr>
            <w:r>
              <w:rPr>
                <w:b/>
                <w:bCs/>
                <w:color w:val="FF0000"/>
                <w:sz w:val="24"/>
              </w:rPr>
              <w:t>①生物质燃料装卸、转运、贮存废气</w:t>
            </w:r>
          </w:p>
          <w:p w14:paraId="49AA2012">
            <w:pPr>
              <w:adjustRightInd w:val="0"/>
              <w:snapToGrid w:val="0"/>
              <w:spacing w:line="360" w:lineRule="auto"/>
              <w:ind w:firstLine="480" w:firstLineChars="200"/>
              <w:rPr>
                <w:rFonts w:hAnsi="Cambria Math"/>
                <w:color w:val="FF0000"/>
                <w:sz w:val="24"/>
              </w:rPr>
            </w:pPr>
            <w:r>
              <w:rPr>
                <w:color w:val="FF0000"/>
                <w:sz w:val="24"/>
              </w:rPr>
              <w:t>本项目生物质成型颗粒燃料，均采用袋装形式购入，</w:t>
            </w:r>
            <w:r>
              <w:rPr>
                <w:rFonts w:hint="eastAsia"/>
                <w:color w:val="FF0000"/>
                <w:sz w:val="24"/>
              </w:rPr>
              <w:t>暂存于封闭库房内，定期洒水降尘，参照《排污许可证申请与核发技术规范 锅炉》（HJ 953.2—2026）第 10.2.1.2 节及表 7，</w:t>
            </w:r>
          </w:p>
          <w:p w14:paraId="1300BF40">
            <w:pPr>
              <w:adjustRightInd w:val="0"/>
              <w:snapToGrid w:val="0"/>
              <w:spacing w:line="360" w:lineRule="auto"/>
              <w:ind w:firstLine="480" w:firstLineChars="200"/>
              <w:rPr>
                <w:rFonts w:hAnsi="Cambria Math"/>
                <w:color w:val="FF0000"/>
                <w:sz w:val="24"/>
              </w:rPr>
            </w:pPr>
            <m:oMathPara>
              <m:oMath>
                <m:sSub>
                  <m:sSubPr>
                    <m:ctrlPr>
                      <w:rPr>
                        <w:rFonts w:ascii="Cambria Math" w:hAnsi="Cambria Math"/>
                        <w:i/>
                        <w:color w:val="FF0000"/>
                        <w:sz w:val="24"/>
                      </w:rPr>
                    </m:ctrlPr>
                  </m:sSubPr>
                  <m:e>
                    <m:r>
                      <m:rPr/>
                      <w:rPr>
                        <w:rFonts w:ascii="Cambria Math" w:hAnsi="Cambria Math"/>
                        <w:color w:val="FF0000"/>
                        <w:sz w:val="24"/>
                      </w:rPr>
                      <m:t>E</m:t>
                    </m:r>
                    <m:ctrlPr>
                      <w:rPr>
                        <w:rFonts w:ascii="Cambria Math" w:hAnsi="Cambria Math"/>
                        <w:i/>
                        <w:color w:val="FF0000"/>
                        <w:sz w:val="24"/>
                      </w:rPr>
                    </m:ctrlPr>
                  </m:e>
                  <m:sub>
                    <m:r>
                      <m:rPr/>
                      <w:rPr>
                        <w:rFonts w:hint="eastAsia" w:ascii="Cambria Math" w:hAnsi="Cambria Math"/>
                        <w:color w:val="FF0000"/>
                        <w:sz w:val="24"/>
                      </w:rPr>
                      <m:t>堆场</m:t>
                    </m:r>
                    <m:ctrlPr>
                      <w:rPr>
                        <w:rFonts w:ascii="Cambria Math" w:hAnsi="Cambria Math"/>
                        <w:i/>
                        <w:color w:val="FF0000"/>
                        <w:sz w:val="24"/>
                      </w:rPr>
                    </m:ctrlPr>
                  </m:sub>
                </m:sSub>
                <m:r>
                  <m:rPr/>
                  <w:rPr>
                    <w:rFonts w:hint="eastAsia" w:ascii="Cambria Math" w:hAnsi="Cambria Math"/>
                    <w:color w:val="FF0000"/>
                    <w:sz w:val="24"/>
                  </w:rPr>
                  <m:t>（</m:t>
                </m:r>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hint="eastAsia" w:ascii="Cambria Math" w:hAnsi="Cambria Math"/>
                        <w:color w:val="FF0000"/>
                        <w:sz w:val="24"/>
                      </w:rPr>
                      <m:t>灰渣场</m:t>
                    </m:r>
                    <m:ctrlPr>
                      <w:rPr>
                        <w:rFonts w:hint="eastAsia" w:ascii="Cambria Math" w:hAnsi="Cambria Math"/>
                        <w:i/>
                        <w:color w:val="FF0000"/>
                        <w:sz w:val="24"/>
                      </w:rPr>
                    </m:ctrlPr>
                  </m:sub>
                </m:sSub>
                <m:r>
                  <m:rPr/>
                  <w:rPr>
                    <w:rFonts w:hint="eastAsia" w:ascii="Cambria Math" w:hAnsi="Cambria Math"/>
                    <w:color w:val="FF0000"/>
                    <w:sz w:val="24"/>
                  </w:rPr>
                  <m:t>）=</m:t>
                </m:r>
                <m:nary>
                  <m:naryPr>
                    <m:chr m:val="∑"/>
                    <m:limLoc m:val="undOvr"/>
                    <m:ctrlPr>
                      <w:rPr>
                        <w:rFonts w:hint="eastAsia" w:ascii="Cambria Math" w:hAnsi="Cambria Math"/>
                        <w:i/>
                        <w:color w:val="FF0000"/>
                        <w:sz w:val="24"/>
                      </w:rPr>
                    </m:ctrlPr>
                  </m:naryPr>
                  <m:sub>
                    <m:r>
                      <m:rPr/>
                      <w:rPr>
                        <w:rFonts w:ascii="Cambria Math" w:hAnsi="Cambria Math"/>
                        <w:color w:val="FF0000"/>
                        <w:sz w:val="24"/>
                      </w:rPr>
                      <m:t>i</m:t>
                    </m:r>
                    <m:r>
                      <m:rPr/>
                      <w:rPr>
                        <w:rFonts w:hint="eastAsia" w:ascii="Cambria Math" w:hAnsi="Cambria Math"/>
                        <w:color w:val="FF0000"/>
                        <w:sz w:val="24"/>
                      </w:rPr>
                      <m:t>=1</m:t>
                    </m:r>
                    <m:ctrlPr>
                      <w:rPr>
                        <w:rFonts w:hint="eastAsia" w:ascii="Cambria Math" w:hAnsi="Cambria Math"/>
                        <w:i/>
                        <w:color w:val="FF0000"/>
                        <w:sz w:val="24"/>
                      </w:rPr>
                    </m:ctrlPr>
                  </m:sub>
                  <m:sup>
                    <m:r>
                      <m:rPr/>
                      <w:rPr>
                        <w:rFonts w:ascii="Cambria Math" w:hAnsi="Cambria Math"/>
                        <w:color w:val="FF0000"/>
                        <w:sz w:val="24"/>
                      </w:rPr>
                      <m:t>m/n</m:t>
                    </m:r>
                    <m:ctrlPr>
                      <w:rPr>
                        <w:rFonts w:hint="eastAsia" w:ascii="Cambria Math" w:hAnsi="Cambria Math"/>
                        <w:i/>
                        <w:color w:val="FF0000"/>
                        <w:sz w:val="24"/>
                      </w:rPr>
                    </m:ctrlPr>
                  </m:sup>
                  <m:e>
                    <m:r>
                      <m:rPr/>
                      <w:rPr>
                        <w:rFonts w:hint="eastAsia" w:ascii="Cambria Math" w:hAnsi="Cambria Math"/>
                        <w:color w:val="FF0000"/>
                        <w:sz w:val="24"/>
                      </w:rPr>
                      <m:t>（</m:t>
                    </m:r>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ascii="Cambria Math" w:hAnsi="Cambria Math"/>
                            <w:color w:val="FF0000"/>
                            <w:sz w:val="24"/>
                          </w:rPr>
                          <m:t>z</m:t>
                        </m:r>
                        <m:ctrlPr>
                          <w:rPr>
                            <w:rFonts w:hint="eastAsia" w:ascii="Cambria Math" w:hAnsi="Cambria Math"/>
                            <w:i/>
                            <w:color w:val="FF0000"/>
                            <w:sz w:val="24"/>
                          </w:rPr>
                        </m:ctrlPr>
                      </m:sub>
                    </m:sSub>
                    <m:r>
                      <m:rPr/>
                      <w:rPr>
                        <w:rFonts w:ascii="Cambria Math" w:hAnsi="Cambria Math"/>
                        <w:color w:val="FF0000"/>
                        <w:sz w:val="24"/>
                      </w:rPr>
                      <m:t>×</m:t>
                    </m:r>
                    <m:sSub>
                      <m:sSubPr>
                        <m:ctrlPr>
                          <w:rPr>
                            <w:rFonts w:ascii="Cambria Math" w:hAnsi="Cambria Math"/>
                            <w:i/>
                            <w:color w:val="FF0000"/>
                            <w:sz w:val="24"/>
                          </w:rPr>
                        </m:ctrlPr>
                      </m:sSubPr>
                      <m:e>
                        <m:r>
                          <m:rPr/>
                          <w:rPr>
                            <w:rFonts w:ascii="Cambria Math" w:hAnsi="Cambria Math"/>
                            <w:color w:val="FF0000"/>
                            <w:sz w:val="24"/>
                          </w:rPr>
                          <m:t>G</m:t>
                        </m:r>
                        <m:ctrlPr>
                          <w:rPr>
                            <w:rFonts w:ascii="Cambria Math" w:hAnsi="Cambria Math"/>
                            <w:i/>
                            <w:color w:val="FF0000"/>
                            <w:sz w:val="24"/>
                          </w:rPr>
                        </m:ctrlPr>
                      </m:e>
                      <m:sub>
                        <m:r>
                          <m:rPr/>
                          <w:rPr>
                            <w:rFonts w:ascii="Cambria Math" w:hAnsi="Cambria Math"/>
                            <w:color w:val="FF0000"/>
                            <w:sz w:val="24"/>
                          </w:rPr>
                          <m:t>zi</m:t>
                        </m:r>
                        <m:ctrlPr>
                          <w:rPr>
                            <w:rFonts w:ascii="Cambria Math" w:hAnsi="Cambria Math"/>
                            <w:i/>
                            <w:color w:val="FF0000"/>
                            <w:sz w:val="24"/>
                          </w:rPr>
                        </m:ctrlPr>
                      </m:sub>
                    </m:sSub>
                    <m:r>
                      <m:rPr/>
                      <w:rPr>
                        <w:rFonts w:ascii="Cambria Math" w:hAnsi="Cambria Math"/>
                        <w:color w:val="FF0000"/>
                        <w:sz w:val="24"/>
                      </w:rPr>
                      <m:t>×</m:t>
                    </m:r>
                    <m:sSub>
                      <m:sSubPr>
                        <m:ctrlPr>
                          <w:rPr>
                            <w:rFonts w:ascii="Cambria Math" w:hAnsi="Cambria Math"/>
                            <w:i/>
                            <w:color w:val="FF0000"/>
                            <w:sz w:val="24"/>
                          </w:rPr>
                        </m:ctrlPr>
                      </m:sSubPr>
                      <m:e>
                        <m:r>
                          <m:rPr/>
                          <w:rPr>
                            <w:rFonts w:ascii="Cambria Math" w:hAnsi="Cambria Math"/>
                            <w:color w:val="FF0000"/>
                            <w:sz w:val="24"/>
                          </w:rPr>
                          <m:t>ℷ</m:t>
                        </m:r>
                        <m:ctrlPr>
                          <w:rPr>
                            <w:rFonts w:ascii="Cambria Math" w:hAnsi="Cambria Math"/>
                            <w:i/>
                            <w:color w:val="FF0000"/>
                            <w:sz w:val="24"/>
                          </w:rPr>
                        </m:ctrlPr>
                      </m:e>
                      <m:sub>
                        <m:r>
                          <m:rPr/>
                          <w:rPr>
                            <w:rFonts w:ascii="Cambria Math" w:hAnsi="Cambria Math"/>
                            <w:color w:val="FF0000"/>
                            <w:sz w:val="24"/>
                          </w:rPr>
                          <m:t>z</m:t>
                        </m:r>
                        <m:ctrlPr>
                          <w:rPr>
                            <w:rFonts w:ascii="Cambria Math" w:hAnsi="Cambria Math"/>
                            <w:i/>
                            <w:color w:val="FF0000"/>
                            <w:sz w:val="24"/>
                          </w:rPr>
                        </m:ctrlPr>
                      </m:sub>
                    </m:sSub>
                    <m:r>
                      <m:rPr/>
                      <w:rPr>
                        <w:rFonts w:ascii="Cambria Math" w:hAnsi="Cambria Math"/>
                        <w:color w:val="FF0000"/>
                        <w:sz w:val="24"/>
                      </w:rPr>
                      <m:t>+</m:t>
                    </m:r>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ascii="Cambria Math" w:hAnsi="Cambria Math"/>
                            <w:color w:val="FF0000"/>
                            <w:sz w:val="24"/>
                          </w:rPr>
                          <m:t>x</m:t>
                        </m:r>
                        <m:ctrlPr>
                          <w:rPr>
                            <w:rFonts w:hint="eastAsia" w:ascii="Cambria Math" w:hAnsi="Cambria Math"/>
                            <w:i/>
                            <w:color w:val="FF0000"/>
                            <w:sz w:val="24"/>
                          </w:rPr>
                        </m:ctrlPr>
                      </m:sub>
                    </m:sSub>
                    <m:r>
                      <m:rPr/>
                      <w:rPr>
                        <w:rFonts w:ascii="Cambria Math" w:hAnsi="Cambria Math"/>
                        <w:color w:val="FF0000"/>
                        <w:sz w:val="24"/>
                      </w:rPr>
                      <m:t>×</m:t>
                    </m:r>
                    <m:sSub>
                      <m:sSubPr>
                        <m:ctrlPr>
                          <w:rPr>
                            <w:rFonts w:ascii="Cambria Math" w:hAnsi="Cambria Math"/>
                            <w:i/>
                            <w:color w:val="FF0000"/>
                            <w:sz w:val="24"/>
                          </w:rPr>
                        </m:ctrlPr>
                      </m:sSubPr>
                      <m:e>
                        <m:r>
                          <m:rPr/>
                          <w:rPr>
                            <w:rFonts w:ascii="Cambria Math" w:hAnsi="Cambria Math"/>
                            <w:color w:val="FF0000"/>
                            <w:sz w:val="24"/>
                          </w:rPr>
                          <m:t>G</m:t>
                        </m:r>
                        <m:ctrlPr>
                          <w:rPr>
                            <w:rFonts w:ascii="Cambria Math" w:hAnsi="Cambria Math"/>
                            <w:i/>
                            <w:color w:val="FF0000"/>
                            <w:sz w:val="24"/>
                          </w:rPr>
                        </m:ctrlPr>
                      </m:e>
                      <m:sub>
                        <m:r>
                          <m:rPr/>
                          <w:rPr>
                            <w:rFonts w:ascii="Cambria Math" w:hAnsi="Cambria Math"/>
                            <w:color w:val="FF0000"/>
                            <w:sz w:val="24"/>
                          </w:rPr>
                          <m:t>xi</m:t>
                        </m:r>
                        <m:ctrlPr>
                          <w:rPr>
                            <w:rFonts w:ascii="Cambria Math" w:hAnsi="Cambria Math"/>
                            <w:i/>
                            <w:color w:val="FF0000"/>
                            <w:sz w:val="24"/>
                          </w:rPr>
                        </m:ctrlPr>
                      </m:sub>
                    </m:sSub>
                    <m:r>
                      <m:rPr/>
                      <w:rPr>
                        <w:rFonts w:ascii="Cambria Math" w:hAnsi="Cambria Math"/>
                        <w:color w:val="FF0000"/>
                        <w:sz w:val="24"/>
                      </w:rPr>
                      <m:t>×</m:t>
                    </m:r>
                    <m:sSub>
                      <m:sSubPr>
                        <m:ctrlPr>
                          <w:rPr>
                            <w:rFonts w:ascii="Cambria Math" w:hAnsi="Cambria Math"/>
                            <w:i/>
                            <w:color w:val="FF0000"/>
                            <w:sz w:val="24"/>
                          </w:rPr>
                        </m:ctrlPr>
                      </m:sSubPr>
                      <m:e>
                        <m:r>
                          <m:rPr/>
                          <w:rPr>
                            <w:rFonts w:ascii="Cambria Math" w:hAnsi="Cambria Math"/>
                            <w:color w:val="FF0000"/>
                            <w:sz w:val="24"/>
                          </w:rPr>
                          <m:t>ℷ</m:t>
                        </m:r>
                        <m:ctrlPr>
                          <w:rPr>
                            <w:rFonts w:ascii="Cambria Math" w:hAnsi="Cambria Math"/>
                            <w:i/>
                            <w:color w:val="FF0000"/>
                            <w:sz w:val="24"/>
                          </w:rPr>
                        </m:ctrlPr>
                      </m:e>
                      <m:sub>
                        <m:r>
                          <m:rPr/>
                          <w:rPr>
                            <w:rFonts w:ascii="Cambria Math" w:hAnsi="Cambria Math"/>
                            <w:color w:val="FF0000"/>
                            <w:sz w:val="24"/>
                          </w:rPr>
                          <m:t>x</m:t>
                        </m:r>
                        <m:ctrlPr>
                          <w:rPr>
                            <w:rFonts w:ascii="Cambria Math" w:hAnsi="Cambria Math"/>
                            <w:i/>
                            <w:color w:val="FF0000"/>
                            <w:sz w:val="24"/>
                          </w:rPr>
                        </m:ctrlPr>
                      </m:sub>
                    </m:sSub>
                    <m:r>
                      <m:rPr/>
                      <w:rPr>
                        <w:rFonts w:ascii="Cambria Math" w:hAnsi="Cambria Math"/>
                        <w:color w:val="FF0000"/>
                        <w:sz w:val="24"/>
                      </w:rPr>
                      <m:t>+</m:t>
                    </m:r>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ascii="Cambria Math" w:hAnsi="Cambria Math"/>
                            <w:color w:val="FF0000"/>
                            <w:sz w:val="24"/>
                          </w:rPr>
                          <m:t>D</m:t>
                        </m:r>
                        <m:ctrlPr>
                          <w:rPr>
                            <w:rFonts w:hint="eastAsia" w:ascii="Cambria Math" w:hAnsi="Cambria Math"/>
                            <w:i/>
                            <w:color w:val="FF0000"/>
                            <w:sz w:val="24"/>
                          </w:rPr>
                        </m:ctrlPr>
                      </m:sub>
                    </m:sSub>
                    <m:r>
                      <m:rPr/>
                      <w:rPr>
                        <w:rFonts w:ascii="Cambria Math" w:hAnsi="Cambria Math"/>
                        <w:color w:val="FF0000"/>
                        <w:sz w:val="24"/>
                      </w:rPr>
                      <m:t>×</m:t>
                    </m:r>
                    <m:sSub>
                      <m:sSubPr>
                        <m:ctrlPr>
                          <w:rPr>
                            <w:rFonts w:ascii="Cambria Math" w:hAnsi="Cambria Math"/>
                            <w:i/>
                            <w:color w:val="FF0000"/>
                            <w:sz w:val="24"/>
                          </w:rPr>
                        </m:ctrlPr>
                      </m:sSubPr>
                      <m:e>
                        <m:r>
                          <m:rPr/>
                          <w:rPr>
                            <w:rFonts w:ascii="Cambria Math" w:hAnsi="Cambria Math"/>
                            <w:color w:val="FF0000"/>
                            <w:sz w:val="24"/>
                          </w:rPr>
                          <m:t>G</m:t>
                        </m:r>
                        <m:ctrlPr>
                          <w:rPr>
                            <w:rFonts w:ascii="Cambria Math" w:hAnsi="Cambria Math"/>
                            <w:i/>
                            <w:color w:val="FF0000"/>
                            <w:sz w:val="24"/>
                          </w:rPr>
                        </m:ctrlPr>
                      </m:e>
                      <m:sub>
                        <m:r>
                          <m:rPr/>
                          <w:rPr>
                            <w:rFonts w:ascii="Cambria Math" w:hAnsi="Cambria Math"/>
                            <w:color w:val="FF0000"/>
                            <w:sz w:val="24"/>
                          </w:rPr>
                          <m:t>Di</m:t>
                        </m:r>
                        <m:ctrlPr>
                          <w:rPr>
                            <w:rFonts w:ascii="Cambria Math" w:hAnsi="Cambria Math"/>
                            <w:i/>
                            <w:color w:val="FF0000"/>
                            <w:sz w:val="24"/>
                          </w:rPr>
                        </m:ctrlPr>
                      </m:sub>
                    </m:sSub>
                    <m:r>
                      <m:rPr/>
                      <w:rPr>
                        <w:rFonts w:ascii="Cambria Math" w:hAnsi="Cambria Math"/>
                        <w:color w:val="FF0000"/>
                        <w:sz w:val="24"/>
                      </w:rPr>
                      <m:t>×</m:t>
                    </m:r>
                    <m:sSub>
                      <m:sSubPr>
                        <m:ctrlPr>
                          <w:rPr>
                            <w:rFonts w:ascii="Cambria Math" w:hAnsi="Cambria Math"/>
                            <w:i/>
                            <w:color w:val="FF0000"/>
                            <w:sz w:val="24"/>
                          </w:rPr>
                        </m:ctrlPr>
                      </m:sSubPr>
                      <m:e>
                        <m:r>
                          <m:rPr/>
                          <w:rPr>
                            <w:rFonts w:ascii="Cambria Math" w:hAnsi="Cambria Math"/>
                            <w:color w:val="FF0000"/>
                            <w:sz w:val="24"/>
                          </w:rPr>
                          <m:t>ℷ</m:t>
                        </m:r>
                        <m:ctrlPr>
                          <w:rPr>
                            <w:rFonts w:ascii="Cambria Math" w:hAnsi="Cambria Math"/>
                            <w:i/>
                            <w:color w:val="FF0000"/>
                            <w:sz w:val="24"/>
                          </w:rPr>
                        </m:ctrlPr>
                      </m:e>
                      <m:sub>
                        <m:r>
                          <m:rPr/>
                          <w:rPr>
                            <w:rFonts w:ascii="Cambria Math" w:hAnsi="Cambria Math"/>
                            <w:color w:val="FF0000"/>
                            <w:sz w:val="24"/>
                          </w:rPr>
                          <m:t>D</m:t>
                        </m:r>
                        <m:ctrlPr>
                          <w:rPr>
                            <w:rFonts w:ascii="Cambria Math" w:hAnsi="Cambria Math"/>
                            <w:i/>
                            <w:color w:val="FF0000"/>
                            <w:sz w:val="24"/>
                          </w:rPr>
                        </m:ctrlPr>
                      </m:sub>
                    </m:sSub>
                    <m:r>
                      <m:rPr/>
                      <w:rPr>
                        <w:rFonts w:hint="eastAsia" w:ascii="Cambria Math" w:hAnsi="Cambria Math"/>
                        <w:color w:val="FF0000"/>
                        <w:sz w:val="24"/>
                      </w:rPr>
                      <m:t>）</m:t>
                    </m:r>
                    <m:r>
                      <m:rPr/>
                      <w:rPr>
                        <w:rFonts w:ascii="Cambria Math" w:hAnsi="Cambria Math"/>
                        <w:color w:val="FF0000"/>
                        <w:sz w:val="24"/>
                      </w:rPr>
                      <m:t>×</m:t>
                    </m:r>
                    <m:sSup>
                      <m:sSupPr>
                        <m:ctrlPr>
                          <w:rPr>
                            <w:rFonts w:ascii="Cambria Math" w:hAnsi="Cambria Math"/>
                            <w:i/>
                            <w:color w:val="FF0000"/>
                            <w:sz w:val="24"/>
                          </w:rPr>
                        </m:ctrlPr>
                      </m:sSupPr>
                      <m:e>
                        <m:r>
                          <m:rPr/>
                          <w:rPr>
                            <w:rFonts w:ascii="Cambria Math" w:hAnsi="Cambria Math"/>
                            <w:color w:val="FF0000"/>
                            <w:sz w:val="24"/>
                          </w:rPr>
                          <m:t>10</m:t>
                        </m:r>
                        <m:ctrlPr>
                          <w:rPr>
                            <w:rFonts w:ascii="Cambria Math" w:hAnsi="Cambria Math"/>
                            <w:i/>
                            <w:color w:val="FF0000"/>
                            <w:sz w:val="24"/>
                          </w:rPr>
                        </m:ctrlPr>
                      </m:e>
                      <m:sup>
                        <m:r>
                          <m:rPr/>
                          <w:rPr>
                            <w:rFonts w:ascii="Cambria Math" w:hAnsi="Cambria Math"/>
                            <w:color w:val="FF0000"/>
                            <w:sz w:val="24"/>
                          </w:rPr>
                          <m:t>−3</m:t>
                        </m:r>
                        <m:ctrlPr>
                          <w:rPr>
                            <w:rFonts w:ascii="Cambria Math" w:hAnsi="Cambria Math"/>
                            <w:i/>
                            <w:color w:val="FF0000"/>
                            <w:sz w:val="24"/>
                          </w:rPr>
                        </m:ctrlPr>
                      </m:sup>
                    </m:sSup>
                    <m:ctrlPr>
                      <w:rPr>
                        <w:rFonts w:hint="eastAsia" w:ascii="Cambria Math" w:hAnsi="Cambria Math"/>
                        <w:i/>
                        <w:color w:val="FF0000"/>
                        <w:sz w:val="24"/>
                      </w:rPr>
                    </m:ctrlPr>
                  </m:e>
                </m:nary>
              </m:oMath>
            </m:oMathPara>
          </w:p>
          <w:p w14:paraId="47B8EE62">
            <w:pPr>
              <w:adjustRightInd w:val="0"/>
              <w:snapToGrid w:val="0"/>
              <w:spacing w:line="360" w:lineRule="auto"/>
              <w:ind w:firstLine="480" w:firstLineChars="200"/>
              <w:rPr>
                <w:rFonts w:hAnsi="Cambria Math"/>
                <w:color w:val="FF0000"/>
                <w:sz w:val="24"/>
              </w:rPr>
            </w:pPr>
            <w:r>
              <w:rPr>
                <w:rFonts w:hint="eastAsia"/>
                <w:color w:val="FF0000"/>
                <w:sz w:val="24"/>
              </w:rPr>
              <w:t>式中：</w:t>
            </w:r>
            <m:oMath>
              <m:sSub>
                <m:sSubPr>
                  <m:ctrlPr>
                    <w:rPr>
                      <w:rFonts w:ascii="Cambria Math" w:hAnsi="Cambria Math"/>
                      <w:i/>
                      <w:color w:val="FF0000"/>
                      <w:sz w:val="24"/>
                    </w:rPr>
                  </m:ctrlPr>
                </m:sSubPr>
                <m:e>
                  <m:r>
                    <m:rPr/>
                    <w:rPr>
                      <w:rFonts w:ascii="Cambria Math" w:hAnsi="Cambria Math"/>
                      <w:color w:val="FF0000"/>
                      <w:sz w:val="24"/>
                    </w:rPr>
                    <m:t>E</m:t>
                  </m:r>
                  <m:ctrlPr>
                    <w:rPr>
                      <w:rFonts w:ascii="Cambria Math" w:hAnsi="Cambria Math"/>
                      <w:i/>
                      <w:color w:val="FF0000"/>
                      <w:sz w:val="24"/>
                    </w:rPr>
                  </m:ctrlPr>
                </m:e>
                <m:sub>
                  <m:r>
                    <m:rPr/>
                    <w:rPr>
                      <w:rFonts w:hint="eastAsia" w:ascii="Cambria Math" w:hAnsi="Cambria Math"/>
                      <w:color w:val="FF0000"/>
                      <w:sz w:val="24"/>
                    </w:rPr>
                    <m:t>堆场</m:t>
                  </m:r>
                  <m:ctrlPr>
                    <w:rPr>
                      <w:rFonts w:ascii="Cambria Math" w:hAnsi="Cambria Math"/>
                      <w:i/>
                      <w:color w:val="FF0000"/>
                      <w:sz w:val="24"/>
                    </w:rPr>
                  </m:ctrlPr>
                </m:sub>
              </m:sSub>
              <m:r>
                <m:rPr/>
                <w:rPr>
                  <w:rFonts w:hint="eastAsia" w:ascii="Cambria Math" w:hAnsi="Cambria Math"/>
                  <w:color w:val="FF0000"/>
                  <w:sz w:val="24"/>
                </w:rPr>
                <m:t>（</m:t>
              </m:r>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hint="eastAsia" w:ascii="Cambria Math" w:hAnsi="Cambria Math"/>
                      <w:color w:val="FF0000"/>
                      <w:sz w:val="24"/>
                    </w:rPr>
                    <m:t>灰渣场</m:t>
                  </m:r>
                  <m:ctrlPr>
                    <w:rPr>
                      <w:rFonts w:hint="eastAsia" w:ascii="Cambria Math" w:hAnsi="Cambria Math"/>
                      <w:i/>
                      <w:color w:val="FF0000"/>
                      <w:sz w:val="24"/>
                    </w:rPr>
                  </m:ctrlPr>
                </m:sub>
              </m:sSub>
              <m:r>
                <m:rPr/>
                <w:rPr>
                  <w:rFonts w:hint="eastAsia" w:ascii="Cambria Math" w:hAnsi="Cambria Math"/>
                  <w:color w:val="FF0000"/>
                  <w:sz w:val="24"/>
                </w:rPr>
                <m:t>）</m:t>
              </m:r>
            </m:oMath>
            <w:r>
              <w:rPr>
                <w:rFonts w:hint="eastAsia" w:hAnsi="Cambria Math"/>
                <w:color w:val="FF0000"/>
                <w:sz w:val="24"/>
              </w:rPr>
              <w:t>——核算时段内第i个堆场（灰渣场）废气无组织排放颗粒物的实际排放量，t；</w:t>
            </w:r>
          </w:p>
          <w:p w14:paraId="4FD33B39">
            <w:pPr>
              <w:adjustRightInd w:val="0"/>
              <w:snapToGrid w:val="0"/>
              <w:spacing w:line="360" w:lineRule="auto"/>
              <w:ind w:firstLine="480" w:firstLineChars="200"/>
              <w:rPr>
                <w:rFonts w:hAnsi="Cambria Math"/>
                <w:color w:val="FF0000"/>
                <w:sz w:val="24"/>
              </w:rPr>
            </w:pPr>
            <w:r>
              <w:rPr>
                <w:rFonts w:hint="eastAsia" w:hAnsi="Cambria Math"/>
                <w:color w:val="FF0000"/>
                <w:sz w:val="24"/>
              </w:rPr>
              <w:t>m——堆场的数量，本项目取1；</w:t>
            </w:r>
          </w:p>
          <w:p w14:paraId="7DF88306">
            <w:pPr>
              <w:adjustRightInd w:val="0"/>
              <w:snapToGrid w:val="0"/>
              <w:spacing w:line="360" w:lineRule="auto"/>
              <w:ind w:firstLine="480" w:firstLineChars="200"/>
              <w:rPr>
                <w:rFonts w:hAnsi="Cambria Math"/>
                <w:color w:val="FF0000"/>
                <w:sz w:val="24"/>
              </w:rPr>
            </w:pPr>
            <w:r>
              <w:rPr>
                <w:rFonts w:hint="eastAsia" w:hAnsi="Cambria Math"/>
                <w:color w:val="FF0000"/>
                <w:sz w:val="24"/>
              </w:rPr>
              <w:t>n——灰渣场（自建）的数量，本项目取1；</w:t>
            </w:r>
          </w:p>
          <w:p w14:paraId="5439A7F4">
            <w:pPr>
              <w:adjustRightInd w:val="0"/>
              <w:snapToGrid w:val="0"/>
              <w:spacing w:line="360" w:lineRule="auto"/>
              <w:ind w:firstLine="480" w:firstLineChars="200"/>
              <w:rPr>
                <w:rFonts w:hAnsi="Cambria Math"/>
                <w:color w:val="FF0000"/>
                <w:sz w:val="24"/>
              </w:rPr>
            </w:pPr>
            <m:oMath>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ascii="Cambria Math" w:hAnsi="Cambria Math"/>
                      <w:color w:val="FF0000"/>
                      <w:sz w:val="24"/>
                    </w:rPr>
                    <m:t>z</m:t>
                  </m:r>
                  <m:ctrlPr>
                    <w:rPr>
                      <w:rFonts w:hint="eastAsia" w:ascii="Cambria Math" w:hAnsi="Cambria Math"/>
                      <w:i/>
                      <w:color w:val="FF0000"/>
                      <w:sz w:val="24"/>
                    </w:rPr>
                  </m:ctrlPr>
                </m:sub>
              </m:sSub>
            </m:oMath>
            <w:r>
              <w:rPr>
                <w:rFonts w:hint="eastAsia" w:hAnsi="Cambria Math"/>
                <w:color w:val="FF0000"/>
                <w:sz w:val="24"/>
              </w:rPr>
              <w:t>——物料装车过程的无组织颗粒物排放系数，kg/t，取0.03992kg/t；</w:t>
            </w:r>
          </w:p>
          <w:p w14:paraId="5BBB4F37">
            <w:pPr>
              <w:adjustRightInd w:val="0"/>
              <w:snapToGrid w:val="0"/>
              <w:spacing w:line="360" w:lineRule="auto"/>
              <w:ind w:firstLine="480" w:firstLineChars="200"/>
              <w:rPr>
                <w:rFonts w:hAnsi="Cambria Math"/>
                <w:color w:val="FF0000"/>
                <w:sz w:val="24"/>
              </w:rPr>
            </w:pPr>
            <m:oMath>
              <m:sSub>
                <m:sSubPr>
                  <m:ctrlPr>
                    <w:rPr>
                      <w:rFonts w:ascii="Cambria Math" w:hAnsi="Cambria Math"/>
                      <w:i/>
                      <w:color w:val="FF0000"/>
                      <w:sz w:val="24"/>
                    </w:rPr>
                  </m:ctrlPr>
                </m:sSubPr>
                <m:e>
                  <m:r>
                    <m:rPr/>
                    <w:rPr>
                      <w:rFonts w:ascii="Cambria Math" w:hAnsi="Cambria Math"/>
                      <w:color w:val="FF0000"/>
                      <w:sz w:val="24"/>
                    </w:rPr>
                    <m:t>G</m:t>
                  </m:r>
                  <m:ctrlPr>
                    <w:rPr>
                      <w:rFonts w:ascii="Cambria Math" w:hAnsi="Cambria Math"/>
                      <w:i/>
                      <w:color w:val="FF0000"/>
                      <w:sz w:val="24"/>
                    </w:rPr>
                  </m:ctrlPr>
                </m:e>
                <m:sub>
                  <m:r>
                    <m:rPr/>
                    <w:rPr>
                      <w:rFonts w:ascii="Cambria Math" w:hAnsi="Cambria Math"/>
                      <w:color w:val="FF0000"/>
                      <w:sz w:val="24"/>
                    </w:rPr>
                    <m:t>zi</m:t>
                  </m:r>
                  <m:ctrlPr>
                    <w:rPr>
                      <w:rFonts w:ascii="Cambria Math" w:hAnsi="Cambria Math"/>
                      <w:i/>
                      <w:color w:val="FF0000"/>
                      <w:sz w:val="24"/>
                    </w:rPr>
                  </m:ctrlPr>
                </m:sub>
              </m:sSub>
            </m:oMath>
            <w:r>
              <w:rPr>
                <w:rFonts w:hint="eastAsia" w:hAnsi="Cambria Math"/>
                <w:color w:val="FF0000"/>
                <w:sz w:val="24"/>
              </w:rPr>
              <w:t>——核算时段内物料实际装车量，t，本项目取640t；</w:t>
            </w:r>
          </w:p>
          <w:p w14:paraId="4975451A">
            <w:pPr>
              <w:adjustRightInd w:val="0"/>
              <w:snapToGrid w:val="0"/>
              <w:spacing w:line="360" w:lineRule="auto"/>
              <w:ind w:firstLine="480" w:firstLineChars="200"/>
              <w:rPr>
                <w:rFonts w:hAnsi="Cambria Math"/>
                <w:color w:val="FF0000"/>
                <w:sz w:val="24"/>
              </w:rPr>
            </w:pPr>
            <m:oMath>
              <m:sSub>
                <m:sSubPr>
                  <m:ctrlPr>
                    <w:rPr>
                      <w:rFonts w:ascii="Cambria Math" w:hAnsi="Cambria Math"/>
                      <w:i/>
                      <w:color w:val="FF0000"/>
                      <w:sz w:val="24"/>
                    </w:rPr>
                  </m:ctrlPr>
                </m:sSubPr>
                <m:e>
                  <m:r>
                    <m:rPr/>
                    <w:rPr>
                      <w:rFonts w:ascii="Cambria Math" w:hAnsi="Cambria Math"/>
                      <w:color w:val="FF0000"/>
                      <w:sz w:val="24"/>
                    </w:rPr>
                    <m:t>ℷ</m:t>
                  </m:r>
                  <m:ctrlPr>
                    <w:rPr>
                      <w:rFonts w:ascii="Cambria Math" w:hAnsi="Cambria Math"/>
                      <w:i/>
                      <w:color w:val="FF0000"/>
                      <w:sz w:val="24"/>
                    </w:rPr>
                  </m:ctrlPr>
                </m:e>
                <m:sub>
                  <m:r>
                    <m:rPr/>
                    <w:rPr>
                      <w:rFonts w:ascii="Cambria Math" w:hAnsi="Cambria Math"/>
                      <w:color w:val="FF0000"/>
                      <w:sz w:val="24"/>
                    </w:rPr>
                    <m:t>z</m:t>
                  </m:r>
                  <m:ctrlPr>
                    <w:rPr>
                      <w:rFonts w:ascii="Cambria Math" w:hAnsi="Cambria Math"/>
                      <w:i/>
                      <w:color w:val="FF0000"/>
                      <w:sz w:val="24"/>
                    </w:rPr>
                  </m:ctrlPr>
                </m:sub>
              </m:sSub>
            </m:oMath>
            <w:r>
              <w:rPr>
                <w:rFonts w:hint="eastAsia" w:hAnsi="Cambria Math"/>
                <w:color w:val="FF0000"/>
                <w:sz w:val="24"/>
              </w:rPr>
              <w:t>——物料装车排放量修正系数，本项目取值为0.3；</w:t>
            </w:r>
          </w:p>
          <w:p w14:paraId="08304A74">
            <w:pPr>
              <w:adjustRightInd w:val="0"/>
              <w:snapToGrid w:val="0"/>
              <w:spacing w:line="360" w:lineRule="auto"/>
              <w:ind w:firstLine="480" w:firstLineChars="200"/>
              <w:rPr>
                <w:rFonts w:hAnsi="Cambria Math"/>
                <w:color w:val="FF0000"/>
                <w:sz w:val="24"/>
              </w:rPr>
            </w:pPr>
            <m:oMath>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ascii="Cambria Math" w:hAnsi="Cambria Math"/>
                      <w:color w:val="FF0000"/>
                      <w:sz w:val="24"/>
                    </w:rPr>
                    <m:t>x</m:t>
                  </m:r>
                  <m:ctrlPr>
                    <w:rPr>
                      <w:rFonts w:hint="eastAsia" w:ascii="Cambria Math" w:hAnsi="Cambria Math"/>
                      <w:i/>
                      <w:color w:val="FF0000"/>
                      <w:sz w:val="24"/>
                    </w:rPr>
                  </m:ctrlPr>
                </m:sub>
              </m:sSub>
            </m:oMath>
            <w:r>
              <w:rPr>
                <w:rFonts w:hint="eastAsia" w:hAnsi="Cambria Math"/>
                <w:color w:val="FF0000"/>
                <w:sz w:val="24"/>
              </w:rPr>
              <w:t>——物料卸车过程的无组织颗粒物排放系数，kg/t，取0.01539kg/t；</w:t>
            </w:r>
          </w:p>
          <w:p w14:paraId="5BFA0E50">
            <w:pPr>
              <w:adjustRightInd w:val="0"/>
              <w:snapToGrid w:val="0"/>
              <w:spacing w:line="360" w:lineRule="auto"/>
              <w:ind w:firstLine="480" w:firstLineChars="200"/>
              <w:rPr>
                <w:rFonts w:hAnsi="Cambria Math"/>
                <w:color w:val="FF0000"/>
                <w:sz w:val="24"/>
              </w:rPr>
            </w:pPr>
            <m:oMath>
              <m:sSub>
                <m:sSubPr>
                  <m:ctrlPr>
                    <w:rPr>
                      <w:rFonts w:ascii="Cambria Math" w:hAnsi="Cambria Math"/>
                      <w:i/>
                      <w:color w:val="FF0000"/>
                      <w:sz w:val="24"/>
                    </w:rPr>
                  </m:ctrlPr>
                </m:sSubPr>
                <m:e>
                  <m:r>
                    <m:rPr/>
                    <w:rPr>
                      <w:rFonts w:ascii="Cambria Math" w:hAnsi="Cambria Math"/>
                      <w:color w:val="FF0000"/>
                      <w:sz w:val="24"/>
                    </w:rPr>
                    <m:t>G</m:t>
                  </m:r>
                  <m:ctrlPr>
                    <w:rPr>
                      <w:rFonts w:ascii="Cambria Math" w:hAnsi="Cambria Math"/>
                      <w:i/>
                      <w:color w:val="FF0000"/>
                      <w:sz w:val="24"/>
                    </w:rPr>
                  </m:ctrlPr>
                </m:e>
                <m:sub>
                  <m:r>
                    <m:rPr/>
                    <w:rPr>
                      <w:rFonts w:ascii="Cambria Math" w:hAnsi="Cambria Math"/>
                      <w:color w:val="FF0000"/>
                      <w:sz w:val="24"/>
                    </w:rPr>
                    <m:t>xi</m:t>
                  </m:r>
                  <m:ctrlPr>
                    <w:rPr>
                      <w:rFonts w:ascii="Cambria Math" w:hAnsi="Cambria Math"/>
                      <w:i/>
                      <w:color w:val="FF0000"/>
                      <w:sz w:val="24"/>
                    </w:rPr>
                  </m:ctrlPr>
                </m:sub>
              </m:sSub>
            </m:oMath>
            <w:r>
              <w:rPr>
                <w:rFonts w:hint="eastAsia" w:hAnsi="Cambria Math"/>
                <w:color w:val="FF0000"/>
                <w:sz w:val="24"/>
              </w:rPr>
              <w:t>——核算时段内物料实际卸车量，t本项目取值为640t；</w:t>
            </w:r>
          </w:p>
          <w:p w14:paraId="380BE317">
            <w:pPr>
              <w:adjustRightInd w:val="0"/>
              <w:snapToGrid w:val="0"/>
              <w:spacing w:line="360" w:lineRule="auto"/>
              <w:ind w:firstLine="480" w:firstLineChars="200"/>
              <w:rPr>
                <w:rFonts w:hAnsi="Cambria Math"/>
                <w:color w:val="FF0000"/>
                <w:sz w:val="24"/>
              </w:rPr>
            </w:pPr>
            <m:oMath>
              <m:sSub>
                <m:sSubPr>
                  <m:ctrlPr>
                    <w:rPr>
                      <w:rFonts w:ascii="Cambria Math" w:hAnsi="Cambria Math"/>
                      <w:i/>
                      <w:color w:val="FF0000"/>
                      <w:sz w:val="24"/>
                    </w:rPr>
                  </m:ctrlPr>
                </m:sSubPr>
                <m:e>
                  <m:r>
                    <m:rPr/>
                    <w:rPr>
                      <w:rFonts w:ascii="Cambria Math" w:hAnsi="Cambria Math"/>
                      <w:color w:val="FF0000"/>
                      <w:sz w:val="24"/>
                    </w:rPr>
                    <m:t>ℷ</m:t>
                  </m:r>
                  <m:ctrlPr>
                    <w:rPr>
                      <w:rFonts w:ascii="Cambria Math" w:hAnsi="Cambria Math"/>
                      <w:i/>
                      <w:color w:val="FF0000"/>
                      <w:sz w:val="24"/>
                    </w:rPr>
                  </m:ctrlPr>
                </m:e>
                <m:sub>
                  <m:r>
                    <m:rPr/>
                    <w:rPr>
                      <w:rFonts w:ascii="Cambria Math" w:hAnsi="Cambria Math"/>
                      <w:color w:val="FF0000"/>
                      <w:sz w:val="24"/>
                    </w:rPr>
                    <m:t>x</m:t>
                  </m:r>
                  <m:ctrlPr>
                    <w:rPr>
                      <w:rFonts w:ascii="Cambria Math" w:hAnsi="Cambria Math"/>
                      <w:i/>
                      <w:color w:val="FF0000"/>
                      <w:sz w:val="24"/>
                    </w:rPr>
                  </m:ctrlPr>
                </m:sub>
              </m:sSub>
            </m:oMath>
            <w:r>
              <w:rPr>
                <w:rFonts w:hint="eastAsia" w:hAnsi="Cambria Math"/>
                <w:color w:val="FF0000"/>
                <w:sz w:val="24"/>
              </w:rPr>
              <w:t>——物料卸车排放量修正系数，本项目取值为0.3；</w:t>
            </w:r>
          </w:p>
          <w:p w14:paraId="7D80F867">
            <w:pPr>
              <w:adjustRightInd w:val="0"/>
              <w:snapToGrid w:val="0"/>
              <w:spacing w:line="360" w:lineRule="auto"/>
              <w:ind w:firstLine="480" w:firstLineChars="200"/>
              <w:rPr>
                <w:rFonts w:hAnsi="Cambria Math"/>
                <w:color w:val="FF0000"/>
                <w:sz w:val="24"/>
              </w:rPr>
            </w:pPr>
            <m:oMath>
              <m:sSub>
                <m:sSubPr>
                  <m:ctrlPr>
                    <w:rPr>
                      <w:rFonts w:hint="eastAsia" w:ascii="Cambria Math" w:hAnsi="Cambria Math"/>
                      <w:i/>
                      <w:color w:val="FF0000"/>
                      <w:sz w:val="24"/>
                    </w:rPr>
                  </m:ctrlPr>
                </m:sSubPr>
                <m:e>
                  <m:r>
                    <m:rPr/>
                    <w:rPr>
                      <w:rFonts w:ascii="Cambria Math" w:hAnsi="Cambria Math"/>
                      <w:color w:val="FF0000"/>
                      <w:sz w:val="24"/>
                    </w:rPr>
                    <m:t>E</m:t>
                  </m:r>
                  <m:ctrlPr>
                    <w:rPr>
                      <w:rFonts w:hint="eastAsia" w:ascii="Cambria Math" w:hAnsi="Cambria Math"/>
                      <w:i/>
                      <w:color w:val="FF0000"/>
                      <w:sz w:val="24"/>
                    </w:rPr>
                  </m:ctrlPr>
                </m:e>
                <m:sub>
                  <m:r>
                    <m:rPr/>
                    <w:rPr>
                      <w:rFonts w:ascii="Cambria Math" w:hAnsi="Cambria Math"/>
                      <w:color w:val="FF0000"/>
                      <w:sz w:val="24"/>
                    </w:rPr>
                    <m:t>D</m:t>
                  </m:r>
                  <m:ctrlPr>
                    <w:rPr>
                      <w:rFonts w:hint="eastAsia" w:ascii="Cambria Math" w:hAnsi="Cambria Math"/>
                      <w:i/>
                      <w:color w:val="FF0000"/>
                      <w:sz w:val="24"/>
                    </w:rPr>
                  </m:ctrlPr>
                </m:sub>
              </m:sSub>
            </m:oMath>
            <w:r>
              <w:rPr>
                <w:rFonts w:hint="eastAsia" w:hAnsi="Cambria Math"/>
                <w:color w:val="FF0000"/>
                <w:sz w:val="24"/>
              </w:rPr>
              <w:t>——物料堆存过程无组织颗粒物排放系数，kg/t，取0.1386kg/t；</w:t>
            </w:r>
          </w:p>
          <w:p w14:paraId="7D30FBB7">
            <w:pPr>
              <w:adjustRightInd w:val="0"/>
              <w:snapToGrid w:val="0"/>
              <w:spacing w:line="360" w:lineRule="auto"/>
              <w:ind w:firstLine="480" w:firstLineChars="200"/>
              <w:rPr>
                <w:rFonts w:hAnsi="Cambria Math"/>
                <w:color w:val="FF0000"/>
                <w:sz w:val="24"/>
              </w:rPr>
            </w:pPr>
            <m:oMath>
              <m:sSub>
                <m:sSubPr>
                  <m:ctrlPr>
                    <w:rPr>
                      <w:rFonts w:ascii="Cambria Math" w:hAnsi="Cambria Math"/>
                      <w:i/>
                      <w:color w:val="FF0000"/>
                      <w:sz w:val="24"/>
                    </w:rPr>
                  </m:ctrlPr>
                </m:sSubPr>
                <m:e>
                  <m:r>
                    <m:rPr/>
                    <w:rPr>
                      <w:rFonts w:ascii="Cambria Math" w:hAnsi="Cambria Math"/>
                      <w:color w:val="FF0000"/>
                      <w:sz w:val="24"/>
                    </w:rPr>
                    <m:t>G</m:t>
                  </m:r>
                  <m:ctrlPr>
                    <w:rPr>
                      <w:rFonts w:ascii="Cambria Math" w:hAnsi="Cambria Math"/>
                      <w:i/>
                      <w:color w:val="FF0000"/>
                      <w:sz w:val="24"/>
                    </w:rPr>
                  </m:ctrlPr>
                </m:e>
                <m:sub>
                  <m:r>
                    <m:rPr/>
                    <w:rPr>
                      <w:rFonts w:ascii="Cambria Math" w:hAnsi="Cambria Math"/>
                      <w:color w:val="FF0000"/>
                      <w:sz w:val="24"/>
                    </w:rPr>
                    <m:t>Di</m:t>
                  </m:r>
                  <m:ctrlPr>
                    <w:rPr>
                      <w:rFonts w:ascii="Cambria Math" w:hAnsi="Cambria Math"/>
                      <w:i/>
                      <w:color w:val="FF0000"/>
                      <w:sz w:val="24"/>
                    </w:rPr>
                  </m:ctrlPr>
                </m:sub>
              </m:sSub>
            </m:oMath>
            <w:r>
              <w:rPr>
                <w:rFonts w:hint="eastAsia" w:hAnsi="Cambria Math"/>
                <w:color w:val="FF0000"/>
                <w:sz w:val="24"/>
              </w:rPr>
              <w:t>——核算时段内物料实际堆存量，t，本项目取值为640t；</w:t>
            </w:r>
          </w:p>
          <w:p w14:paraId="19DE9140">
            <w:pPr>
              <w:adjustRightInd w:val="0"/>
              <w:snapToGrid w:val="0"/>
              <w:spacing w:line="360" w:lineRule="auto"/>
              <w:ind w:firstLine="480" w:firstLineChars="200"/>
              <w:rPr>
                <w:rFonts w:hAnsi="Cambria Math"/>
                <w:color w:val="FF0000"/>
                <w:sz w:val="24"/>
              </w:rPr>
            </w:pPr>
            <m:oMath>
              <m:sSub>
                <m:sSubPr>
                  <m:ctrlPr>
                    <w:rPr>
                      <w:rFonts w:ascii="Cambria Math" w:hAnsi="Cambria Math"/>
                      <w:i/>
                      <w:color w:val="FF0000"/>
                      <w:sz w:val="24"/>
                    </w:rPr>
                  </m:ctrlPr>
                </m:sSubPr>
                <m:e>
                  <m:r>
                    <m:rPr/>
                    <w:rPr>
                      <w:rFonts w:ascii="Cambria Math" w:hAnsi="Cambria Math"/>
                      <w:color w:val="FF0000"/>
                      <w:sz w:val="24"/>
                    </w:rPr>
                    <m:t>ℷ</m:t>
                  </m:r>
                  <m:ctrlPr>
                    <w:rPr>
                      <w:rFonts w:ascii="Cambria Math" w:hAnsi="Cambria Math"/>
                      <w:i/>
                      <w:color w:val="FF0000"/>
                      <w:sz w:val="24"/>
                    </w:rPr>
                  </m:ctrlPr>
                </m:e>
                <m:sub>
                  <m:r>
                    <m:rPr/>
                    <w:rPr>
                      <w:rFonts w:ascii="Cambria Math" w:hAnsi="Cambria Math"/>
                      <w:color w:val="FF0000"/>
                      <w:sz w:val="24"/>
                    </w:rPr>
                    <m:t>D</m:t>
                  </m:r>
                  <m:ctrlPr>
                    <w:rPr>
                      <w:rFonts w:ascii="Cambria Math" w:hAnsi="Cambria Math"/>
                      <w:i/>
                      <w:color w:val="FF0000"/>
                      <w:sz w:val="24"/>
                    </w:rPr>
                  </m:ctrlPr>
                </m:sub>
              </m:sSub>
            </m:oMath>
            <w:r>
              <w:rPr>
                <w:rFonts w:hint="eastAsia" w:hAnsi="Cambria Math"/>
                <w:color w:val="FF0000"/>
                <w:sz w:val="24"/>
              </w:rPr>
              <w:t>——物料堆存排放量修正系数，本项目取值为0；</w:t>
            </w:r>
          </w:p>
          <w:p w14:paraId="368A84D8">
            <w:pPr>
              <w:adjustRightInd w:val="0"/>
              <w:snapToGrid w:val="0"/>
              <w:spacing w:line="360" w:lineRule="auto"/>
              <w:ind w:firstLine="480" w:firstLineChars="200"/>
              <w:rPr>
                <w:color w:val="FF0000"/>
                <w:sz w:val="24"/>
              </w:rPr>
            </w:pPr>
            <w:r>
              <w:rPr>
                <w:rFonts w:hint="eastAsia"/>
                <w:color w:val="FF0000"/>
                <w:sz w:val="24"/>
              </w:rPr>
              <w:t>依据HJ 953.2—2026表7，本项目燃料贮存库为全封闭结构，物料装卸作业全程在封闭设施内完成，且在装卸过程中采取洒水降尘措施，因此本项目装车、卸车修正系数取0.3，堆存环节的修正系数取0，燃料装卸堆存废气无组织颗粒物核算排放量为0.011t/a</w:t>
            </w:r>
            <w:r>
              <w:rPr>
                <w:color w:val="FF0000"/>
                <w:sz w:val="24"/>
              </w:rPr>
              <w:t>。</w:t>
            </w:r>
          </w:p>
          <w:p w14:paraId="67BFE234">
            <w:pPr>
              <w:adjustRightInd w:val="0"/>
              <w:snapToGrid w:val="0"/>
              <w:spacing w:line="360" w:lineRule="auto"/>
              <w:ind w:firstLine="482" w:firstLineChars="200"/>
              <w:rPr>
                <w:rStyle w:val="64"/>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②炉渣清理废气</w:t>
            </w:r>
          </w:p>
          <w:p w14:paraId="3134D622">
            <w:pPr>
              <w:adjustRightInd w:val="0"/>
              <w:snapToGrid w:val="0"/>
              <w:spacing w:line="360" w:lineRule="auto"/>
              <w:ind w:firstLine="480" w:firstLineChars="200"/>
              <w:rPr>
                <w:rStyle w:val="64"/>
                <w:color w:val="000000" w:themeColor="text1"/>
                <w:sz w:val="24"/>
                <w14:textFill>
                  <w14:solidFill>
                    <w14:schemeClr w14:val="tx1"/>
                  </w14:solidFill>
                </w14:textFill>
              </w:rPr>
            </w:pPr>
            <w:r>
              <w:rPr>
                <w:color w:val="000000" w:themeColor="text1"/>
                <w:sz w:val="24"/>
                <w14:textFill>
                  <w14:solidFill>
                    <w14:schemeClr w14:val="tx1"/>
                  </w14:solidFill>
                </w14:textFill>
              </w:rPr>
              <w:t>本项目炉渣清理过程中产生的颗粒物参考《逸散性工业粉尘控制技术》中产排污系数卸料颗粒物排放指数取0.2kg/t·物料，本项目每年产生炉渣量为23.5t/a，则炉渣清理过程中产生的颗粒物量为0.0047t/a，本项目炉渣清理过程中采用湿式作业的方式，清理炉渣时向炉渣洒水，能使70%的颗粒物沉降，则炉渣清理过程中排放的颗粒物量为0.0014t/a，</w:t>
            </w:r>
            <w:r>
              <w:rPr>
                <w:rStyle w:val="64"/>
                <w:color w:val="000000" w:themeColor="text1"/>
                <w:sz w:val="24"/>
                <w14:textFill>
                  <w14:solidFill>
                    <w14:schemeClr w14:val="tx1"/>
                  </w14:solidFill>
                </w14:textFill>
              </w:rPr>
              <w:t>全部无组织排放。</w:t>
            </w:r>
          </w:p>
          <w:p w14:paraId="1424A538">
            <w:pPr>
              <w:pStyle w:val="85"/>
              <w:ind w:firstLine="480"/>
              <w:rPr>
                <w:color w:val="FF0000"/>
                <w:lang w:val="en-US"/>
              </w:rPr>
            </w:pPr>
            <w:r>
              <w:rPr>
                <w:color w:val="FF0000"/>
                <w:lang w:val="en-US"/>
              </w:rPr>
              <w:t>综上所述，项目无组织废气产排污情况见下表。</w:t>
            </w:r>
          </w:p>
          <w:p w14:paraId="6500CBFD">
            <w:pPr>
              <w:snapToGrid w:val="0"/>
              <w:jc w:val="center"/>
              <w:textAlignment w:val="baseline"/>
              <w:rPr>
                <w:rStyle w:val="64"/>
                <w:b/>
                <w:bCs/>
                <w:color w:val="FF0000"/>
                <w:szCs w:val="21"/>
              </w:rPr>
            </w:pPr>
            <w:r>
              <w:rPr>
                <w:rStyle w:val="64"/>
                <w:b/>
                <w:bCs/>
                <w:color w:val="FF0000"/>
                <w:szCs w:val="21"/>
              </w:rPr>
              <w:t>表4-3 无组织废气产生及排放情况一览表</w:t>
            </w:r>
          </w:p>
          <w:tbl>
            <w:tblPr>
              <w:tblStyle w:val="31"/>
              <w:tblW w:w="8265" w:type="dxa"/>
              <w:jc w:val="center"/>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Layout w:type="fixed"/>
              <w:tblCellMar>
                <w:top w:w="0" w:type="dxa"/>
                <w:left w:w="108" w:type="dxa"/>
                <w:bottom w:w="0" w:type="dxa"/>
                <w:right w:w="108" w:type="dxa"/>
              </w:tblCellMar>
            </w:tblPr>
            <w:tblGrid>
              <w:gridCol w:w="1129"/>
              <w:gridCol w:w="807"/>
              <w:gridCol w:w="764"/>
              <w:gridCol w:w="698"/>
              <w:gridCol w:w="713"/>
              <w:gridCol w:w="1125"/>
              <w:gridCol w:w="750"/>
              <w:gridCol w:w="1368"/>
              <w:gridCol w:w="911"/>
            </w:tblGrid>
            <w:tr w14:paraId="477171F2">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1129" w:type="dxa"/>
                  <w:vMerge w:val="restart"/>
                  <w:vAlign w:val="center"/>
                </w:tcPr>
                <w:p w14:paraId="12B2AE77">
                  <w:pPr>
                    <w:widowControl/>
                    <w:jc w:val="center"/>
                    <w:textAlignment w:val="center"/>
                    <w:rPr>
                      <w:color w:val="FF0000"/>
                      <w:szCs w:val="21"/>
                    </w:rPr>
                  </w:pPr>
                  <w:r>
                    <w:rPr>
                      <w:color w:val="FF0000"/>
                      <w:szCs w:val="21"/>
                    </w:rPr>
                    <w:t>名称</w:t>
                  </w:r>
                </w:p>
              </w:tc>
              <w:tc>
                <w:tcPr>
                  <w:tcW w:w="1571" w:type="dxa"/>
                  <w:gridSpan w:val="2"/>
                  <w:vAlign w:val="center"/>
                </w:tcPr>
                <w:p w14:paraId="07265B0F">
                  <w:pPr>
                    <w:widowControl/>
                    <w:jc w:val="center"/>
                    <w:textAlignment w:val="center"/>
                    <w:rPr>
                      <w:color w:val="FF0000"/>
                      <w:szCs w:val="21"/>
                    </w:rPr>
                  </w:pPr>
                  <w:r>
                    <w:rPr>
                      <w:color w:val="FF0000"/>
                      <w:szCs w:val="21"/>
                    </w:rPr>
                    <w:t>面源中心坐标（°）</w:t>
                  </w:r>
                </w:p>
              </w:tc>
              <w:tc>
                <w:tcPr>
                  <w:tcW w:w="2536" w:type="dxa"/>
                  <w:gridSpan w:val="3"/>
                  <w:vAlign w:val="center"/>
                </w:tcPr>
                <w:p w14:paraId="56B99068">
                  <w:pPr>
                    <w:pStyle w:val="88"/>
                    <w:adjustRightInd/>
                    <w:snapToGrid/>
                    <w:rPr>
                      <w:rFonts w:eastAsia="宋体"/>
                      <w:color w:val="FF0000"/>
                      <w:szCs w:val="21"/>
                    </w:rPr>
                  </w:pPr>
                  <w:r>
                    <w:rPr>
                      <w:rFonts w:eastAsia="宋体"/>
                      <w:color w:val="FF0000"/>
                      <w:szCs w:val="21"/>
                    </w:rPr>
                    <w:t>面源参数</w:t>
                  </w:r>
                </w:p>
              </w:tc>
              <w:tc>
                <w:tcPr>
                  <w:tcW w:w="750" w:type="dxa"/>
                  <w:vMerge w:val="restart"/>
                  <w:vAlign w:val="center"/>
                </w:tcPr>
                <w:p w14:paraId="4BA0B86D">
                  <w:pPr>
                    <w:kinsoku w:val="0"/>
                    <w:autoSpaceDE w:val="0"/>
                    <w:autoSpaceDN w:val="0"/>
                    <w:ind w:left="-105" w:leftChars="-50" w:right="-105" w:rightChars="-50"/>
                    <w:jc w:val="center"/>
                    <w:textAlignment w:val="baseline"/>
                    <w:rPr>
                      <w:color w:val="FF0000"/>
                    </w:rPr>
                  </w:pPr>
                  <w:r>
                    <w:rPr>
                      <w:snapToGrid w:val="0"/>
                      <w:color w:val="FF0000"/>
                      <w:spacing w:val="-2"/>
                      <w:kern w:val="0"/>
                      <w:szCs w:val="21"/>
                    </w:rPr>
                    <w:t>产污环节</w:t>
                  </w:r>
                </w:p>
              </w:tc>
              <w:tc>
                <w:tcPr>
                  <w:tcW w:w="1368" w:type="dxa"/>
                  <w:vMerge w:val="restart"/>
                  <w:vAlign w:val="center"/>
                </w:tcPr>
                <w:p w14:paraId="22730B2D">
                  <w:pPr>
                    <w:kinsoku w:val="0"/>
                    <w:autoSpaceDE w:val="0"/>
                    <w:autoSpaceDN w:val="0"/>
                    <w:jc w:val="center"/>
                    <w:textAlignment w:val="baseline"/>
                    <w:rPr>
                      <w:color w:val="FF0000"/>
                    </w:rPr>
                  </w:pPr>
                  <w:r>
                    <w:rPr>
                      <w:snapToGrid w:val="0"/>
                      <w:color w:val="FF0000"/>
                      <w:spacing w:val="-2"/>
                      <w:kern w:val="0"/>
                      <w:szCs w:val="21"/>
                    </w:rPr>
                    <w:t>污染物</w:t>
                  </w:r>
                </w:p>
              </w:tc>
              <w:tc>
                <w:tcPr>
                  <w:tcW w:w="911" w:type="dxa"/>
                  <w:vMerge w:val="restart"/>
                  <w:vAlign w:val="center"/>
                </w:tcPr>
                <w:p w14:paraId="20BA8EED">
                  <w:pPr>
                    <w:widowControl/>
                    <w:jc w:val="center"/>
                    <w:textAlignment w:val="center"/>
                    <w:rPr>
                      <w:color w:val="FF0000"/>
                      <w:szCs w:val="21"/>
                    </w:rPr>
                  </w:pPr>
                  <w:r>
                    <w:rPr>
                      <w:color w:val="FF0000"/>
                      <w:szCs w:val="21"/>
                    </w:rPr>
                    <w:t>排放</w:t>
                  </w:r>
                  <w:r>
                    <w:rPr>
                      <w:rFonts w:hint="eastAsia"/>
                      <w:color w:val="FF0000"/>
                      <w:szCs w:val="21"/>
                    </w:rPr>
                    <w:t>量</w:t>
                  </w:r>
                  <w:r>
                    <w:rPr>
                      <w:color w:val="FF0000"/>
                      <w:szCs w:val="21"/>
                    </w:rPr>
                    <w:t>（t/a）</w:t>
                  </w:r>
                </w:p>
              </w:tc>
            </w:tr>
            <w:tr w14:paraId="3E88858A">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1129" w:type="dxa"/>
                  <w:vMerge w:val="continue"/>
                  <w:vAlign w:val="center"/>
                </w:tcPr>
                <w:p w14:paraId="26F71ECE">
                  <w:pPr>
                    <w:widowControl/>
                    <w:jc w:val="center"/>
                    <w:textAlignment w:val="center"/>
                    <w:rPr>
                      <w:color w:val="FF0000"/>
                    </w:rPr>
                  </w:pPr>
                </w:p>
              </w:tc>
              <w:tc>
                <w:tcPr>
                  <w:tcW w:w="807" w:type="dxa"/>
                  <w:vAlign w:val="center"/>
                </w:tcPr>
                <w:p w14:paraId="043B041A">
                  <w:pPr>
                    <w:widowControl/>
                    <w:jc w:val="center"/>
                    <w:textAlignment w:val="center"/>
                    <w:rPr>
                      <w:color w:val="FF0000"/>
                    </w:rPr>
                  </w:pPr>
                  <w:r>
                    <w:rPr>
                      <w:color w:val="FF0000"/>
                    </w:rPr>
                    <w:t>经度</w:t>
                  </w:r>
                </w:p>
              </w:tc>
              <w:tc>
                <w:tcPr>
                  <w:tcW w:w="764" w:type="dxa"/>
                  <w:vAlign w:val="center"/>
                </w:tcPr>
                <w:p w14:paraId="4B93E95A">
                  <w:pPr>
                    <w:widowControl/>
                    <w:jc w:val="center"/>
                    <w:textAlignment w:val="center"/>
                    <w:rPr>
                      <w:color w:val="FF0000"/>
                      <w:szCs w:val="21"/>
                    </w:rPr>
                  </w:pPr>
                  <w:r>
                    <w:rPr>
                      <w:color w:val="FF0000"/>
                      <w:szCs w:val="21"/>
                    </w:rPr>
                    <w:t>纬度</w:t>
                  </w:r>
                </w:p>
              </w:tc>
              <w:tc>
                <w:tcPr>
                  <w:tcW w:w="698" w:type="dxa"/>
                  <w:vAlign w:val="center"/>
                </w:tcPr>
                <w:p w14:paraId="3704CD1B">
                  <w:pPr>
                    <w:widowControl/>
                    <w:jc w:val="center"/>
                    <w:textAlignment w:val="center"/>
                    <w:rPr>
                      <w:color w:val="FF0000"/>
                      <w:szCs w:val="21"/>
                    </w:rPr>
                  </w:pPr>
                  <w:r>
                    <w:rPr>
                      <w:color w:val="FF0000"/>
                      <w:szCs w:val="21"/>
                    </w:rPr>
                    <w:t>长度（m）</w:t>
                  </w:r>
                </w:p>
              </w:tc>
              <w:tc>
                <w:tcPr>
                  <w:tcW w:w="713" w:type="dxa"/>
                  <w:vAlign w:val="center"/>
                </w:tcPr>
                <w:p w14:paraId="69DAC5F5">
                  <w:pPr>
                    <w:widowControl/>
                    <w:jc w:val="center"/>
                    <w:textAlignment w:val="center"/>
                    <w:rPr>
                      <w:color w:val="FF0000"/>
                      <w:szCs w:val="21"/>
                    </w:rPr>
                  </w:pPr>
                  <w:r>
                    <w:rPr>
                      <w:color w:val="FF0000"/>
                      <w:szCs w:val="21"/>
                    </w:rPr>
                    <w:t>宽度（m）</w:t>
                  </w:r>
                </w:p>
              </w:tc>
              <w:tc>
                <w:tcPr>
                  <w:tcW w:w="1125" w:type="dxa"/>
                  <w:vAlign w:val="center"/>
                </w:tcPr>
                <w:p w14:paraId="4F0A411E">
                  <w:pPr>
                    <w:widowControl/>
                    <w:jc w:val="center"/>
                    <w:textAlignment w:val="center"/>
                    <w:rPr>
                      <w:color w:val="FF0000"/>
                      <w:szCs w:val="21"/>
                    </w:rPr>
                  </w:pPr>
                  <w:r>
                    <w:rPr>
                      <w:color w:val="FF0000"/>
                      <w:szCs w:val="21"/>
                    </w:rPr>
                    <w:t>有效排放高度（m）</w:t>
                  </w:r>
                </w:p>
              </w:tc>
              <w:tc>
                <w:tcPr>
                  <w:tcW w:w="750" w:type="dxa"/>
                  <w:vMerge w:val="continue"/>
                  <w:vAlign w:val="center"/>
                </w:tcPr>
                <w:p w14:paraId="06D7326A">
                  <w:pPr>
                    <w:kinsoku w:val="0"/>
                    <w:autoSpaceDE w:val="0"/>
                    <w:autoSpaceDN w:val="0"/>
                    <w:ind w:left="-105" w:leftChars="-50" w:right="-105" w:rightChars="-50"/>
                    <w:jc w:val="center"/>
                    <w:textAlignment w:val="baseline"/>
                    <w:rPr>
                      <w:color w:val="FF0000"/>
                    </w:rPr>
                  </w:pPr>
                </w:p>
              </w:tc>
              <w:tc>
                <w:tcPr>
                  <w:tcW w:w="1368" w:type="dxa"/>
                  <w:vMerge w:val="continue"/>
                  <w:vAlign w:val="center"/>
                </w:tcPr>
                <w:p w14:paraId="1A48E45D">
                  <w:pPr>
                    <w:kinsoku w:val="0"/>
                    <w:autoSpaceDE w:val="0"/>
                    <w:autoSpaceDN w:val="0"/>
                    <w:jc w:val="center"/>
                    <w:textAlignment w:val="baseline"/>
                    <w:rPr>
                      <w:color w:val="FF0000"/>
                    </w:rPr>
                  </w:pPr>
                </w:p>
              </w:tc>
              <w:tc>
                <w:tcPr>
                  <w:tcW w:w="911" w:type="dxa"/>
                  <w:vMerge w:val="continue"/>
                  <w:vAlign w:val="center"/>
                </w:tcPr>
                <w:p w14:paraId="00C82B44">
                  <w:pPr>
                    <w:widowControl/>
                    <w:jc w:val="center"/>
                    <w:textAlignment w:val="center"/>
                    <w:rPr>
                      <w:color w:val="FF0000"/>
                      <w:szCs w:val="21"/>
                    </w:rPr>
                  </w:pPr>
                </w:p>
              </w:tc>
            </w:tr>
            <w:tr w14:paraId="0FF47E89">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1129" w:type="dxa"/>
                  <w:vAlign w:val="center"/>
                </w:tcPr>
                <w:p w14:paraId="5EDCF11A">
                  <w:pPr>
                    <w:widowControl/>
                    <w:kinsoku w:val="0"/>
                    <w:autoSpaceDE w:val="0"/>
                    <w:autoSpaceDN w:val="0"/>
                    <w:ind w:left="-105" w:leftChars="-50" w:right="-105" w:rightChars="-50"/>
                    <w:jc w:val="center"/>
                    <w:textAlignment w:val="baseline"/>
                    <w:rPr>
                      <w:color w:val="FF0000"/>
                      <w:szCs w:val="21"/>
                    </w:rPr>
                  </w:pPr>
                  <w:r>
                    <w:rPr>
                      <w:color w:val="FF0000"/>
                      <w:szCs w:val="21"/>
                    </w:rPr>
                    <w:t>炉渣清理废气</w:t>
                  </w:r>
                </w:p>
              </w:tc>
              <w:tc>
                <w:tcPr>
                  <w:tcW w:w="807" w:type="dxa"/>
                  <w:shd w:val="clear" w:color="auto" w:fill="auto"/>
                  <w:vAlign w:val="center"/>
                </w:tcPr>
                <w:p w14:paraId="72688E25">
                  <w:pPr>
                    <w:jc w:val="center"/>
                    <w:rPr>
                      <w:color w:val="FF0000"/>
                      <w:szCs w:val="21"/>
                    </w:rPr>
                  </w:pPr>
                  <w:r>
                    <w:rPr>
                      <w:color w:val="FF0000"/>
                      <w:szCs w:val="21"/>
                    </w:rPr>
                    <w:t>123.978975</w:t>
                  </w:r>
                </w:p>
              </w:tc>
              <w:tc>
                <w:tcPr>
                  <w:tcW w:w="764" w:type="dxa"/>
                  <w:shd w:val="clear" w:color="auto" w:fill="auto"/>
                  <w:vAlign w:val="center"/>
                </w:tcPr>
                <w:p w14:paraId="64B47E17">
                  <w:pPr>
                    <w:jc w:val="center"/>
                    <w:rPr>
                      <w:color w:val="FF0000"/>
                      <w:szCs w:val="21"/>
                    </w:rPr>
                  </w:pPr>
                  <w:r>
                    <w:rPr>
                      <w:color w:val="FF0000"/>
                      <w:szCs w:val="21"/>
                    </w:rPr>
                    <w:t>41.645643</w:t>
                  </w:r>
                </w:p>
              </w:tc>
              <w:tc>
                <w:tcPr>
                  <w:tcW w:w="698" w:type="dxa"/>
                  <w:shd w:val="clear" w:color="auto" w:fill="auto"/>
                  <w:vAlign w:val="center"/>
                </w:tcPr>
                <w:p w14:paraId="39384801">
                  <w:pPr>
                    <w:widowControl/>
                    <w:jc w:val="center"/>
                    <w:textAlignment w:val="center"/>
                    <w:rPr>
                      <w:color w:val="FF0000"/>
                      <w:szCs w:val="21"/>
                      <w:lang w:bidi="ar"/>
                    </w:rPr>
                  </w:pPr>
                  <w:r>
                    <w:rPr>
                      <w:color w:val="FF0000"/>
                      <w:szCs w:val="21"/>
                      <w:lang w:bidi="ar"/>
                    </w:rPr>
                    <w:t>26</w:t>
                  </w:r>
                </w:p>
              </w:tc>
              <w:tc>
                <w:tcPr>
                  <w:tcW w:w="713" w:type="dxa"/>
                  <w:shd w:val="clear" w:color="auto" w:fill="auto"/>
                  <w:vAlign w:val="center"/>
                </w:tcPr>
                <w:p w14:paraId="2CCAD340">
                  <w:pPr>
                    <w:widowControl/>
                    <w:jc w:val="center"/>
                    <w:textAlignment w:val="center"/>
                    <w:rPr>
                      <w:color w:val="FF0000"/>
                      <w:szCs w:val="21"/>
                    </w:rPr>
                  </w:pPr>
                  <w:r>
                    <w:rPr>
                      <w:color w:val="FF0000"/>
                      <w:szCs w:val="21"/>
                    </w:rPr>
                    <w:t>10</w:t>
                  </w:r>
                </w:p>
              </w:tc>
              <w:tc>
                <w:tcPr>
                  <w:tcW w:w="1125" w:type="dxa"/>
                  <w:shd w:val="clear" w:color="auto" w:fill="auto"/>
                  <w:vAlign w:val="center"/>
                </w:tcPr>
                <w:p w14:paraId="29A355C3">
                  <w:pPr>
                    <w:jc w:val="center"/>
                    <w:rPr>
                      <w:color w:val="FF0000"/>
                      <w:szCs w:val="21"/>
                    </w:rPr>
                  </w:pPr>
                  <w:r>
                    <w:rPr>
                      <w:color w:val="FF0000"/>
                      <w:szCs w:val="21"/>
                    </w:rPr>
                    <w:t>3.5</w:t>
                  </w:r>
                </w:p>
              </w:tc>
              <w:tc>
                <w:tcPr>
                  <w:tcW w:w="750" w:type="dxa"/>
                  <w:vAlign w:val="center"/>
                </w:tcPr>
                <w:p w14:paraId="13C26323">
                  <w:pPr>
                    <w:kinsoku w:val="0"/>
                    <w:autoSpaceDE w:val="0"/>
                    <w:autoSpaceDN w:val="0"/>
                    <w:ind w:left="-105" w:leftChars="-50" w:right="-105" w:rightChars="-50"/>
                    <w:jc w:val="center"/>
                    <w:textAlignment w:val="baseline"/>
                    <w:rPr>
                      <w:color w:val="FF0000"/>
                    </w:rPr>
                  </w:pPr>
                  <w:r>
                    <w:rPr>
                      <w:color w:val="FF0000"/>
                    </w:rPr>
                    <w:t>炉渣清理</w:t>
                  </w:r>
                </w:p>
              </w:tc>
              <w:tc>
                <w:tcPr>
                  <w:tcW w:w="1368" w:type="dxa"/>
                  <w:vAlign w:val="center"/>
                </w:tcPr>
                <w:p w14:paraId="07CD1D40">
                  <w:pPr>
                    <w:widowControl/>
                    <w:jc w:val="center"/>
                    <w:textAlignment w:val="center"/>
                    <w:rPr>
                      <w:color w:val="FF0000"/>
                    </w:rPr>
                  </w:pPr>
                  <w:r>
                    <w:rPr>
                      <w:color w:val="FF0000"/>
                    </w:rPr>
                    <w:t>颗粒物</w:t>
                  </w:r>
                </w:p>
              </w:tc>
              <w:tc>
                <w:tcPr>
                  <w:tcW w:w="911" w:type="dxa"/>
                  <w:vAlign w:val="center"/>
                </w:tcPr>
                <w:p w14:paraId="7DC07E1E">
                  <w:pPr>
                    <w:widowControl/>
                    <w:jc w:val="center"/>
                    <w:textAlignment w:val="center"/>
                    <w:rPr>
                      <w:color w:val="FF0000"/>
                      <w:kern w:val="0"/>
                      <w:szCs w:val="21"/>
                      <w:lang w:bidi="ar"/>
                    </w:rPr>
                  </w:pPr>
                  <w:r>
                    <w:rPr>
                      <w:color w:val="FF0000"/>
                      <w:kern w:val="0"/>
                      <w:szCs w:val="21"/>
                      <w:lang w:bidi="ar"/>
                    </w:rPr>
                    <w:t>0.0014</w:t>
                  </w:r>
                </w:p>
              </w:tc>
            </w:tr>
            <w:tr w14:paraId="222D26A6">
              <w:tblPrEx>
                <w:tblBorders>
                  <w:top w:val="single" w:color="auto" w:sz="12" w:space="0"/>
                  <w:left w:val="none" w:color="auto" w:sz="0" w:space="0"/>
                  <w:bottom w:val="single" w:color="auto" w:sz="12" w:space="0"/>
                  <w:right w:val="none" w:color="auto" w:sz="0" w:space="0"/>
                  <w:insideH w:val="single" w:color="auto" w:sz="2" w:space="0"/>
                  <w:insideV w:val="single" w:color="auto" w:sz="6" w:space="0"/>
                </w:tblBorders>
                <w:tblCellMar>
                  <w:top w:w="0" w:type="dxa"/>
                  <w:left w:w="108" w:type="dxa"/>
                  <w:bottom w:w="0" w:type="dxa"/>
                  <w:right w:w="108" w:type="dxa"/>
                </w:tblCellMar>
              </w:tblPrEx>
              <w:trPr>
                <w:trHeight w:val="397" w:hRule="atLeast"/>
                <w:jc w:val="center"/>
              </w:trPr>
              <w:tc>
                <w:tcPr>
                  <w:tcW w:w="1129" w:type="dxa"/>
                  <w:vAlign w:val="center"/>
                </w:tcPr>
                <w:p w14:paraId="29F3175B">
                  <w:pPr>
                    <w:widowControl/>
                    <w:kinsoku w:val="0"/>
                    <w:autoSpaceDE w:val="0"/>
                    <w:autoSpaceDN w:val="0"/>
                    <w:ind w:left="-105" w:leftChars="-50" w:right="-105" w:rightChars="-50"/>
                    <w:jc w:val="center"/>
                    <w:textAlignment w:val="baseline"/>
                    <w:rPr>
                      <w:color w:val="FF0000"/>
                      <w:szCs w:val="21"/>
                    </w:rPr>
                  </w:pPr>
                  <w:r>
                    <w:rPr>
                      <w:rFonts w:hint="eastAsia"/>
                      <w:color w:val="FF0000"/>
                      <w:szCs w:val="21"/>
                    </w:rPr>
                    <w:t>燃料卸料、堆存废气</w:t>
                  </w:r>
                </w:p>
              </w:tc>
              <w:tc>
                <w:tcPr>
                  <w:tcW w:w="807" w:type="dxa"/>
                  <w:shd w:val="clear" w:color="auto" w:fill="auto"/>
                  <w:vAlign w:val="center"/>
                </w:tcPr>
                <w:p w14:paraId="4AB7B91F">
                  <w:pPr>
                    <w:jc w:val="center"/>
                    <w:rPr>
                      <w:color w:val="FF0000"/>
                      <w:szCs w:val="21"/>
                    </w:rPr>
                  </w:pPr>
                  <w:r>
                    <w:rPr>
                      <w:rFonts w:hint="eastAsia"/>
                      <w:color w:val="FF0000"/>
                      <w:szCs w:val="21"/>
                    </w:rPr>
                    <w:t>123.992365</w:t>
                  </w:r>
                </w:p>
              </w:tc>
              <w:tc>
                <w:tcPr>
                  <w:tcW w:w="764" w:type="dxa"/>
                  <w:shd w:val="clear" w:color="auto" w:fill="auto"/>
                  <w:vAlign w:val="center"/>
                </w:tcPr>
                <w:p w14:paraId="799251F8">
                  <w:pPr>
                    <w:jc w:val="center"/>
                    <w:rPr>
                      <w:color w:val="FF0000"/>
                      <w:szCs w:val="21"/>
                    </w:rPr>
                  </w:pPr>
                  <w:r>
                    <w:rPr>
                      <w:rFonts w:hint="eastAsia"/>
                      <w:color w:val="FF0000"/>
                      <w:szCs w:val="21"/>
                    </w:rPr>
                    <w:t>41.654231</w:t>
                  </w:r>
                </w:p>
              </w:tc>
              <w:tc>
                <w:tcPr>
                  <w:tcW w:w="698" w:type="dxa"/>
                  <w:shd w:val="clear" w:color="auto" w:fill="auto"/>
                  <w:vAlign w:val="center"/>
                </w:tcPr>
                <w:p w14:paraId="28D37C09">
                  <w:pPr>
                    <w:widowControl/>
                    <w:jc w:val="center"/>
                    <w:textAlignment w:val="center"/>
                    <w:rPr>
                      <w:color w:val="FF0000"/>
                      <w:szCs w:val="21"/>
                      <w:lang w:bidi="ar"/>
                    </w:rPr>
                  </w:pPr>
                  <w:r>
                    <w:rPr>
                      <w:rFonts w:hint="eastAsia"/>
                      <w:color w:val="FF0000"/>
                      <w:szCs w:val="21"/>
                      <w:lang w:bidi="ar"/>
                    </w:rPr>
                    <w:t>10</w:t>
                  </w:r>
                </w:p>
              </w:tc>
              <w:tc>
                <w:tcPr>
                  <w:tcW w:w="713" w:type="dxa"/>
                  <w:shd w:val="clear" w:color="auto" w:fill="auto"/>
                  <w:vAlign w:val="center"/>
                </w:tcPr>
                <w:p w14:paraId="7DD20F6C">
                  <w:pPr>
                    <w:widowControl/>
                    <w:jc w:val="center"/>
                    <w:textAlignment w:val="center"/>
                    <w:rPr>
                      <w:color w:val="FF0000"/>
                      <w:szCs w:val="21"/>
                    </w:rPr>
                  </w:pPr>
                  <w:r>
                    <w:rPr>
                      <w:rFonts w:hint="eastAsia"/>
                      <w:color w:val="FF0000"/>
                      <w:szCs w:val="21"/>
                    </w:rPr>
                    <w:t>4</w:t>
                  </w:r>
                </w:p>
              </w:tc>
              <w:tc>
                <w:tcPr>
                  <w:tcW w:w="1125" w:type="dxa"/>
                  <w:shd w:val="clear" w:color="auto" w:fill="auto"/>
                  <w:vAlign w:val="center"/>
                </w:tcPr>
                <w:p w14:paraId="51F11B6B">
                  <w:pPr>
                    <w:jc w:val="center"/>
                    <w:rPr>
                      <w:color w:val="FF0000"/>
                      <w:szCs w:val="21"/>
                    </w:rPr>
                  </w:pPr>
                  <w:r>
                    <w:rPr>
                      <w:rFonts w:hint="eastAsia"/>
                      <w:color w:val="FF0000"/>
                      <w:szCs w:val="21"/>
                    </w:rPr>
                    <w:t>3.5</w:t>
                  </w:r>
                </w:p>
              </w:tc>
              <w:tc>
                <w:tcPr>
                  <w:tcW w:w="750" w:type="dxa"/>
                  <w:vAlign w:val="center"/>
                </w:tcPr>
                <w:p w14:paraId="20F38020">
                  <w:pPr>
                    <w:kinsoku w:val="0"/>
                    <w:autoSpaceDE w:val="0"/>
                    <w:autoSpaceDN w:val="0"/>
                    <w:ind w:left="-105" w:leftChars="-50" w:right="-105" w:rightChars="-50"/>
                    <w:jc w:val="center"/>
                    <w:textAlignment w:val="baseline"/>
                    <w:rPr>
                      <w:color w:val="FF0000"/>
                    </w:rPr>
                  </w:pPr>
                  <w:r>
                    <w:rPr>
                      <w:rFonts w:hint="eastAsia"/>
                      <w:color w:val="FF0000"/>
                    </w:rPr>
                    <w:t>卸料、堆存</w:t>
                  </w:r>
                </w:p>
              </w:tc>
              <w:tc>
                <w:tcPr>
                  <w:tcW w:w="1368" w:type="dxa"/>
                  <w:vAlign w:val="center"/>
                </w:tcPr>
                <w:p w14:paraId="09F9D606">
                  <w:pPr>
                    <w:widowControl/>
                    <w:jc w:val="center"/>
                    <w:textAlignment w:val="center"/>
                    <w:rPr>
                      <w:color w:val="FF0000"/>
                    </w:rPr>
                  </w:pPr>
                  <w:r>
                    <w:rPr>
                      <w:rFonts w:hint="eastAsia"/>
                      <w:color w:val="FF0000"/>
                    </w:rPr>
                    <w:t>颗粒物</w:t>
                  </w:r>
                </w:p>
              </w:tc>
              <w:tc>
                <w:tcPr>
                  <w:tcW w:w="911" w:type="dxa"/>
                  <w:vAlign w:val="center"/>
                </w:tcPr>
                <w:p w14:paraId="19FC780D">
                  <w:pPr>
                    <w:widowControl/>
                    <w:jc w:val="center"/>
                    <w:textAlignment w:val="center"/>
                    <w:rPr>
                      <w:color w:val="FF0000"/>
                      <w:kern w:val="0"/>
                      <w:szCs w:val="21"/>
                      <w:lang w:bidi="ar"/>
                    </w:rPr>
                  </w:pPr>
                  <w:r>
                    <w:rPr>
                      <w:rFonts w:hint="eastAsia"/>
                      <w:color w:val="FF0000"/>
                      <w:kern w:val="0"/>
                      <w:szCs w:val="21"/>
                      <w:lang w:bidi="ar"/>
                    </w:rPr>
                    <w:t>0.011</w:t>
                  </w:r>
                </w:p>
              </w:tc>
            </w:tr>
          </w:tbl>
          <w:p w14:paraId="37100259">
            <w:pPr>
              <w:pStyle w:val="85"/>
              <w:ind w:firstLine="480"/>
              <w:rPr>
                <w:color w:val="FF0000"/>
                <w:lang w:val="en-US"/>
              </w:rPr>
            </w:pPr>
            <w:r>
              <w:rPr>
                <w:color w:val="FF0000"/>
                <w:lang w:val="en-US"/>
              </w:rPr>
              <w:t>采用《环境影响评价技术导则 大气环境》（HJ2.2-2018）附录A推荐模型中AERSCREEN 模式对无组织废气厂界达标排放情况进行估算，污染物达标排放情况如下。</w:t>
            </w:r>
          </w:p>
          <w:p w14:paraId="22164993">
            <w:pPr>
              <w:pStyle w:val="85"/>
              <w:adjustRightInd/>
              <w:snapToGrid/>
              <w:spacing w:line="240" w:lineRule="auto"/>
              <w:ind w:firstLine="0" w:firstLineChars="0"/>
              <w:jc w:val="center"/>
              <w:rPr>
                <w:b/>
                <w:bCs/>
                <w:color w:val="FF0000"/>
                <w:sz w:val="21"/>
                <w:szCs w:val="16"/>
                <w:lang w:val="en-US"/>
              </w:rPr>
            </w:pPr>
            <w:r>
              <w:rPr>
                <w:b/>
                <w:bCs/>
                <w:color w:val="FF0000"/>
                <w:sz w:val="21"/>
                <w:szCs w:val="16"/>
                <w:lang w:val="en-US"/>
              </w:rPr>
              <w:t>表4-4   本项目无组织排放预测结果</w:t>
            </w:r>
          </w:p>
          <w:tbl>
            <w:tblPr>
              <w:tblStyle w:val="150"/>
              <w:tblW w:w="4999"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1717"/>
              <w:gridCol w:w="2672"/>
              <w:gridCol w:w="1963"/>
              <w:gridCol w:w="1953"/>
            </w:tblGrid>
            <w:tr w14:paraId="0AD46DA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033" w:type="pct"/>
                  <w:tcBorders>
                    <w:tl2br w:val="nil"/>
                    <w:tr2bl w:val="nil"/>
                  </w:tcBorders>
                  <w:vAlign w:val="center"/>
                </w:tcPr>
                <w:p w14:paraId="12BB9677">
                  <w:pPr>
                    <w:widowControl/>
                    <w:ind w:left="-105" w:leftChars="-50" w:right="-105" w:rightChars="-50"/>
                    <w:jc w:val="center"/>
                    <w:textAlignment w:val="center"/>
                    <w:rPr>
                      <w:color w:val="FF0000"/>
                      <w:szCs w:val="21"/>
                    </w:rPr>
                  </w:pPr>
                  <w:r>
                    <w:rPr>
                      <w:color w:val="FF0000"/>
                      <w:szCs w:val="21"/>
                    </w:rPr>
                    <w:t>污染物</w:t>
                  </w:r>
                </w:p>
              </w:tc>
              <w:tc>
                <w:tcPr>
                  <w:tcW w:w="1607" w:type="pct"/>
                  <w:tcBorders>
                    <w:tl2br w:val="nil"/>
                    <w:tr2bl w:val="nil"/>
                  </w:tcBorders>
                  <w:vAlign w:val="center"/>
                </w:tcPr>
                <w:p w14:paraId="0218AE44">
                  <w:pPr>
                    <w:widowControl/>
                    <w:ind w:left="-105" w:leftChars="-50" w:right="-105" w:rightChars="-50"/>
                    <w:jc w:val="center"/>
                    <w:textAlignment w:val="center"/>
                    <w:rPr>
                      <w:color w:val="FF0000"/>
                      <w:szCs w:val="21"/>
                    </w:rPr>
                  </w:pPr>
                  <w:r>
                    <w:rPr>
                      <w:color w:val="FF0000"/>
                      <w:szCs w:val="21"/>
                    </w:rPr>
                    <w:t>厂界最大落地浓度mg/m</w:t>
                  </w:r>
                  <w:r>
                    <w:rPr>
                      <w:color w:val="FF0000"/>
                      <w:szCs w:val="21"/>
                      <w:vertAlign w:val="superscript"/>
                    </w:rPr>
                    <w:t>3</w:t>
                  </w:r>
                </w:p>
              </w:tc>
              <w:tc>
                <w:tcPr>
                  <w:tcW w:w="1182" w:type="pct"/>
                  <w:tcBorders>
                    <w:tl2br w:val="nil"/>
                    <w:tr2bl w:val="nil"/>
                  </w:tcBorders>
                  <w:vAlign w:val="center"/>
                </w:tcPr>
                <w:p w14:paraId="19B88DC8">
                  <w:pPr>
                    <w:widowControl/>
                    <w:ind w:left="-105" w:leftChars="-50" w:right="-105" w:rightChars="-50"/>
                    <w:jc w:val="center"/>
                    <w:textAlignment w:val="center"/>
                    <w:rPr>
                      <w:color w:val="FF0000"/>
                      <w:szCs w:val="21"/>
                    </w:rPr>
                  </w:pPr>
                  <w:r>
                    <w:rPr>
                      <w:color w:val="FF0000"/>
                      <w:szCs w:val="21"/>
                    </w:rPr>
                    <w:t>标准浓度mg/m</w:t>
                  </w:r>
                  <w:r>
                    <w:rPr>
                      <w:color w:val="FF0000"/>
                      <w:szCs w:val="21"/>
                      <w:vertAlign w:val="superscript"/>
                    </w:rPr>
                    <w:t>3</w:t>
                  </w:r>
                </w:p>
              </w:tc>
              <w:tc>
                <w:tcPr>
                  <w:tcW w:w="1176" w:type="pct"/>
                  <w:tcBorders>
                    <w:tl2br w:val="nil"/>
                    <w:tr2bl w:val="nil"/>
                  </w:tcBorders>
                  <w:vAlign w:val="center"/>
                </w:tcPr>
                <w:p w14:paraId="28770F1C">
                  <w:pPr>
                    <w:widowControl/>
                    <w:ind w:left="-105" w:leftChars="-50" w:right="-105" w:rightChars="-50"/>
                    <w:jc w:val="center"/>
                    <w:textAlignment w:val="center"/>
                    <w:rPr>
                      <w:color w:val="FF0000"/>
                      <w:szCs w:val="21"/>
                    </w:rPr>
                  </w:pPr>
                  <w:r>
                    <w:rPr>
                      <w:color w:val="FF0000"/>
                      <w:szCs w:val="21"/>
                    </w:rPr>
                    <w:t>达标情况</w:t>
                  </w:r>
                </w:p>
              </w:tc>
            </w:tr>
            <w:tr w14:paraId="62E5E83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033" w:type="pct"/>
                  <w:tcBorders>
                    <w:tl2br w:val="nil"/>
                    <w:tr2bl w:val="nil"/>
                  </w:tcBorders>
                  <w:vAlign w:val="center"/>
                </w:tcPr>
                <w:p w14:paraId="0BF0C346">
                  <w:pPr>
                    <w:widowControl/>
                    <w:ind w:left="-105" w:leftChars="-50" w:right="-105" w:rightChars="-50"/>
                    <w:jc w:val="center"/>
                    <w:textAlignment w:val="center"/>
                    <w:rPr>
                      <w:color w:val="FF0000"/>
                      <w:szCs w:val="21"/>
                    </w:rPr>
                  </w:pPr>
                  <w:r>
                    <w:rPr>
                      <w:color w:val="FF0000"/>
                      <w:szCs w:val="21"/>
                    </w:rPr>
                    <w:t>颗粒物</w:t>
                  </w:r>
                </w:p>
              </w:tc>
              <w:tc>
                <w:tcPr>
                  <w:tcW w:w="1607" w:type="pct"/>
                  <w:tcBorders>
                    <w:tl2br w:val="nil"/>
                    <w:tr2bl w:val="nil"/>
                  </w:tcBorders>
                  <w:vAlign w:val="center"/>
                </w:tcPr>
                <w:p w14:paraId="0DC32EFA">
                  <w:pPr>
                    <w:widowControl/>
                    <w:ind w:left="-105" w:leftChars="-50" w:right="-105" w:rightChars="-50"/>
                    <w:jc w:val="center"/>
                    <w:textAlignment w:val="center"/>
                    <w:rPr>
                      <w:color w:val="FF0000"/>
                      <w:szCs w:val="21"/>
                    </w:rPr>
                  </w:pPr>
                  <w:r>
                    <w:rPr>
                      <w:color w:val="FF0000"/>
                      <w:szCs w:val="21"/>
                    </w:rPr>
                    <w:t>0.0001</w:t>
                  </w:r>
                  <w:r>
                    <w:rPr>
                      <w:rFonts w:hint="eastAsia"/>
                      <w:color w:val="FF0000"/>
                      <w:szCs w:val="21"/>
                    </w:rPr>
                    <w:t>08</w:t>
                  </w:r>
                </w:p>
              </w:tc>
              <w:tc>
                <w:tcPr>
                  <w:tcW w:w="1182" w:type="pct"/>
                  <w:tcBorders>
                    <w:tl2br w:val="nil"/>
                    <w:tr2bl w:val="nil"/>
                  </w:tcBorders>
                  <w:vAlign w:val="center"/>
                </w:tcPr>
                <w:p w14:paraId="7F4FB983">
                  <w:pPr>
                    <w:widowControl/>
                    <w:ind w:left="-105" w:leftChars="-50" w:right="-105" w:rightChars="-50"/>
                    <w:jc w:val="center"/>
                    <w:textAlignment w:val="center"/>
                    <w:rPr>
                      <w:color w:val="FF0000"/>
                      <w:szCs w:val="21"/>
                    </w:rPr>
                  </w:pPr>
                  <w:r>
                    <w:rPr>
                      <w:color w:val="FF0000"/>
                      <w:szCs w:val="21"/>
                    </w:rPr>
                    <w:t>1.0</w:t>
                  </w:r>
                </w:p>
              </w:tc>
              <w:tc>
                <w:tcPr>
                  <w:tcW w:w="1176" w:type="pct"/>
                  <w:tcBorders>
                    <w:tl2br w:val="nil"/>
                    <w:tr2bl w:val="nil"/>
                  </w:tcBorders>
                  <w:vAlign w:val="center"/>
                </w:tcPr>
                <w:p w14:paraId="014580A3">
                  <w:pPr>
                    <w:widowControl/>
                    <w:ind w:left="-105" w:leftChars="-50" w:right="-105" w:rightChars="-50"/>
                    <w:jc w:val="center"/>
                    <w:textAlignment w:val="center"/>
                    <w:rPr>
                      <w:color w:val="FF0000"/>
                      <w:szCs w:val="21"/>
                    </w:rPr>
                  </w:pPr>
                  <w:r>
                    <w:rPr>
                      <w:color w:val="FF0000"/>
                      <w:szCs w:val="21"/>
                    </w:rPr>
                    <w:t>达标</w:t>
                  </w:r>
                </w:p>
              </w:tc>
            </w:tr>
          </w:tbl>
          <w:p w14:paraId="4EF8DEB9">
            <w:pPr>
              <w:topLinePunct/>
              <w:spacing w:line="360" w:lineRule="auto"/>
              <w:ind w:firstLine="480" w:firstLineChars="200"/>
              <w:rPr>
                <w:color w:val="FF0000"/>
              </w:rPr>
            </w:pPr>
            <w:r>
              <w:rPr>
                <w:color w:val="FF0000"/>
                <w:sz w:val="24"/>
              </w:rPr>
              <w:t>根据预测结果，本项目无组织颗粒物厂界最大落地浓度为</w:t>
            </w:r>
            <w:bookmarkStart w:id="20" w:name="OLE_LINK127"/>
            <w:r>
              <w:rPr>
                <w:color w:val="FF0000"/>
                <w:sz w:val="24"/>
              </w:rPr>
              <w:t>0.0001</w:t>
            </w:r>
            <w:r>
              <w:rPr>
                <w:rFonts w:hint="eastAsia"/>
                <w:color w:val="FF0000"/>
                <w:sz w:val="24"/>
              </w:rPr>
              <w:t>28</w:t>
            </w:r>
            <w:r>
              <w:rPr>
                <w:color w:val="FF0000"/>
                <w:sz w:val="24"/>
              </w:rPr>
              <w:t>mg/m</w:t>
            </w:r>
            <w:r>
              <w:rPr>
                <w:color w:val="FF0000"/>
                <w:sz w:val="24"/>
                <w:vertAlign w:val="superscript"/>
              </w:rPr>
              <w:t>3</w:t>
            </w:r>
            <w:bookmarkEnd w:id="20"/>
            <w:r>
              <w:rPr>
                <w:color w:val="FF0000"/>
                <w:sz w:val="24"/>
              </w:rPr>
              <w:t>，满足《大气污染物综合排放标准》（GB16297-1996）中表2无组织排放监控浓度限值（颗粒物周界外浓度最高点1.0mg/m</w:t>
            </w:r>
            <w:r>
              <w:rPr>
                <w:color w:val="FF0000"/>
                <w:sz w:val="24"/>
                <w:vertAlign w:val="superscript"/>
              </w:rPr>
              <w:t>3</w:t>
            </w:r>
            <w:r>
              <w:rPr>
                <w:color w:val="FF0000"/>
                <w:sz w:val="24"/>
              </w:rPr>
              <w:t>）。</w:t>
            </w:r>
          </w:p>
          <w:p w14:paraId="3A4EFE51">
            <w:pPr>
              <w:topLinePunct/>
              <w:spacing w:line="360" w:lineRule="auto"/>
              <w:ind w:firstLine="480" w:firstLineChars="200"/>
              <w:rPr>
                <w:color w:val="FF0000"/>
                <w:sz w:val="24"/>
                <w:szCs w:val="32"/>
              </w:rPr>
            </w:pPr>
            <w:r>
              <w:rPr>
                <w:rFonts w:hint="eastAsia"/>
                <w:color w:val="FF0000"/>
                <w:sz w:val="24"/>
                <w:szCs w:val="32"/>
              </w:rPr>
              <w:t>本项目污染物排放量核算情况见下表。</w:t>
            </w:r>
          </w:p>
          <w:p w14:paraId="4726E1ED">
            <w:pPr>
              <w:topLinePunct/>
              <w:jc w:val="center"/>
              <w:rPr>
                <w:b/>
                <w:bCs/>
                <w:color w:val="FF0000"/>
              </w:rPr>
            </w:pPr>
            <w:r>
              <w:rPr>
                <w:rFonts w:hint="eastAsia"/>
                <w:b/>
                <w:bCs/>
                <w:color w:val="FF0000"/>
              </w:rPr>
              <w:t>表4-5 污染物排放量情况表</w:t>
            </w:r>
          </w:p>
          <w:tbl>
            <w:tblPr>
              <w:tblStyle w:val="32"/>
              <w:tblW w:w="4999"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2077"/>
              <w:gridCol w:w="2076"/>
              <w:gridCol w:w="2076"/>
            </w:tblGrid>
            <w:tr w14:paraId="0D0B2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9" w:type="pct"/>
                  <w:tcBorders>
                    <w:tl2br w:val="nil"/>
                    <w:tr2bl w:val="nil"/>
                  </w:tcBorders>
                  <w:shd w:val="clear" w:color="auto" w:fill="auto"/>
                  <w:vAlign w:val="center"/>
                </w:tcPr>
                <w:p w14:paraId="54731BFD">
                  <w:pPr>
                    <w:topLinePunct/>
                    <w:jc w:val="center"/>
                    <w:rPr>
                      <w:color w:val="FF0000"/>
                      <w:szCs w:val="21"/>
                    </w:rPr>
                  </w:pPr>
                  <w:r>
                    <w:rPr>
                      <w:rFonts w:hint="eastAsia"/>
                      <w:color w:val="FF0000"/>
                      <w:szCs w:val="21"/>
                    </w:rPr>
                    <w:t>污染物名称</w:t>
                  </w:r>
                </w:p>
              </w:tc>
              <w:tc>
                <w:tcPr>
                  <w:tcW w:w="1250" w:type="pct"/>
                  <w:tcBorders>
                    <w:tl2br w:val="nil"/>
                    <w:tr2bl w:val="nil"/>
                  </w:tcBorders>
                  <w:shd w:val="clear" w:color="auto" w:fill="auto"/>
                  <w:vAlign w:val="center"/>
                </w:tcPr>
                <w:p w14:paraId="75A0E726">
                  <w:pPr>
                    <w:topLinePunct/>
                    <w:jc w:val="center"/>
                    <w:rPr>
                      <w:color w:val="FF0000"/>
                      <w:szCs w:val="21"/>
                    </w:rPr>
                  </w:pPr>
                  <w:r>
                    <w:rPr>
                      <w:rFonts w:hint="eastAsia"/>
                      <w:color w:val="FF0000"/>
                      <w:szCs w:val="21"/>
                    </w:rPr>
                    <w:t>有组织排放量t/a</w:t>
                  </w:r>
                </w:p>
              </w:tc>
              <w:tc>
                <w:tcPr>
                  <w:tcW w:w="1250" w:type="pct"/>
                  <w:tcBorders>
                    <w:tl2br w:val="nil"/>
                    <w:tr2bl w:val="nil"/>
                  </w:tcBorders>
                  <w:shd w:val="clear" w:color="auto" w:fill="auto"/>
                  <w:vAlign w:val="center"/>
                </w:tcPr>
                <w:p w14:paraId="67246A4D">
                  <w:pPr>
                    <w:topLinePunct/>
                    <w:jc w:val="center"/>
                    <w:rPr>
                      <w:color w:val="FF0000"/>
                      <w:szCs w:val="21"/>
                    </w:rPr>
                  </w:pPr>
                  <w:r>
                    <w:rPr>
                      <w:rFonts w:hint="eastAsia"/>
                      <w:color w:val="FF0000"/>
                      <w:szCs w:val="21"/>
                    </w:rPr>
                    <w:t>无组织排放量t/a</w:t>
                  </w:r>
                </w:p>
              </w:tc>
              <w:tc>
                <w:tcPr>
                  <w:tcW w:w="1250" w:type="pct"/>
                  <w:tcBorders>
                    <w:tl2br w:val="nil"/>
                    <w:tr2bl w:val="nil"/>
                  </w:tcBorders>
                  <w:vAlign w:val="center"/>
                </w:tcPr>
                <w:p w14:paraId="14A445B3">
                  <w:pPr>
                    <w:topLinePunct/>
                    <w:jc w:val="center"/>
                    <w:rPr>
                      <w:color w:val="FF0000"/>
                      <w:szCs w:val="21"/>
                    </w:rPr>
                  </w:pPr>
                  <w:r>
                    <w:rPr>
                      <w:rFonts w:hint="eastAsia"/>
                      <w:color w:val="FF0000"/>
                      <w:szCs w:val="21"/>
                    </w:rPr>
                    <w:t>合计t/a</w:t>
                  </w:r>
                </w:p>
              </w:tc>
            </w:tr>
            <w:tr w14:paraId="58C65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9" w:type="pct"/>
                  <w:tcBorders>
                    <w:tl2br w:val="nil"/>
                    <w:tr2bl w:val="nil"/>
                  </w:tcBorders>
                  <w:shd w:val="clear" w:color="auto" w:fill="auto"/>
                  <w:vAlign w:val="center"/>
                </w:tcPr>
                <w:p w14:paraId="324AB796">
                  <w:pPr>
                    <w:topLinePunct/>
                    <w:jc w:val="center"/>
                    <w:rPr>
                      <w:color w:val="FF0000"/>
                      <w:szCs w:val="21"/>
                    </w:rPr>
                  </w:pPr>
                  <w:r>
                    <w:rPr>
                      <w:rFonts w:hint="eastAsia"/>
                      <w:color w:val="FF0000"/>
                      <w:szCs w:val="21"/>
                    </w:rPr>
                    <w:t>颗粒物</w:t>
                  </w:r>
                </w:p>
              </w:tc>
              <w:tc>
                <w:tcPr>
                  <w:tcW w:w="1250" w:type="pct"/>
                  <w:tcBorders>
                    <w:tl2br w:val="nil"/>
                    <w:tr2bl w:val="nil"/>
                  </w:tcBorders>
                  <w:shd w:val="clear" w:color="auto" w:fill="auto"/>
                  <w:vAlign w:val="center"/>
                </w:tcPr>
                <w:p w14:paraId="7A26532B">
                  <w:pPr>
                    <w:widowControl/>
                    <w:jc w:val="center"/>
                    <w:textAlignment w:val="center"/>
                    <w:rPr>
                      <w:color w:val="FF0000"/>
                      <w:szCs w:val="21"/>
                    </w:rPr>
                  </w:pPr>
                  <w:r>
                    <w:rPr>
                      <w:rFonts w:eastAsia="等线"/>
                      <w:color w:val="FF0000"/>
                      <w:kern w:val="0"/>
                      <w:szCs w:val="21"/>
                      <w:lang w:bidi="ar"/>
                    </w:rPr>
                    <w:t>0.127</w:t>
                  </w:r>
                </w:p>
              </w:tc>
              <w:tc>
                <w:tcPr>
                  <w:tcW w:w="1250" w:type="pct"/>
                  <w:tcBorders>
                    <w:tl2br w:val="nil"/>
                    <w:tr2bl w:val="nil"/>
                  </w:tcBorders>
                  <w:shd w:val="clear" w:color="auto" w:fill="auto"/>
                  <w:vAlign w:val="center"/>
                </w:tcPr>
                <w:p w14:paraId="0AE2ED3A">
                  <w:pPr>
                    <w:topLinePunct/>
                    <w:jc w:val="center"/>
                    <w:rPr>
                      <w:color w:val="FF0000"/>
                      <w:szCs w:val="21"/>
                    </w:rPr>
                  </w:pPr>
                  <w:r>
                    <w:rPr>
                      <w:rFonts w:hint="eastAsia"/>
                      <w:color w:val="FF0000"/>
                      <w:szCs w:val="21"/>
                    </w:rPr>
                    <w:t>0.0124</w:t>
                  </w:r>
                </w:p>
              </w:tc>
              <w:tc>
                <w:tcPr>
                  <w:tcW w:w="1250" w:type="pct"/>
                  <w:tcBorders>
                    <w:tl2br w:val="nil"/>
                    <w:tr2bl w:val="nil"/>
                  </w:tcBorders>
                  <w:vAlign w:val="center"/>
                </w:tcPr>
                <w:p w14:paraId="733A1189">
                  <w:pPr>
                    <w:topLinePunct/>
                    <w:jc w:val="center"/>
                    <w:rPr>
                      <w:color w:val="FF0000"/>
                      <w:szCs w:val="21"/>
                    </w:rPr>
                  </w:pPr>
                  <w:r>
                    <w:rPr>
                      <w:rFonts w:hint="eastAsia"/>
                      <w:color w:val="FF0000"/>
                      <w:szCs w:val="21"/>
                    </w:rPr>
                    <w:t>0.1394</w:t>
                  </w:r>
                </w:p>
              </w:tc>
            </w:tr>
            <w:tr w14:paraId="24841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9" w:type="pct"/>
                  <w:tcBorders>
                    <w:tl2br w:val="nil"/>
                    <w:tr2bl w:val="nil"/>
                  </w:tcBorders>
                  <w:shd w:val="clear" w:color="auto" w:fill="auto"/>
                  <w:vAlign w:val="center"/>
                </w:tcPr>
                <w:p w14:paraId="345536C3">
                  <w:pPr>
                    <w:topLinePunct/>
                    <w:jc w:val="center"/>
                    <w:rPr>
                      <w:color w:val="FF0000"/>
                      <w:szCs w:val="21"/>
                    </w:rPr>
                  </w:pPr>
                  <w:r>
                    <w:rPr>
                      <w:rFonts w:hint="eastAsia"/>
                      <w:color w:val="FF0000"/>
                      <w:szCs w:val="21"/>
                    </w:rPr>
                    <w:t>二氧化硫</w:t>
                  </w:r>
                </w:p>
              </w:tc>
              <w:tc>
                <w:tcPr>
                  <w:tcW w:w="1250" w:type="pct"/>
                  <w:tcBorders>
                    <w:tl2br w:val="nil"/>
                    <w:tr2bl w:val="nil"/>
                  </w:tcBorders>
                  <w:shd w:val="clear" w:color="auto" w:fill="auto"/>
                  <w:vAlign w:val="center"/>
                </w:tcPr>
                <w:p w14:paraId="5A6C1D8C">
                  <w:pPr>
                    <w:widowControl/>
                    <w:jc w:val="center"/>
                    <w:textAlignment w:val="center"/>
                    <w:rPr>
                      <w:color w:val="FF0000"/>
                      <w:szCs w:val="21"/>
                    </w:rPr>
                  </w:pPr>
                  <w:r>
                    <w:rPr>
                      <w:rFonts w:eastAsia="等线"/>
                      <w:color w:val="FF0000"/>
                      <w:kern w:val="0"/>
                      <w:szCs w:val="21"/>
                      <w:lang w:bidi="ar"/>
                    </w:rPr>
                    <w:t>0.050</w:t>
                  </w:r>
                </w:p>
              </w:tc>
              <w:tc>
                <w:tcPr>
                  <w:tcW w:w="1250" w:type="pct"/>
                  <w:tcBorders>
                    <w:tl2br w:val="nil"/>
                    <w:tr2bl w:val="nil"/>
                  </w:tcBorders>
                  <w:shd w:val="clear" w:color="auto" w:fill="auto"/>
                  <w:vAlign w:val="center"/>
                </w:tcPr>
                <w:p w14:paraId="7534CCC1">
                  <w:pPr>
                    <w:topLinePunct/>
                    <w:jc w:val="center"/>
                    <w:rPr>
                      <w:color w:val="FF0000"/>
                      <w:szCs w:val="21"/>
                    </w:rPr>
                  </w:pPr>
                  <w:r>
                    <w:rPr>
                      <w:rFonts w:hint="eastAsia"/>
                      <w:color w:val="FF0000"/>
                      <w:szCs w:val="21"/>
                    </w:rPr>
                    <w:t>0</w:t>
                  </w:r>
                </w:p>
              </w:tc>
              <w:tc>
                <w:tcPr>
                  <w:tcW w:w="1250" w:type="pct"/>
                  <w:tcBorders>
                    <w:tl2br w:val="nil"/>
                    <w:tr2bl w:val="nil"/>
                  </w:tcBorders>
                  <w:vAlign w:val="center"/>
                </w:tcPr>
                <w:p w14:paraId="082E5066">
                  <w:pPr>
                    <w:topLinePunct/>
                    <w:jc w:val="center"/>
                    <w:rPr>
                      <w:color w:val="FF0000"/>
                      <w:szCs w:val="21"/>
                    </w:rPr>
                  </w:pPr>
                  <w:r>
                    <w:rPr>
                      <w:rFonts w:hint="eastAsia"/>
                      <w:color w:val="FF0000"/>
                      <w:szCs w:val="21"/>
                    </w:rPr>
                    <w:t>0.05</w:t>
                  </w:r>
                </w:p>
              </w:tc>
            </w:tr>
            <w:tr w14:paraId="10E130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9" w:type="pct"/>
                  <w:tcBorders>
                    <w:tl2br w:val="nil"/>
                    <w:tr2bl w:val="nil"/>
                  </w:tcBorders>
                  <w:shd w:val="clear" w:color="auto" w:fill="auto"/>
                  <w:vAlign w:val="center"/>
                </w:tcPr>
                <w:p w14:paraId="530BCEB1">
                  <w:pPr>
                    <w:topLinePunct/>
                    <w:jc w:val="center"/>
                    <w:rPr>
                      <w:color w:val="FF0000"/>
                      <w:szCs w:val="21"/>
                    </w:rPr>
                  </w:pPr>
                  <w:r>
                    <w:rPr>
                      <w:rFonts w:hint="eastAsia"/>
                      <w:color w:val="FF0000"/>
                      <w:szCs w:val="21"/>
                    </w:rPr>
                    <w:t>氮氧化物</w:t>
                  </w:r>
                </w:p>
              </w:tc>
              <w:tc>
                <w:tcPr>
                  <w:tcW w:w="1250" w:type="pct"/>
                  <w:tcBorders>
                    <w:tl2br w:val="nil"/>
                    <w:tr2bl w:val="nil"/>
                  </w:tcBorders>
                  <w:shd w:val="clear" w:color="auto" w:fill="auto"/>
                  <w:vAlign w:val="center"/>
                </w:tcPr>
                <w:p w14:paraId="0A131D54">
                  <w:pPr>
                    <w:widowControl/>
                    <w:jc w:val="center"/>
                    <w:textAlignment w:val="center"/>
                    <w:rPr>
                      <w:color w:val="FF0000"/>
                      <w:szCs w:val="21"/>
                    </w:rPr>
                  </w:pPr>
                  <w:r>
                    <w:rPr>
                      <w:rFonts w:eastAsia="等线"/>
                      <w:color w:val="FF0000"/>
                      <w:kern w:val="0"/>
                      <w:szCs w:val="21"/>
                      <w:lang w:bidi="ar"/>
                    </w:rPr>
                    <w:t>0.45</w:t>
                  </w:r>
                  <w:r>
                    <w:rPr>
                      <w:rFonts w:hint="eastAsia" w:eastAsia="等线"/>
                      <w:color w:val="FF0000"/>
                      <w:kern w:val="0"/>
                      <w:szCs w:val="21"/>
                      <w:lang w:bidi="ar"/>
                    </w:rPr>
                    <w:t>7</w:t>
                  </w:r>
                </w:p>
              </w:tc>
              <w:tc>
                <w:tcPr>
                  <w:tcW w:w="1250" w:type="pct"/>
                  <w:tcBorders>
                    <w:tl2br w:val="nil"/>
                    <w:tr2bl w:val="nil"/>
                  </w:tcBorders>
                  <w:shd w:val="clear" w:color="auto" w:fill="auto"/>
                  <w:vAlign w:val="center"/>
                </w:tcPr>
                <w:p w14:paraId="66667B1B">
                  <w:pPr>
                    <w:topLinePunct/>
                    <w:jc w:val="center"/>
                    <w:rPr>
                      <w:color w:val="FF0000"/>
                      <w:szCs w:val="21"/>
                    </w:rPr>
                  </w:pPr>
                  <w:r>
                    <w:rPr>
                      <w:rFonts w:hint="eastAsia"/>
                      <w:color w:val="FF0000"/>
                      <w:szCs w:val="21"/>
                    </w:rPr>
                    <w:t>0</w:t>
                  </w:r>
                </w:p>
              </w:tc>
              <w:tc>
                <w:tcPr>
                  <w:tcW w:w="1250" w:type="pct"/>
                  <w:tcBorders>
                    <w:tl2br w:val="nil"/>
                    <w:tr2bl w:val="nil"/>
                  </w:tcBorders>
                  <w:vAlign w:val="center"/>
                </w:tcPr>
                <w:p w14:paraId="7697ED8F">
                  <w:pPr>
                    <w:topLinePunct/>
                    <w:jc w:val="center"/>
                    <w:rPr>
                      <w:color w:val="FF0000"/>
                      <w:szCs w:val="21"/>
                    </w:rPr>
                  </w:pPr>
                  <w:r>
                    <w:rPr>
                      <w:rFonts w:hint="eastAsia"/>
                      <w:color w:val="FF0000"/>
                      <w:szCs w:val="21"/>
                    </w:rPr>
                    <w:t>0.457</w:t>
                  </w:r>
                </w:p>
              </w:tc>
            </w:tr>
          </w:tbl>
          <w:p w14:paraId="348094FD">
            <w:pPr>
              <w:topLinePunct/>
              <w:spacing w:before="120" w:beforeLines="50" w:line="360" w:lineRule="auto"/>
              <w:ind w:firstLine="480" w:firstLineChars="200"/>
              <w:rPr>
                <w:color w:val="FF0000"/>
                <w:sz w:val="24"/>
                <w:szCs w:val="32"/>
              </w:rPr>
            </w:pPr>
            <w:r>
              <w:rPr>
                <w:rFonts w:hint="eastAsia"/>
                <w:color w:val="FF0000"/>
                <w:sz w:val="24"/>
                <w:szCs w:val="32"/>
              </w:rPr>
              <w:t>综上，本项目污染物排放量为颗粒物0.1394t/a、二氧化硫0.05t/a、氮氧化物0.457t/a。</w:t>
            </w:r>
          </w:p>
          <w:p w14:paraId="103A8932">
            <w:pPr>
              <w:pStyle w:val="4"/>
              <w:numPr>
                <w:ilvl w:val="0"/>
                <w:numId w:val="0"/>
              </w:numPr>
              <w:tabs>
                <w:tab w:val="clear" w:pos="720"/>
              </w:tabs>
              <w:spacing w:before="0" w:after="0" w:line="360" w:lineRule="auto"/>
              <w:rPr>
                <w:color w:val="000000" w:themeColor="text1"/>
                <w14:textFill>
                  <w14:solidFill>
                    <w14:schemeClr w14:val="tx1"/>
                  </w14:solidFill>
                </w14:textFill>
              </w:rPr>
            </w:pPr>
            <w:r>
              <w:rPr>
                <w:rFonts w:eastAsia="宋体"/>
                <w:b/>
                <w:bCs w:val="0"/>
                <w:color w:val="000000" w:themeColor="text1"/>
                <w:sz w:val="24"/>
                <w:szCs w:val="28"/>
                <w14:textFill>
                  <w14:solidFill>
                    <w14:schemeClr w14:val="tx1"/>
                  </w14:solidFill>
                </w14:textFill>
              </w:rPr>
              <w:t>1.2、废气污染治理措施可行性分析</w:t>
            </w:r>
          </w:p>
          <w:p w14:paraId="722B6BA9">
            <w:pPr>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本项目蒸汽发生器废气主要是燃烧生物质产生的颗粒物、SO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及NOx。根据《排污许可证申请与核发技术规范 锅炉》（HJ953</w:t>
            </w:r>
            <w:r>
              <w:rPr>
                <w:rFonts w:hint="eastAsia"/>
                <w:color w:val="000000" w:themeColor="text1"/>
                <w:sz w:val="24"/>
                <w14:textFill>
                  <w14:solidFill>
                    <w14:schemeClr w14:val="tx1"/>
                  </w14:solidFill>
                </w14:textFill>
              </w:rPr>
              <w:t>.2-2026</w:t>
            </w:r>
            <w:r>
              <w:rPr>
                <w:color w:val="000000" w:themeColor="text1"/>
                <w:sz w:val="24"/>
                <w14:textFill>
                  <w14:solidFill>
                    <w14:schemeClr w14:val="tx1"/>
                  </w14:solidFill>
                </w14:textFill>
              </w:rPr>
              <w:t>）进行废气污染防治措施可行性论证。本项目生物质燃烧废气治理流程图详见下图。</w:t>
            </w:r>
          </w:p>
          <w:p w14:paraId="766AC708">
            <w:pPr>
              <w:adjustRightInd w:val="0"/>
              <w:snapToGrid w:val="0"/>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28" o:spt="75" type="#_x0000_t75" style="height:29.25pt;width:392.25pt;" o:ole="t" filled="f" o:preferrelative="t" stroked="f" coordsize="21600,21600">
                  <v:path/>
                  <v:fill on="f" focussize="0,0"/>
                  <v:stroke on="f" joinstyle="miter"/>
                  <v:imagedata r:id="rId23" o:title=""/>
                  <o:lock v:ext="edit" aspectratio="f"/>
                  <w10:wrap type="none"/>
                  <w10:anchorlock/>
                </v:shape>
                <o:OLEObject Type="Embed" ProgID="Visio.Drawing.11" ShapeID="_x0000_i1028" DrawAspect="Content" ObjectID="_1468075728" r:id="rId22">
                  <o:LockedField>false</o:LockedField>
                </o:OLEObject>
              </w:object>
            </w:r>
          </w:p>
          <w:p w14:paraId="7B8C6F13">
            <w:pPr>
              <w:adjustRightInd w:val="0"/>
              <w:snapToGrid w:val="0"/>
              <w:spacing w:line="360" w:lineRule="auto"/>
              <w:jc w:val="center"/>
              <w:rPr>
                <w:color w:val="000000" w:themeColor="text1"/>
                <w:sz w:val="24"/>
                <w14:textFill>
                  <w14:solidFill>
                    <w14:schemeClr w14:val="tx1"/>
                  </w14:solidFill>
                </w14:textFill>
              </w:rPr>
            </w:pPr>
            <w:r>
              <w:rPr>
                <w:b/>
                <w:bCs/>
                <w:color w:val="000000" w:themeColor="text1"/>
                <w:szCs w:val="21"/>
                <w14:textFill>
                  <w14:solidFill>
                    <w14:schemeClr w14:val="tx1"/>
                  </w14:solidFill>
                </w14:textFill>
              </w:rPr>
              <w:t>图4-1 废气治理工艺流程</w:t>
            </w:r>
          </w:p>
          <w:p w14:paraId="2581392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低氮燃烧技术原理：本项目低氮燃烧技术采用空气分级供给方式，一定比例的空气量使燃料先缺氧后富养条件下燃烧，避开因高温及过剩空气导致生成较多氮氧化物。炉膛温度控制在一定温度下，空气分成两段供给，燃料与空气混合燃烧，再在燃烧后期提供一部分燃尽风，使生物质燃料燃尽，有效减少热力型氮氧化物的生产。此外，燃料中的氮分解生成的大量中间产物相互复合抑制燃料型氮氧化物的形成。同时所有空气的4~6%作为中心风降低燃烧火焰中心的温度，以降低氮氧化物的排放。</w:t>
            </w:r>
          </w:p>
          <w:p w14:paraId="4F163E0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旋风除尘原理：利用旋转的含尘气体所产生的离心力，将粉尘从气流中分离出来。含尘气体由进风口进入除尘器，在挡板或导流叶片的作用下，气流由直线运动变为圆周运动。旋转气流的绝大部分沿器壁自圆筒体呈螺旋形向下、朝锥体流动，简称外旋气流。含尘气体在旋转过程中产生离心力，将密度远远大于气体的尘粒甩向器壁。尘粒在与器壁接触后，便失去惯性力而靠入口速度的动量和向下的重力沿壁面下落，进入集灰斗。旋转下降的外旋气流在到达圆锥体底部后，沿除尘器的轴心部位转而向上，形成上升的内旋气流，并由排气管排出。</w:t>
            </w:r>
          </w:p>
          <w:p w14:paraId="2FCEB2C6">
            <w:pPr>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布袋除尘原理：本项目选用布袋除尘工艺，含尘气体由灰斗上部进风口进入后，在挡板作用下，气流向上流动，流速降低，部分大颗粒烟尘由于惯性力的作用被分离出来落入灰斗。含尘气体进入中箱体经滤袋过滤净化，烟尘被阻留在滤袋的外表面，净化后的气体经滤袋口进入上箱体，由出风口排出。</w:t>
            </w:r>
          </w:p>
          <w:p w14:paraId="7B6B3DE9">
            <w:pPr>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本项目采取的废气处理技术属于各规范中的可行技术，具体如下表：</w:t>
            </w:r>
          </w:p>
          <w:p w14:paraId="0BFB8582">
            <w:pPr>
              <w:jc w:val="center"/>
              <w:rPr>
                <w:b/>
                <w:bCs/>
                <w:color w:val="000000" w:themeColor="text1"/>
                <w:szCs w:val="21"/>
                <w:lang w:val="zh-CN"/>
                <w14:textFill>
                  <w14:solidFill>
                    <w14:schemeClr w14:val="tx1"/>
                  </w14:solidFill>
                </w14:textFill>
              </w:rPr>
            </w:pPr>
            <w:r>
              <w:rPr>
                <w:b/>
                <w:bCs/>
                <w:color w:val="000000" w:themeColor="text1"/>
                <w:szCs w:val="21"/>
                <w14:textFill>
                  <w14:solidFill>
                    <w14:schemeClr w14:val="tx1"/>
                  </w14:solidFill>
                </w14:textFill>
              </w:rPr>
              <w:t xml:space="preserve">表4-5  </w:t>
            </w:r>
            <w:r>
              <w:rPr>
                <w:b/>
                <w:bCs/>
                <w:color w:val="000000" w:themeColor="text1"/>
                <w:szCs w:val="21"/>
                <w:lang w:val="zh-CN"/>
                <w14:textFill>
                  <w14:solidFill>
                    <w14:schemeClr w14:val="tx1"/>
                  </w14:solidFill>
                </w14:textFill>
              </w:rPr>
              <w:t>本项目废气处理技术情况</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30"/>
              <w:gridCol w:w="716"/>
              <w:gridCol w:w="1257"/>
              <w:gridCol w:w="1561"/>
              <w:gridCol w:w="3335"/>
              <w:gridCol w:w="605"/>
            </w:tblGrid>
            <w:tr w14:paraId="4295F1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9" w:type="pct"/>
                  <w:vMerge w:val="restart"/>
                  <w:tcBorders>
                    <w:tl2br w:val="nil"/>
                    <w:tr2bl w:val="nil"/>
                  </w:tcBorders>
                  <w:vAlign w:val="center"/>
                </w:tcPr>
                <w:p w14:paraId="54760CF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p w14:paraId="14BC783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w:t>
                  </w:r>
                </w:p>
              </w:tc>
              <w:tc>
                <w:tcPr>
                  <w:tcW w:w="431" w:type="pct"/>
                  <w:vMerge w:val="restart"/>
                  <w:tcBorders>
                    <w:tl2br w:val="nil"/>
                    <w:tr2bl w:val="nil"/>
                  </w:tcBorders>
                  <w:vAlign w:val="center"/>
                </w:tcPr>
                <w:p w14:paraId="0E76D85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w:t>
                  </w:r>
                </w:p>
                <w:p w14:paraId="6049228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因子</w:t>
                  </w:r>
                </w:p>
              </w:tc>
              <w:tc>
                <w:tcPr>
                  <w:tcW w:w="757" w:type="pct"/>
                  <w:vMerge w:val="restart"/>
                  <w:tcBorders>
                    <w:tl2br w:val="nil"/>
                    <w:tr2bl w:val="nil"/>
                  </w:tcBorders>
                  <w:vAlign w:val="center"/>
                </w:tcPr>
                <w:p w14:paraId="0CE775A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本项目采取</w:t>
                  </w:r>
                </w:p>
                <w:p w14:paraId="26DC8B3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的处理工艺</w:t>
                  </w:r>
                </w:p>
              </w:tc>
              <w:tc>
                <w:tcPr>
                  <w:tcW w:w="2947" w:type="pct"/>
                  <w:gridSpan w:val="2"/>
                  <w:tcBorders>
                    <w:tl2br w:val="nil"/>
                    <w:tr2bl w:val="nil"/>
                  </w:tcBorders>
                  <w:vAlign w:val="center"/>
                </w:tcPr>
                <w:p w14:paraId="151FF6E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技术规范</w:t>
                  </w:r>
                </w:p>
              </w:tc>
              <w:tc>
                <w:tcPr>
                  <w:tcW w:w="364" w:type="pct"/>
                  <w:vMerge w:val="restart"/>
                  <w:tcBorders>
                    <w:tl2br w:val="nil"/>
                    <w:tr2bl w:val="nil"/>
                  </w:tcBorders>
                  <w:vAlign w:val="center"/>
                </w:tcPr>
                <w:p w14:paraId="11F7186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w:t>
                  </w:r>
                </w:p>
                <w:p w14:paraId="3A2CD2A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B8CCC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9" w:type="pct"/>
                  <w:vMerge w:val="continue"/>
                  <w:tcBorders>
                    <w:tl2br w:val="nil"/>
                    <w:tr2bl w:val="nil"/>
                  </w:tcBorders>
                  <w:vAlign w:val="center"/>
                </w:tcPr>
                <w:p w14:paraId="2178AEB4">
                  <w:pPr>
                    <w:jc w:val="center"/>
                    <w:rPr>
                      <w:color w:val="000000" w:themeColor="text1"/>
                      <w:szCs w:val="21"/>
                      <w14:textFill>
                        <w14:solidFill>
                          <w14:schemeClr w14:val="tx1"/>
                        </w14:solidFill>
                      </w14:textFill>
                    </w:rPr>
                  </w:pPr>
                </w:p>
              </w:tc>
              <w:tc>
                <w:tcPr>
                  <w:tcW w:w="431" w:type="pct"/>
                  <w:vMerge w:val="continue"/>
                  <w:tcBorders>
                    <w:tl2br w:val="nil"/>
                    <w:tr2bl w:val="nil"/>
                  </w:tcBorders>
                  <w:vAlign w:val="center"/>
                </w:tcPr>
                <w:p w14:paraId="2603550D">
                  <w:pPr>
                    <w:jc w:val="center"/>
                    <w:rPr>
                      <w:color w:val="000000" w:themeColor="text1"/>
                      <w:szCs w:val="21"/>
                      <w14:textFill>
                        <w14:solidFill>
                          <w14:schemeClr w14:val="tx1"/>
                        </w14:solidFill>
                      </w14:textFill>
                    </w:rPr>
                  </w:pPr>
                </w:p>
              </w:tc>
              <w:tc>
                <w:tcPr>
                  <w:tcW w:w="757" w:type="pct"/>
                  <w:vMerge w:val="continue"/>
                  <w:tcBorders>
                    <w:tl2br w:val="nil"/>
                    <w:tr2bl w:val="nil"/>
                  </w:tcBorders>
                  <w:vAlign w:val="center"/>
                </w:tcPr>
                <w:p w14:paraId="000E2FEB">
                  <w:pPr>
                    <w:jc w:val="center"/>
                    <w:rPr>
                      <w:color w:val="000000" w:themeColor="text1"/>
                      <w:szCs w:val="21"/>
                      <w14:textFill>
                        <w14:solidFill>
                          <w14:schemeClr w14:val="tx1"/>
                        </w14:solidFill>
                      </w14:textFill>
                    </w:rPr>
                  </w:pPr>
                </w:p>
              </w:tc>
              <w:tc>
                <w:tcPr>
                  <w:tcW w:w="940" w:type="pct"/>
                  <w:tcBorders>
                    <w:tl2br w:val="nil"/>
                    <w:tr2bl w:val="nil"/>
                  </w:tcBorders>
                  <w:vAlign w:val="center"/>
                </w:tcPr>
                <w:p w14:paraId="2129ADE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w:t>
                  </w:r>
                </w:p>
              </w:tc>
              <w:tc>
                <w:tcPr>
                  <w:tcW w:w="2006" w:type="pct"/>
                  <w:tcBorders>
                    <w:tl2br w:val="nil"/>
                    <w:tr2bl w:val="nil"/>
                  </w:tcBorders>
                  <w:vAlign w:val="center"/>
                </w:tcPr>
                <w:p w14:paraId="6393E50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可行技术种类</w:t>
                  </w:r>
                </w:p>
              </w:tc>
              <w:tc>
                <w:tcPr>
                  <w:tcW w:w="364" w:type="pct"/>
                  <w:vMerge w:val="continue"/>
                  <w:tcBorders>
                    <w:tl2br w:val="nil"/>
                    <w:tr2bl w:val="nil"/>
                  </w:tcBorders>
                  <w:vAlign w:val="center"/>
                </w:tcPr>
                <w:p w14:paraId="64441639">
                  <w:pPr>
                    <w:jc w:val="center"/>
                    <w:rPr>
                      <w:color w:val="000000" w:themeColor="text1"/>
                      <w:szCs w:val="21"/>
                      <w14:textFill>
                        <w14:solidFill>
                          <w14:schemeClr w14:val="tx1"/>
                        </w14:solidFill>
                      </w14:textFill>
                    </w:rPr>
                  </w:pPr>
                </w:p>
              </w:tc>
            </w:tr>
            <w:tr w14:paraId="14321E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9" w:type="pct"/>
                  <w:vMerge w:val="restart"/>
                  <w:tcBorders>
                    <w:tl2br w:val="nil"/>
                    <w:tr2bl w:val="nil"/>
                  </w:tcBorders>
                  <w:vAlign w:val="center"/>
                </w:tcPr>
                <w:p w14:paraId="7225FD2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431" w:type="pct"/>
                  <w:tcBorders>
                    <w:tl2br w:val="nil"/>
                    <w:tr2bl w:val="nil"/>
                  </w:tcBorders>
                  <w:vAlign w:val="center"/>
                </w:tcPr>
                <w:p w14:paraId="7391D0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757" w:type="pct"/>
                  <w:tcBorders>
                    <w:tl2br w:val="nil"/>
                    <w:tr2bl w:val="nil"/>
                  </w:tcBorders>
                  <w:vAlign w:val="center"/>
                </w:tcPr>
                <w:p w14:paraId="2BB06B9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旋风+布袋除尘器</w:t>
                  </w:r>
                </w:p>
              </w:tc>
              <w:tc>
                <w:tcPr>
                  <w:tcW w:w="1553" w:type="dxa"/>
                  <w:vMerge w:val="restart"/>
                  <w:tcBorders>
                    <w:tl2br w:val="nil"/>
                    <w:tr2bl w:val="nil"/>
                  </w:tcBorders>
                  <w:vAlign w:val="center"/>
                </w:tcPr>
                <w:p w14:paraId="43B8E2A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《排污许可证申请与核发技术规范 锅炉》（HJ953.2-2026）</w:t>
                  </w:r>
                </w:p>
                <w:p w14:paraId="5B9337F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《工业锅炉污染防治可行技术指南》（HJ1178-2021）</w:t>
                  </w:r>
                </w:p>
              </w:tc>
              <w:tc>
                <w:tcPr>
                  <w:tcW w:w="3317" w:type="dxa"/>
                  <w:tcBorders>
                    <w:tl2br w:val="nil"/>
                    <w:tr2bl w:val="nil"/>
                  </w:tcBorders>
                  <w:vAlign w:val="center"/>
                </w:tcPr>
                <w:p w14:paraId="11E0577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①机械除尘+②袋式除尘</w:t>
                  </w:r>
                </w:p>
              </w:tc>
              <w:tc>
                <w:tcPr>
                  <w:tcW w:w="364" w:type="pct"/>
                  <w:tcBorders>
                    <w:tl2br w:val="nil"/>
                    <w:tr2bl w:val="nil"/>
                  </w:tcBorders>
                  <w:vAlign w:val="center"/>
                </w:tcPr>
                <w:p w14:paraId="0645C48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r w14:paraId="6E1603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9" w:type="pct"/>
                  <w:vMerge w:val="continue"/>
                  <w:tcBorders>
                    <w:tl2br w:val="nil"/>
                    <w:tr2bl w:val="nil"/>
                  </w:tcBorders>
                  <w:vAlign w:val="center"/>
                </w:tcPr>
                <w:p w14:paraId="09102DB8">
                  <w:pPr>
                    <w:jc w:val="center"/>
                    <w:rPr>
                      <w:color w:val="000000" w:themeColor="text1"/>
                      <w:szCs w:val="21"/>
                      <w14:textFill>
                        <w14:solidFill>
                          <w14:schemeClr w14:val="tx1"/>
                        </w14:solidFill>
                      </w14:textFill>
                    </w:rPr>
                  </w:pPr>
                </w:p>
              </w:tc>
              <w:tc>
                <w:tcPr>
                  <w:tcW w:w="431" w:type="pct"/>
                  <w:tcBorders>
                    <w:tl2br w:val="nil"/>
                    <w:tr2bl w:val="nil"/>
                  </w:tcBorders>
                  <w:vAlign w:val="center"/>
                </w:tcPr>
                <w:p w14:paraId="0B200F5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757" w:type="pct"/>
                  <w:tcBorders>
                    <w:tl2br w:val="nil"/>
                    <w:tr2bl w:val="nil"/>
                  </w:tcBorders>
                  <w:vAlign w:val="center"/>
                </w:tcPr>
                <w:p w14:paraId="6D0DA9F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553" w:type="dxa"/>
                  <w:vMerge w:val="continue"/>
                  <w:tcBorders>
                    <w:tl2br w:val="nil"/>
                    <w:tr2bl w:val="nil"/>
                  </w:tcBorders>
                  <w:vAlign w:val="center"/>
                </w:tcPr>
                <w:p w14:paraId="4EBB4887">
                  <w:pPr>
                    <w:jc w:val="center"/>
                    <w:rPr>
                      <w:color w:val="000000" w:themeColor="text1"/>
                      <w:szCs w:val="21"/>
                      <w14:textFill>
                        <w14:solidFill>
                          <w14:schemeClr w14:val="tx1"/>
                        </w14:solidFill>
                      </w14:textFill>
                    </w:rPr>
                  </w:pPr>
                </w:p>
              </w:tc>
              <w:tc>
                <w:tcPr>
                  <w:tcW w:w="3317" w:type="dxa"/>
                  <w:tcBorders>
                    <w:tl2br w:val="nil"/>
                    <w:tr2bl w:val="nil"/>
                  </w:tcBorders>
                  <w:vAlign w:val="center"/>
                </w:tcPr>
                <w:p w14:paraId="14056D0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64" w:type="pct"/>
                  <w:tcBorders>
                    <w:tl2br w:val="nil"/>
                    <w:tr2bl w:val="nil"/>
                  </w:tcBorders>
                  <w:vAlign w:val="center"/>
                </w:tcPr>
                <w:p w14:paraId="4A39B13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r w14:paraId="45226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99" w:type="pct"/>
                  <w:vMerge w:val="continue"/>
                  <w:tcBorders>
                    <w:tl2br w:val="nil"/>
                    <w:tr2bl w:val="nil"/>
                  </w:tcBorders>
                  <w:vAlign w:val="center"/>
                </w:tcPr>
                <w:p w14:paraId="46C4AFC8">
                  <w:pPr>
                    <w:jc w:val="center"/>
                    <w:rPr>
                      <w:color w:val="000000" w:themeColor="text1"/>
                      <w:szCs w:val="21"/>
                      <w14:textFill>
                        <w14:solidFill>
                          <w14:schemeClr w14:val="tx1"/>
                        </w14:solidFill>
                      </w14:textFill>
                    </w:rPr>
                  </w:pPr>
                </w:p>
              </w:tc>
              <w:tc>
                <w:tcPr>
                  <w:tcW w:w="431" w:type="pct"/>
                  <w:tcBorders>
                    <w:tl2br w:val="nil"/>
                    <w:tr2bl w:val="nil"/>
                  </w:tcBorders>
                  <w:vAlign w:val="center"/>
                </w:tcPr>
                <w:p w14:paraId="372A7C9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NOx</w:t>
                  </w:r>
                </w:p>
              </w:tc>
              <w:tc>
                <w:tcPr>
                  <w:tcW w:w="757" w:type="pct"/>
                  <w:tcBorders>
                    <w:tl2br w:val="nil"/>
                    <w:tr2bl w:val="nil"/>
                  </w:tcBorders>
                  <w:vAlign w:val="center"/>
                </w:tcPr>
                <w:p w14:paraId="348E58D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低氮燃烧技术</w:t>
                  </w:r>
                </w:p>
              </w:tc>
              <w:tc>
                <w:tcPr>
                  <w:tcW w:w="1553" w:type="dxa"/>
                  <w:vMerge w:val="continue"/>
                  <w:tcBorders>
                    <w:tl2br w:val="nil"/>
                    <w:tr2bl w:val="nil"/>
                  </w:tcBorders>
                  <w:vAlign w:val="center"/>
                </w:tcPr>
                <w:p w14:paraId="4698E596">
                  <w:pPr>
                    <w:jc w:val="center"/>
                    <w:rPr>
                      <w:color w:val="000000" w:themeColor="text1"/>
                      <w:szCs w:val="21"/>
                      <w14:textFill>
                        <w14:solidFill>
                          <w14:schemeClr w14:val="tx1"/>
                        </w14:solidFill>
                      </w14:textFill>
                    </w:rPr>
                  </w:pPr>
                </w:p>
              </w:tc>
              <w:tc>
                <w:tcPr>
                  <w:tcW w:w="3317" w:type="dxa"/>
                  <w:tcBorders>
                    <w:tl2br w:val="nil"/>
                    <w:tr2bl w:val="nil"/>
                  </w:tcBorders>
                  <w:vAlign w:val="center"/>
                </w:tcPr>
                <w:p w14:paraId="533AA31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低氮燃烧</w:t>
                  </w:r>
                </w:p>
              </w:tc>
              <w:tc>
                <w:tcPr>
                  <w:tcW w:w="364" w:type="pct"/>
                  <w:tcBorders>
                    <w:tl2br w:val="nil"/>
                    <w:tr2bl w:val="nil"/>
                  </w:tcBorders>
                  <w:vAlign w:val="center"/>
                </w:tcPr>
                <w:p w14:paraId="2CF2E3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r w14:paraId="21DA0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30" w:type="pct"/>
                  <w:gridSpan w:val="2"/>
                  <w:tcBorders>
                    <w:tl2br w:val="nil"/>
                    <w:tr2bl w:val="nil"/>
                  </w:tcBorders>
                  <w:shd w:val="clear" w:color="auto" w:fill="auto"/>
                  <w:vAlign w:val="center"/>
                </w:tcPr>
                <w:p w14:paraId="74C31E4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贮存系统</w:t>
                  </w:r>
                </w:p>
              </w:tc>
              <w:tc>
                <w:tcPr>
                  <w:tcW w:w="757" w:type="pct"/>
                  <w:tcBorders>
                    <w:tl2br w:val="nil"/>
                    <w:tr2bl w:val="nil"/>
                  </w:tcBorders>
                  <w:shd w:val="clear" w:color="auto" w:fill="auto"/>
                  <w:vAlign w:val="center"/>
                </w:tcPr>
                <w:p w14:paraId="6A71DD5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本项目采用湿式出渣，炉渣袋装暂存于一般固废间</w:t>
                  </w:r>
                </w:p>
              </w:tc>
              <w:tc>
                <w:tcPr>
                  <w:tcW w:w="1553" w:type="dxa"/>
                  <w:vMerge w:val="continue"/>
                  <w:tcBorders>
                    <w:tl2br w:val="nil"/>
                    <w:tr2bl w:val="nil"/>
                  </w:tcBorders>
                  <w:vAlign w:val="center"/>
                </w:tcPr>
                <w:p w14:paraId="26323CEA">
                  <w:pPr>
                    <w:jc w:val="center"/>
                    <w:rPr>
                      <w:color w:val="000000" w:themeColor="text1"/>
                      <w:szCs w:val="21"/>
                      <w14:textFill>
                        <w14:solidFill>
                          <w14:schemeClr w14:val="tx1"/>
                        </w14:solidFill>
                      </w14:textFill>
                    </w:rPr>
                  </w:pPr>
                </w:p>
              </w:tc>
              <w:tc>
                <w:tcPr>
                  <w:tcW w:w="3317" w:type="dxa"/>
                  <w:tcBorders>
                    <w:tl2br w:val="nil"/>
                    <w:tr2bl w:val="nil"/>
                  </w:tcBorders>
                  <w:shd w:val="clear" w:color="auto" w:fill="auto"/>
                  <w:vAlign w:val="center"/>
                </w:tcPr>
                <w:p w14:paraId="3EBCDE8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灰场、渣场应及时覆盖并定期洒水；灰仓应采用密闭措施，卸灰管道出口应有防尘措施；渣库可采用挡尘卷帘、围挡等型式的防尘措施。</w:t>
                  </w:r>
                </w:p>
              </w:tc>
              <w:tc>
                <w:tcPr>
                  <w:tcW w:w="364" w:type="pct"/>
                  <w:tcBorders>
                    <w:tl2br w:val="nil"/>
                    <w:tr2bl w:val="nil"/>
                  </w:tcBorders>
                  <w:shd w:val="clear" w:color="auto" w:fill="auto"/>
                  <w:vAlign w:val="center"/>
                </w:tcPr>
                <w:p w14:paraId="588FD0B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bl>
          <w:p w14:paraId="041B3771">
            <w:pPr>
              <w:spacing w:line="360" w:lineRule="auto"/>
              <w:ind w:firstLine="480" w:firstLineChars="200"/>
              <w:rPr>
                <w:b/>
                <w:color w:val="000000" w:themeColor="text1"/>
                <w:sz w:val="24"/>
                <w:szCs w:val="28"/>
                <w14:textFill>
                  <w14:solidFill>
                    <w14:schemeClr w14:val="tx1"/>
                  </w14:solidFill>
                </w14:textFill>
              </w:rPr>
            </w:pPr>
            <w:r>
              <w:rPr>
                <w:color w:val="000000" w:themeColor="text1"/>
                <w:kern w:val="0"/>
                <w:sz w:val="24"/>
                <w:lang w:bidi="ar"/>
                <w14:textFill>
                  <w14:solidFill>
                    <w14:schemeClr w14:val="tx1"/>
                  </w14:solidFill>
                </w14:textFill>
              </w:rPr>
              <w:t>由上表可知，本项目生物质锅炉产生氮氧化物、颗粒物、二氧化硫、无组织粉尘采取的环保措施均符合《排污许可证申请与核发技术规范 锅炉》（HJ953.2—2026）、《工业锅炉污染防治可行技术指南》（HJ1178-2021）中的可行技术相关规范。</w:t>
            </w:r>
            <w:r>
              <w:rPr>
                <w:color w:val="000000" w:themeColor="text1"/>
                <w:sz w:val="24"/>
                <w:lang w:bidi="ar"/>
                <w14:textFill>
                  <w14:solidFill>
                    <w14:schemeClr w14:val="tx1"/>
                  </w14:solidFill>
                </w14:textFill>
              </w:rPr>
              <w:t>本项目废气处理措施可行。</w:t>
            </w:r>
          </w:p>
          <w:p w14:paraId="31614453">
            <w:pPr>
              <w:pStyle w:val="4"/>
              <w:numPr>
                <w:ilvl w:val="0"/>
                <w:numId w:val="0"/>
              </w:numPr>
              <w:tabs>
                <w:tab w:val="clear" w:pos="720"/>
              </w:tabs>
              <w:rPr>
                <w:rFonts w:eastAsia="宋体"/>
                <w:b/>
                <w:bCs w:val="0"/>
                <w:color w:val="000000" w:themeColor="text1"/>
                <w:sz w:val="24"/>
                <w:szCs w:val="28"/>
                <w14:textFill>
                  <w14:solidFill>
                    <w14:schemeClr w14:val="tx1"/>
                  </w14:solidFill>
                </w14:textFill>
              </w:rPr>
            </w:pPr>
            <w:r>
              <w:rPr>
                <w:rFonts w:eastAsia="宋体"/>
                <w:b/>
                <w:bCs w:val="0"/>
                <w:color w:val="000000" w:themeColor="text1"/>
                <w:sz w:val="24"/>
                <w:szCs w:val="28"/>
                <w14:textFill>
                  <w14:solidFill>
                    <w14:schemeClr w14:val="tx1"/>
                  </w14:solidFill>
                </w14:textFill>
              </w:rPr>
              <w:t>1.3、非正常工况</w:t>
            </w:r>
          </w:p>
          <w:p w14:paraId="5D6366A5">
            <w:pPr>
              <w:pStyle w:val="85"/>
              <w:ind w:firstLine="480"/>
              <w:rPr>
                <w:color w:val="000000" w:themeColor="text1"/>
                <w:szCs w:val="32"/>
                <w:lang w:val="en-US"/>
                <w14:textFill>
                  <w14:solidFill>
                    <w14:schemeClr w14:val="tx1"/>
                  </w14:solidFill>
                </w14:textFill>
              </w:rPr>
            </w:pPr>
            <w:r>
              <w:rPr>
                <w:color w:val="000000" w:themeColor="text1"/>
                <w14:textFill>
                  <w14:solidFill>
                    <w14:schemeClr w14:val="tx1"/>
                  </w14:solidFill>
                </w14:textFill>
              </w:rPr>
              <w:t>废气非正常工况主要考虑废气治理设施故障情况下大气污染物排放情况。本项目涉及的非正常排放工况主要为</w:t>
            </w:r>
            <w:r>
              <w:rPr>
                <w:color w:val="000000" w:themeColor="text1"/>
                <w:lang w:val="en-US"/>
                <w14:textFill>
                  <w14:solidFill>
                    <w14:schemeClr w14:val="tx1"/>
                  </w14:solidFill>
                </w14:textFill>
              </w:rPr>
              <w:t>旋风+布袋除尘器发生故障，处理效率为0。</w:t>
            </w:r>
            <w:r>
              <w:rPr>
                <w:color w:val="000000" w:themeColor="text1"/>
                <w14:textFill>
                  <w14:solidFill>
                    <w14:schemeClr w14:val="tx1"/>
                  </w14:solidFill>
                </w14:textFill>
              </w:rPr>
              <w:t>非正常工况废气排放情况见</w:t>
            </w:r>
            <w:r>
              <w:rPr>
                <w:color w:val="000000" w:themeColor="text1"/>
                <w:lang w:val="en-US"/>
                <w14:textFill>
                  <w14:solidFill>
                    <w14:schemeClr w14:val="tx1"/>
                  </w14:solidFill>
                </w14:textFill>
              </w:rPr>
              <w:t>下</w:t>
            </w:r>
            <w:r>
              <w:rPr>
                <w:color w:val="000000" w:themeColor="text1"/>
                <w14:textFill>
                  <w14:solidFill>
                    <w14:schemeClr w14:val="tx1"/>
                  </w14:solidFill>
                </w14:textFill>
              </w:rPr>
              <w:t>表。</w:t>
            </w:r>
          </w:p>
          <w:p w14:paraId="5BDECF72">
            <w:pPr>
              <w:pStyle w:val="85"/>
              <w:spacing w:line="240" w:lineRule="auto"/>
              <w:ind w:firstLine="0" w:firstLineChars="0"/>
              <w:jc w:val="center"/>
              <w:rPr>
                <w:b/>
                <w:bCs/>
                <w:color w:val="000000" w:themeColor="text1"/>
                <w:sz w:val="21"/>
                <w:szCs w:val="24"/>
                <w:lang w:val="en-US"/>
                <w14:textFill>
                  <w14:solidFill>
                    <w14:schemeClr w14:val="tx1"/>
                  </w14:solidFill>
                </w14:textFill>
              </w:rPr>
            </w:pPr>
            <w:r>
              <w:rPr>
                <w:b/>
                <w:bCs/>
                <w:color w:val="000000" w:themeColor="text1"/>
                <w:sz w:val="21"/>
                <w:szCs w:val="24"/>
                <w:lang w:val="en-US"/>
                <w14:textFill>
                  <w14:solidFill>
                    <w14:schemeClr w14:val="tx1"/>
                  </w14:solidFill>
                </w14:textFill>
              </w:rPr>
              <w:t>表4-6 非正常工况本项目大气污染物排放情况</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8"/>
              <w:gridCol w:w="984"/>
              <w:gridCol w:w="1355"/>
              <w:gridCol w:w="1170"/>
              <w:gridCol w:w="964"/>
              <w:gridCol w:w="1051"/>
              <w:gridCol w:w="727"/>
              <w:gridCol w:w="724"/>
              <w:gridCol w:w="581"/>
            </w:tblGrid>
            <w:tr w14:paraId="290D1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50" w:type="pct"/>
                  <w:vMerge w:val="restart"/>
                  <w:tcBorders>
                    <w:tl2br w:val="nil"/>
                    <w:tr2bl w:val="nil"/>
                  </w:tcBorders>
                  <w:vAlign w:val="center"/>
                </w:tcPr>
                <w:p w14:paraId="6C5AB583">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592" w:type="pct"/>
                  <w:vMerge w:val="restart"/>
                  <w:tcBorders>
                    <w:tl2br w:val="nil"/>
                    <w:tr2bl w:val="nil"/>
                  </w:tcBorders>
                  <w:vAlign w:val="center"/>
                </w:tcPr>
                <w:p w14:paraId="5CE3B4BA">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污染因子</w:t>
                  </w:r>
                </w:p>
              </w:tc>
              <w:tc>
                <w:tcPr>
                  <w:tcW w:w="815" w:type="pct"/>
                  <w:vMerge w:val="restart"/>
                  <w:tcBorders>
                    <w:tl2br w:val="nil"/>
                    <w:tr2bl w:val="nil"/>
                  </w:tcBorders>
                  <w:vAlign w:val="center"/>
                </w:tcPr>
                <w:p w14:paraId="1B2B1214">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故障类型</w:t>
                  </w:r>
                </w:p>
              </w:tc>
              <w:tc>
                <w:tcPr>
                  <w:tcW w:w="1917" w:type="pct"/>
                  <w:gridSpan w:val="3"/>
                  <w:tcBorders>
                    <w:tl2br w:val="nil"/>
                    <w:tr2bl w:val="nil"/>
                  </w:tcBorders>
                  <w:vAlign w:val="center"/>
                </w:tcPr>
                <w:p w14:paraId="562AA46D">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非正常排放状况频次及持续时间</w:t>
                  </w:r>
                </w:p>
              </w:tc>
              <w:tc>
                <w:tcPr>
                  <w:tcW w:w="874" w:type="pct"/>
                  <w:gridSpan w:val="2"/>
                  <w:tcBorders>
                    <w:tl2br w:val="nil"/>
                    <w:tr2bl w:val="nil"/>
                  </w:tcBorders>
                  <w:vAlign w:val="center"/>
                </w:tcPr>
                <w:p w14:paraId="443A13D6">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排放标准</w:t>
                  </w:r>
                </w:p>
              </w:tc>
              <w:tc>
                <w:tcPr>
                  <w:tcW w:w="350" w:type="pct"/>
                  <w:vMerge w:val="restart"/>
                  <w:tcBorders>
                    <w:tl2br w:val="nil"/>
                    <w:tr2bl w:val="nil"/>
                  </w:tcBorders>
                  <w:vAlign w:val="center"/>
                </w:tcPr>
                <w:p w14:paraId="2C709F5D">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p w14:paraId="07308997">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分析</w:t>
                  </w:r>
                </w:p>
              </w:tc>
            </w:tr>
            <w:tr w14:paraId="4B2527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50" w:type="pct"/>
                  <w:vMerge w:val="continue"/>
                  <w:tcBorders>
                    <w:tl2br w:val="nil"/>
                    <w:tr2bl w:val="nil"/>
                  </w:tcBorders>
                  <w:vAlign w:val="center"/>
                </w:tcPr>
                <w:p w14:paraId="4E222315">
                  <w:pPr>
                    <w:spacing w:line="276" w:lineRule="auto"/>
                    <w:ind w:left="-42" w:leftChars="-20" w:right="-42" w:rightChars="-20"/>
                    <w:jc w:val="center"/>
                    <w:rPr>
                      <w:color w:val="000000" w:themeColor="text1"/>
                      <w:szCs w:val="21"/>
                      <w14:textFill>
                        <w14:solidFill>
                          <w14:schemeClr w14:val="tx1"/>
                        </w14:solidFill>
                      </w14:textFill>
                    </w:rPr>
                  </w:pPr>
                </w:p>
              </w:tc>
              <w:tc>
                <w:tcPr>
                  <w:tcW w:w="592" w:type="pct"/>
                  <w:vMerge w:val="continue"/>
                  <w:tcBorders>
                    <w:tl2br w:val="nil"/>
                    <w:tr2bl w:val="nil"/>
                  </w:tcBorders>
                  <w:vAlign w:val="center"/>
                </w:tcPr>
                <w:p w14:paraId="2CFDBE67">
                  <w:pPr>
                    <w:spacing w:line="276" w:lineRule="auto"/>
                    <w:ind w:left="-42" w:leftChars="-20" w:right="-42" w:rightChars="-20"/>
                    <w:jc w:val="center"/>
                    <w:rPr>
                      <w:color w:val="000000" w:themeColor="text1"/>
                      <w:szCs w:val="21"/>
                      <w14:textFill>
                        <w14:solidFill>
                          <w14:schemeClr w14:val="tx1"/>
                        </w14:solidFill>
                      </w14:textFill>
                    </w:rPr>
                  </w:pPr>
                </w:p>
              </w:tc>
              <w:tc>
                <w:tcPr>
                  <w:tcW w:w="815" w:type="pct"/>
                  <w:vMerge w:val="continue"/>
                  <w:tcBorders>
                    <w:tl2br w:val="nil"/>
                    <w:tr2bl w:val="nil"/>
                  </w:tcBorders>
                  <w:vAlign w:val="center"/>
                </w:tcPr>
                <w:p w14:paraId="2A1DB873">
                  <w:pPr>
                    <w:spacing w:line="276" w:lineRule="auto"/>
                    <w:ind w:left="-42" w:leftChars="-20" w:right="-42" w:rightChars="-20"/>
                    <w:jc w:val="center"/>
                    <w:rPr>
                      <w:color w:val="000000" w:themeColor="text1"/>
                      <w:szCs w:val="21"/>
                      <w14:textFill>
                        <w14:solidFill>
                          <w14:schemeClr w14:val="tx1"/>
                        </w14:solidFill>
                      </w14:textFill>
                    </w:rPr>
                  </w:pPr>
                </w:p>
              </w:tc>
              <w:tc>
                <w:tcPr>
                  <w:tcW w:w="704" w:type="pct"/>
                  <w:tcBorders>
                    <w:tl2br w:val="nil"/>
                    <w:tr2bl w:val="nil"/>
                  </w:tcBorders>
                  <w:vAlign w:val="center"/>
                </w:tcPr>
                <w:p w14:paraId="6C52495A">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单次持续时间(h)</w:t>
                  </w:r>
                </w:p>
              </w:tc>
              <w:tc>
                <w:tcPr>
                  <w:tcW w:w="580" w:type="pct"/>
                  <w:tcBorders>
                    <w:tl2br w:val="nil"/>
                    <w:tr2bl w:val="nil"/>
                  </w:tcBorders>
                  <w:vAlign w:val="center"/>
                </w:tcPr>
                <w:p w14:paraId="00C4222E">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排放量</w:t>
                  </w:r>
                </w:p>
                <w:p w14:paraId="5AE521B7">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(kg/h)</w:t>
                  </w:r>
                </w:p>
              </w:tc>
              <w:tc>
                <w:tcPr>
                  <w:tcW w:w="632" w:type="pct"/>
                  <w:tcBorders>
                    <w:tl2br w:val="nil"/>
                    <w:tr2bl w:val="nil"/>
                  </w:tcBorders>
                  <w:vAlign w:val="center"/>
                </w:tcPr>
                <w:p w14:paraId="423A335B">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排放浓度</w:t>
                  </w:r>
                </w:p>
                <w:p w14:paraId="0B0E0183">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(mg/m³)</w:t>
                  </w:r>
                </w:p>
              </w:tc>
              <w:tc>
                <w:tcPr>
                  <w:tcW w:w="438" w:type="pct"/>
                  <w:tcBorders>
                    <w:tl2br w:val="nil"/>
                    <w:tr2bl w:val="nil"/>
                  </w:tcBorders>
                  <w:vAlign w:val="center"/>
                </w:tcPr>
                <w:p w14:paraId="0DBE079E">
                  <w:pPr>
                    <w:pStyle w:val="88"/>
                    <w:ind w:left="-63" w:leftChars="-30" w:right="-63" w:rightChars="-30"/>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浓度mg/m</w:t>
                  </w:r>
                  <w:r>
                    <w:rPr>
                      <w:rFonts w:eastAsia="宋体"/>
                      <w:color w:val="000000" w:themeColor="text1"/>
                      <w:szCs w:val="21"/>
                      <w:vertAlign w:val="superscript"/>
                      <w14:textFill>
                        <w14:solidFill>
                          <w14:schemeClr w14:val="tx1"/>
                        </w14:solidFill>
                      </w14:textFill>
                    </w:rPr>
                    <w:t>3</w:t>
                  </w:r>
                </w:p>
              </w:tc>
              <w:tc>
                <w:tcPr>
                  <w:tcW w:w="435" w:type="pct"/>
                  <w:tcBorders>
                    <w:tl2br w:val="nil"/>
                    <w:tr2bl w:val="nil"/>
                  </w:tcBorders>
                  <w:vAlign w:val="center"/>
                </w:tcPr>
                <w:p w14:paraId="20AE13FF">
                  <w:pPr>
                    <w:pStyle w:val="88"/>
                    <w:ind w:left="-63" w:leftChars="-30" w:right="-63" w:rightChars="-30"/>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速率kg/h</w:t>
                  </w:r>
                </w:p>
              </w:tc>
              <w:tc>
                <w:tcPr>
                  <w:tcW w:w="350" w:type="pct"/>
                  <w:vMerge w:val="continue"/>
                  <w:tcBorders>
                    <w:tl2br w:val="nil"/>
                    <w:tr2bl w:val="nil"/>
                  </w:tcBorders>
                  <w:vAlign w:val="center"/>
                </w:tcPr>
                <w:p w14:paraId="669B3354">
                  <w:pPr>
                    <w:spacing w:line="276" w:lineRule="auto"/>
                    <w:ind w:left="-42" w:leftChars="-20" w:right="-42" w:rightChars="-20"/>
                    <w:jc w:val="center"/>
                    <w:rPr>
                      <w:color w:val="000000" w:themeColor="text1"/>
                      <w:szCs w:val="21"/>
                      <w14:textFill>
                        <w14:solidFill>
                          <w14:schemeClr w14:val="tx1"/>
                        </w14:solidFill>
                      </w14:textFill>
                    </w:rPr>
                  </w:pPr>
                </w:p>
              </w:tc>
            </w:tr>
            <w:tr w14:paraId="1C5D6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50" w:type="pct"/>
                  <w:vMerge w:val="restart"/>
                  <w:tcBorders>
                    <w:tl2br w:val="nil"/>
                    <w:tr2bl w:val="nil"/>
                  </w:tcBorders>
                  <w:vAlign w:val="center"/>
                </w:tcPr>
                <w:p w14:paraId="3DA6198E">
                  <w:pPr>
                    <w:spacing w:line="276" w:lineRule="auto"/>
                    <w:ind w:left="-105" w:leftChars="-50" w:right="-105" w:rightChars="-5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DA001</w:t>
                  </w:r>
                </w:p>
              </w:tc>
              <w:tc>
                <w:tcPr>
                  <w:tcW w:w="592" w:type="pct"/>
                  <w:tcBorders>
                    <w:tl2br w:val="nil"/>
                    <w:tr2bl w:val="nil"/>
                  </w:tcBorders>
                  <w:vAlign w:val="center"/>
                </w:tcPr>
                <w:p w14:paraId="09EB6AD9">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颗粒物</w:t>
                  </w:r>
                </w:p>
              </w:tc>
              <w:tc>
                <w:tcPr>
                  <w:tcW w:w="815" w:type="pct"/>
                  <w:vMerge w:val="restart"/>
                  <w:tcBorders>
                    <w:tl2br w:val="nil"/>
                    <w:tr2bl w:val="nil"/>
                  </w:tcBorders>
                  <w:vAlign w:val="center"/>
                </w:tcPr>
                <w:p w14:paraId="09D1C36C">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除尘器故障</w:t>
                  </w:r>
                </w:p>
              </w:tc>
              <w:tc>
                <w:tcPr>
                  <w:tcW w:w="704" w:type="pct"/>
                  <w:tcBorders>
                    <w:tl2br w:val="nil"/>
                    <w:tr2bl w:val="nil"/>
                  </w:tcBorders>
                  <w:vAlign w:val="center"/>
                </w:tcPr>
                <w:p w14:paraId="7882E47A">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1.0</w:t>
                  </w:r>
                </w:p>
              </w:tc>
              <w:tc>
                <w:tcPr>
                  <w:tcW w:w="580" w:type="pct"/>
                  <w:tcBorders>
                    <w:tl2br w:val="nil"/>
                    <w:tr2bl w:val="nil"/>
                  </w:tcBorders>
                  <w:shd w:val="clear" w:color="auto" w:fill="auto"/>
                  <w:vAlign w:val="center"/>
                </w:tcPr>
                <w:p w14:paraId="7A7E9D8B">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7.96</w:t>
                  </w:r>
                </w:p>
              </w:tc>
              <w:tc>
                <w:tcPr>
                  <w:tcW w:w="632" w:type="pct"/>
                  <w:tcBorders>
                    <w:tl2br w:val="nil"/>
                    <w:tr2bl w:val="nil"/>
                  </w:tcBorders>
                  <w:shd w:val="clear" w:color="auto" w:fill="auto"/>
                  <w:vAlign w:val="center"/>
                </w:tcPr>
                <w:p w14:paraId="2CE0C297">
                  <w:pPr>
                    <w:widowControl/>
                    <w:jc w:val="center"/>
                    <w:textAlignment w:val="center"/>
                    <w:rPr>
                      <w:color w:val="000000" w:themeColor="text1"/>
                      <w:kern w:val="0"/>
                      <w:szCs w:val="21"/>
                      <w:lang w:bidi="ar"/>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2707.24 </w:t>
                  </w:r>
                </w:p>
              </w:tc>
              <w:tc>
                <w:tcPr>
                  <w:tcW w:w="438" w:type="pct"/>
                  <w:tcBorders>
                    <w:tl2br w:val="nil"/>
                    <w:tr2bl w:val="nil"/>
                  </w:tcBorders>
                  <w:vAlign w:val="center"/>
                </w:tcPr>
                <w:p w14:paraId="0AB6FC7D">
                  <w:pPr>
                    <w:widowControl/>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435" w:type="pct"/>
                  <w:tcBorders>
                    <w:tl2br w:val="nil"/>
                    <w:tr2bl w:val="nil"/>
                  </w:tcBorders>
                  <w:vAlign w:val="center"/>
                </w:tcPr>
                <w:p w14:paraId="736D4EEA">
                  <w:pPr>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50" w:type="pct"/>
                  <w:tcBorders>
                    <w:tl2br w:val="nil"/>
                    <w:tr2bl w:val="nil"/>
                  </w:tcBorders>
                  <w:vAlign w:val="center"/>
                </w:tcPr>
                <w:p w14:paraId="1561127B">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超标</w:t>
                  </w:r>
                </w:p>
              </w:tc>
            </w:tr>
            <w:tr w14:paraId="00E72E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50" w:type="pct"/>
                  <w:vMerge w:val="continue"/>
                  <w:tcBorders>
                    <w:tl2br w:val="nil"/>
                    <w:tr2bl w:val="nil"/>
                  </w:tcBorders>
                  <w:vAlign w:val="center"/>
                </w:tcPr>
                <w:p w14:paraId="3C4BE9AD">
                  <w:pPr>
                    <w:spacing w:line="276" w:lineRule="auto"/>
                    <w:ind w:left="-105" w:leftChars="-50" w:right="-105" w:rightChars="-50"/>
                    <w:jc w:val="center"/>
                    <w:rPr>
                      <w:color w:val="000000" w:themeColor="text1"/>
                      <w:szCs w:val="21"/>
                      <w14:textFill>
                        <w14:solidFill>
                          <w14:schemeClr w14:val="tx1"/>
                        </w14:solidFill>
                      </w14:textFill>
                    </w:rPr>
                  </w:pPr>
                </w:p>
              </w:tc>
              <w:tc>
                <w:tcPr>
                  <w:tcW w:w="592" w:type="pct"/>
                  <w:tcBorders>
                    <w:tl2br w:val="nil"/>
                    <w:tr2bl w:val="nil"/>
                  </w:tcBorders>
                  <w:shd w:val="clear" w:color="auto" w:fill="auto"/>
                  <w:vAlign w:val="center"/>
                </w:tcPr>
                <w:p w14:paraId="5E1106A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815" w:type="pct"/>
                  <w:vMerge w:val="continue"/>
                  <w:tcBorders>
                    <w:tl2br w:val="nil"/>
                    <w:tr2bl w:val="nil"/>
                  </w:tcBorders>
                  <w:vAlign w:val="center"/>
                </w:tcPr>
                <w:p w14:paraId="25AAB914">
                  <w:pPr>
                    <w:widowControl/>
                    <w:jc w:val="center"/>
                    <w:textAlignment w:val="center"/>
                    <w:rPr>
                      <w:color w:val="000000" w:themeColor="text1"/>
                      <w:kern w:val="0"/>
                      <w:szCs w:val="21"/>
                      <w:lang w:bidi="ar"/>
                      <w14:textFill>
                        <w14:solidFill>
                          <w14:schemeClr w14:val="tx1"/>
                        </w14:solidFill>
                      </w14:textFill>
                    </w:rPr>
                  </w:pPr>
                </w:p>
              </w:tc>
              <w:tc>
                <w:tcPr>
                  <w:tcW w:w="704" w:type="pct"/>
                  <w:tcBorders>
                    <w:tl2br w:val="nil"/>
                    <w:tr2bl w:val="nil"/>
                  </w:tcBorders>
                  <w:vAlign w:val="center"/>
                </w:tcPr>
                <w:p w14:paraId="474021EE">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1.0</w:t>
                  </w:r>
                </w:p>
              </w:tc>
              <w:tc>
                <w:tcPr>
                  <w:tcW w:w="580" w:type="pct"/>
                  <w:tcBorders>
                    <w:tl2br w:val="nil"/>
                    <w:tr2bl w:val="nil"/>
                  </w:tcBorders>
                  <w:shd w:val="clear" w:color="auto" w:fill="auto"/>
                  <w:vAlign w:val="center"/>
                </w:tcPr>
                <w:p w14:paraId="73432F8D">
                  <w:pPr>
                    <w:widowControl/>
                    <w:jc w:val="center"/>
                    <w:textAlignment w:val="center"/>
                    <w:rPr>
                      <w:rFonts w:eastAsia="等线"/>
                      <w:color w:val="000000" w:themeColor="text1"/>
                      <w:kern w:val="0"/>
                      <w:szCs w:val="21"/>
                      <w:lang w:bidi="ar"/>
                      <w14:textFill>
                        <w14:solidFill>
                          <w14:schemeClr w14:val="tx1"/>
                        </w14:solidFill>
                      </w14:textFill>
                    </w:rPr>
                  </w:pPr>
                  <w:r>
                    <w:rPr>
                      <w:rFonts w:eastAsia="等线"/>
                      <w:color w:val="000000" w:themeColor="text1"/>
                      <w:kern w:val="0"/>
                      <w:szCs w:val="21"/>
                      <w:lang w:bidi="ar"/>
                      <w14:textFill>
                        <w14:solidFill>
                          <w14:schemeClr w14:val="tx1"/>
                        </w14:solidFill>
                      </w14:textFill>
                    </w:rPr>
                    <w:t>0.03</w:t>
                  </w:r>
                </w:p>
              </w:tc>
              <w:tc>
                <w:tcPr>
                  <w:tcW w:w="632" w:type="pct"/>
                  <w:tcBorders>
                    <w:tl2br w:val="nil"/>
                    <w:tr2bl w:val="nil"/>
                  </w:tcBorders>
                  <w:shd w:val="clear" w:color="auto" w:fill="auto"/>
                  <w:vAlign w:val="center"/>
                </w:tcPr>
                <w:p w14:paraId="3113DB5A">
                  <w:pPr>
                    <w:widowControl/>
                    <w:jc w:val="center"/>
                    <w:textAlignment w:val="center"/>
                    <w:rPr>
                      <w:rFonts w:eastAsia="等线"/>
                      <w:color w:val="000000" w:themeColor="text1"/>
                      <w:kern w:val="0"/>
                      <w:szCs w:val="21"/>
                      <w:lang w:bidi="ar"/>
                      <w14:textFill>
                        <w14:solidFill>
                          <w14:schemeClr w14:val="tx1"/>
                        </w14:solidFill>
                      </w14:textFill>
                    </w:rPr>
                  </w:pPr>
                  <w:r>
                    <w:rPr>
                      <w:rFonts w:eastAsia="等线"/>
                      <w:color w:val="000000" w:themeColor="text1"/>
                      <w:kern w:val="0"/>
                      <w:szCs w:val="21"/>
                      <w:lang w:bidi="ar"/>
                      <w14:textFill>
                        <w14:solidFill>
                          <w14:schemeClr w14:val="tx1"/>
                        </w14:solidFill>
                      </w14:textFill>
                    </w:rPr>
                    <w:t>10.67</w:t>
                  </w:r>
                </w:p>
              </w:tc>
              <w:tc>
                <w:tcPr>
                  <w:tcW w:w="438" w:type="pct"/>
                  <w:tcBorders>
                    <w:tl2br w:val="nil"/>
                    <w:tr2bl w:val="nil"/>
                  </w:tcBorders>
                  <w:vAlign w:val="center"/>
                </w:tcPr>
                <w:p w14:paraId="66472649">
                  <w:pPr>
                    <w:widowControl/>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435" w:type="pct"/>
                  <w:tcBorders>
                    <w:tl2br w:val="nil"/>
                    <w:tr2bl w:val="nil"/>
                  </w:tcBorders>
                  <w:vAlign w:val="center"/>
                </w:tcPr>
                <w:p w14:paraId="611BD2E7">
                  <w:pPr>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50" w:type="pct"/>
                  <w:tcBorders>
                    <w:tl2br w:val="nil"/>
                    <w:tr2bl w:val="nil"/>
                  </w:tcBorders>
                  <w:vAlign w:val="center"/>
                </w:tcPr>
                <w:p w14:paraId="4B6253BB">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16DCC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50" w:type="pct"/>
                  <w:vMerge w:val="continue"/>
                  <w:tcBorders>
                    <w:tl2br w:val="nil"/>
                    <w:tr2bl w:val="nil"/>
                  </w:tcBorders>
                  <w:vAlign w:val="center"/>
                </w:tcPr>
                <w:p w14:paraId="135E790E">
                  <w:pPr>
                    <w:spacing w:line="276" w:lineRule="auto"/>
                    <w:ind w:left="-105" w:leftChars="-50" w:right="-105" w:rightChars="-50"/>
                    <w:jc w:val="center"/>
                    <w:rPr>
                      <w:color w:val="000000" w:themeColor="text1"/>
                      <w:szCs w:val="21"/>
                      <w14:textFill>
                        <w14:solidFill>
                          <w14:schemeClr w14:val="tx1"/>
                        </w14:solidFill>
                      </w14:textFill>
                    </w:rPr>
                  </w:pPr>
                </w:p>
              </w:tc>
              <w:tc>
                <w:tcPr>
                  <w:tcW w:w="592" w:type="pct"/>
                  <w:tcBorders>
                    <w:tl2br w:val="nil"/>
                    <w:tr2bl w:val="nil"/>
                  </w:tcBorders>
                  <w:shd w:val="clear" w:color="auto" w:fill="auto"/>
                  <w:vAlign w:val="center"/>
                </w:tcPr>
                <w:p w14:paraId="4F2F99D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NOx</w:t>
                  </w:r>
                </w:p>
              </w:tc>
              <w:tc>
                <w:tcPr>
                  <w:tcW w:w="815" w:type="pct"/>
                  <w:vMerge w:val="continue"/>
                  <w:tcBorders>
                    <w:tl2br w:val="nil"/>
                    <w:tr2bl w:val="nil"/>
                  </w:tcBorders>
                  <w:vAlign w:val="center"/>
                </w:tcPr>
                <w:p w14:paraId="6EA0BB0F">
                  <w:pPr>
                    <w:widowControl/>
                    <w:jc w:val="center"/>
                    <w:textAlignment w:val="center"/>
                    <w:rPr>
                      <w:color w:val="000000" w:themeColor="text1"/>
                      <w:kern w:val="0"/>
                      <w:szCs w:val="21"/>
                      <w:lang w:bidi="ar"/>
                      <w14:textFill>
                        <w14:solidFill>
                          <w14:schemeClr w14:val="tx1"/>
                        </w14:solidFill>
                      </w14:textFill>
                    </w:rPr>
                  </w:pPr>
                </w:p>
              </w:tc>
              <w:tc>
                <w:tcPr>
                  <w:tcW w:w="704" w:type="pct"/>
                  <w:tcBorders>
                    <w:tl2br w:val="nil"/>
                    <w:tr2bl w:val="nil"/>
                  </w:tcBorders>
                  <w:vAlign w:val="center"/>
                </w:tcPr>
                <w:p w14:paraId="1A53FE67">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1.0</w:t>
                  </w:r>
                </w:p>
              </w:tc>
              <w:tc>
                <w:tcPr>
                  <w:tcW w:w="580" w:type="pct"/>
                  <w:tcBorders>
                    <w:tl2br w:val="nil"/>
                    <w:tr2bl w:val="nil"/>
                  </w:tcBorders>
                  <w:shd w:val="clear" w:color="auto" w:fill="auto"/>
                  <w:vAlign w:val="center"/>
                </w:tcPr>
                <w:p w14:paraId="4460031B">
                  <w:pPr>
                    <w:widowControl/>
                    <w:jc w:val="center"/>
                    <w:textAlignment w:val="center"/>
                    <w:rPr>
                      <w:rFonts w:eastAsia="等线"/>
                      <w:color w:val="000000" w:themeColor="text1"/>
                      <w:kern w:val="0"/>
                      <w:szCs w:val="21"/>
                      <w:lang w:bidi="ar"/>
                      <w14:textFill>
                        <w14:solidFill>
                          <w14:schemeClr w14:val="tx1"/>
                        </w14:solidFill>
                      </w14:textFill>
                    </w:rPr>
                  </w:pPr>
                  <w:r>
                    <w:rPr>
                      <w:rFonts w:hint="eastAsia" w:eastAsia="等线"/>
                      <w:color w:val="000000" w:themeColor="text1"/>
                      <w:kern w:val="0"/>
                      <w:szCs w:val="21"/>
                      <w:lang w:bidi="ar"/>
                      <w14:textFill>
                        <w14:solidFill>
                          <w14:schemeClr w14:val="tx1"/>
                        </w14:solidFill>
                      </w14:textFill>
                    </w:rPr>
                    <w:t>0.29</w:t>
                  </w:r>
                </w:p>
              </w:tc>
              <w:tc>
                <w:tcPr>
                  <w:tcW w:w="632" w:type="pct"/>
                  <w:tcBorders>
                    <w:tl2br w:val="nil"/>
                    <w:tr2bl w:val="nil"/>
                  </w:tcBorders>
                  <w:shd w:val="clear" w:color="auto" w:fill="auto"/>
                  <w:vAlign w:val="center"/>
                </w:tcPr>
                <w:p w14:paraId="6AE83701">
                  <w:pPr>
                    <w:widowControl/>
                    <w:jc w:val="center"/>
                    <w:textAlignment w:val="center"/>
                    <w:rPr>
                      <w:rFonts w:eastAsia="等线"/>
                      <w:color w:val="000000" w:themeColor="text1"/>
                      <w:kern w:val="0"/>
                      <w:szCs w:val="21"/>
                      <w:lang w:bidi="ar"/>
                      <w14:textFill>
                        <w14:solidFill>
                          <w14:schemeClr w14:val="tx1"/>
                        </w14:solidFill>
                      </w14:textFill>
                    </w:rPr>
                  </w:pPr>
                  <w:r>
                    <w:rPr>
                      <w:rFonts w:hint="eastAsia" w:eastAsia="等线"/>
                      <w:color w:val="000000" w:themeColor="text1"/>
                      <w:kern w:val="0"/>
                      <w:szCs w:val="21"/>
                      <w:lang w:bidi="ar"/>
                      <w14:textFill>
                        <w14:solidFill>
                          <w14:schemeClr w14:val="tx1"/>
                        </w14:solidFill>
                      </w14:textFill>
                    </w:rPr>
                    <w:t>97.16</w:t>
                  </w:r>
                </w:p>
              </w:tc>
              <w:tc>
                <w:tcPr>
                  <w:tcW w:w="438" w:type="pct"/>
                  <w:tcBorders>
                    <w:tl2br w:val="nil"/>
                    <w:tr2bl w:val="nil"/>
                  </w:tcBorders>
                  <w:vAlign w:val="center"/>
                </w:tcPr>
                <w:p w14:paraId="2950DE9E">
                  <w:pPr>
                    <w:widowControl/>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435" w:type="pct"/>
                  <w:tcBorders>
                    <w:tl2br w:val="nil"/>
                    <w:tr2bl w:val="nil"/>
                  </w:tcBorders>
                  <w:vAlign w:val="center"/>
                </w:tcPr>
                <w:p w14:paraId="738BE08B">
                  <w:pPr>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50" w:type="pct"/>
                  <w:tcBorders>
                    <w:tl2br w:val="nil"/>
                    <w:tr2bl w:val="nil"/>
                  </w:tcBorders>
                  <w:vAlign w:val="center"/>
                </w:tcPr>
                <w:p w14:paraId="208DE526">
                  <w:pPr>
                    <w:spacing w:line="276" w:lineRule="auto"/>
                    <w:ind w:left="-42" w:leftChars="-20" w:right="-42" w:rightChars="-2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bl>
          <w:p w14:paraId="483EF74A">
            <w:pPr>
              <w:pStyle w:val="21"/>
              <w:adjustRightInd w:val="0"/>
              <w:snapToGrid w:val="0"/>
              <w:spacing w:before="120" w:beforeLines="50"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非正常工况下，</w:t>
            </w:r>
            <w:r>
              <w:rPr>
                <w:color w:val="000000" w:themeColor="text1"/>
                <w:kern w:val="0"/>
                <w:sz w:val="24"/>
                <w14:textFill>
                  <w14:solidFill>
                    <w14:schemeClr w14:val="tx1"/>
                  </w14:solidFill>
                </w14:textFill>
              </w:rPr>
              <w:t>DA001排气筒中</w:t>
            </w:r>
            <w:r>
              <w:rPr>
                <w:color w:val="000000" w:themeColor="text1"/>
                <w:sz w:val="24"/>
                <w14:textFill>
                  <w14:solidFill>
                    <w14:schemeClr w14:val="tx1"/>
                  </w14:solidFill>
                </w14:textFill>
              </w:rPr>
              <w:t>颗粒物不满足《锅炉大气污染物排放标准》（GB13271-2014）表3规定的燃煤锅炉特别排放限值。非正常工况下可采取污染防治措施如下：</w:t>
            </w:r>
          </w:p>
          <w:p w14:paraId="69AB875C">
            <w:pPr>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eastAsia="ja-JP"/>
                <w14:textFill>
                  <w14:solidFill>
                    <w14:schemeClr w14:val="tx1"/>
                  </w14:solidFill>
                </w14:textFill>
              </w:rPr>
              <w:t>①</w:t>
            </w:r>
            <w:r>
              <w:rPr>
                <w:color w:val="000000" w:themeColor="text1"/>
                <w:sz w:val="24"/>
                <w14:textFill>
                  <w14:solidFill>
                    <w14:schemeClr w14:val="tx1"/>
                  </w14:solidFill>
                </w14:textFill>
              </w:rPr>
              <w:t>安排专人负责环保设备的日常维护和管理，每隔固定时间检查、汇报情况，及时发现废气处理设备的隐患，确保废气处理系统正常运行；</w:t>
            </w:r>
          </w:p>
          <w:p w14:paraId="673C7DE3">
            <w:pPr>
              <w:pStyle w:val="156"/>
              <w:snapToGrid w:val="0"/>
              <w:spacing w:line="360" w:lineRule="auto"/>
              <w:ind w:left="0" w:firstLine="480" w:firstLineChars="200"/>
              <w:rPr>
                <w:color w:val="000000" w:themeColor="text1"/>
                <w:kern w:val="2"/>
                <w:sz w:val="24"/>
                <w:szCs w:val="24"/>
                <w14:textFill>
                  <w14:solidFill>
                    <w14:schemeClr w14:val="tx1"/>
                  </w14:solidFill>
                </w14:textFill>
              </w:rPr>
            </w:pPr>
            <w:r>
              <w:rPr>
                <w:color w:val="000000" w:themeColor="text1"/>
                <w:kern w:val="2"/>
                <w:sz w:val="24"/>
                <w:szCs w:val="24"/>
                <w:lang w:eastAsia="ja-JP"/>
                <w14:textFill>
                  <w14:solidFill>
                    <w14:schemeClr w14:val="tx1"/>
                  </w14:solidFill>
                </w14:textFill>
              </w:rPr>
              <w:t>②</w:t>
            </w:r>
            <w:r>
              <w:rPr>
                <w:color w:val="000000" w:themeColor="text1"/>
                <w:kern w:val="2"/>
                <w:sz w:val="24"/>
                <w:szCs w:val="24"/>
                <w14:textFill>
                  <w14:solidFill>
                    <w14:schemeClr w14:val="tx1"/>
                  </w14:solidFill>
                </w14:textFill>
              </w:rPr>
              <w:t>建立健全的环保管理机构，对环保管理人员和技术人员进行岗位培训，委托具有专业资质的环境检测单位对项目排放的各类污染物进行定期检测；</w:t>
            </w:r>
          </w:p>
          <w:p w14:paraId="23AC5E2B">
            <w:pPr>
              <w:pStyle w:val="156"/>
              <w:snapToGrid w:val="0"/>
              <w:spacing w:line="360" w:lineRule="auto"/>
              <w:ind w:left="0" w:firstLine="480" w:firstLineChars="200"/>
              <w:rPr>
                <w:color w:val="000000" w:themeColor="text1"/>
                <w:kern w:val="2"/>
                <w:sz w:val="24"/>
                <w:szCs w:val="24"/>
                <w14:textFill>
                  <w14:solidFill>
                    <w14:schemeClr w14:val="tx1"/>
                  </w14:solidFill>
                </w14:textFill>
              </w:rPr>
            </w:pPr>
            <w:r>
              <w:rPr>
                <w:color w:val="000000" w:themeColor="text1"/>
                <w:kern w:val="2"/>
                <w:sz w:val="24"/>
                <w:szCs w:val="24"/>
                <w:lang w:eastAsia="ja-JP"/>
                <w14:textFill>
                  <w14:solidFill>
                    <w14:schemeClr w14:val="tx1"/>
                  </w14:solidFill>
                </w14:textFill>
              </w:rPr>
              <w:t>③</w:t>
            </w:r>
            <w:r>
              <w:rPr>
                <w:color w:val="000000" w:themeColor="text1"/>
                <w:kern w:val="2"/>
                <w:sz w:val="24"/>
                <w:szCs w:val="24"/>
                <w14:textFill>
                  <w14:solidFill>
                    <w14:schemeClr w14:val="tx1"/>
                  </w14:solidFill>
                </w14:textFill>
              </w:rPr>
              <w:t>应定期维护、检修废气净化装置，以保持废气处理装置的净化能力和净化容量。</w:t>
            </w:r>
          </w:p>
          <w:p w14:paraId="53142250">
            <w:pPr>
              <w:pStyle w:val="156"/>
              <w:snapToGrid w:val="0"/>
              <w:spacing w:line="360" w:lineRule="auto"/>
              <w:ind w:left="0" w:firstLine="480" w:firstLineChars="200"/>
              <w:rPr>
                <w:color w:val="000000" w:themeColor="text1"/>
                <w:kern w:val="2"/>
                <w:sz w:val="24"/>
                <w:szCs w:val="24"/>
                <w14:textFill>
                  <w14:solidFill>
                    <w14:schemeClr w14:val="tx1"/>
                  </w14:solidFill>
                </w14:textFill>
              </w:rPr>
            </w:pPr>
            <w:r>
              <w:rPr>
                <w:color w:val="000000" w:themeColor="text1"/>
                <w:kern w:val="2"/>
                <w:sz w:val="24"/>
                <w:szCs w:val="24"/>
                <w:lang w:eastAsia="ja-JP"/>
                <w14:textFill>
                  <w14:solidFill>
                    <w14:schemeClr w14:val="tx1"/>
                  </w14:solidFill>
                </w14:textFill>
              </w:rPr>
              <w:t>④</w:t>
            </w:r>
            <w:r>
              <w:rPr>
                <w:color w:val="000000" w:themeColor="text1"/>
                <w:kern w:val="2"/>
                <w:sz w:val="24"/>
                <w:szCs w:val="24"/>
                <w14:textFill>
                  <w14:solidFill>
                    <w14:schemeClr w14:val="tx1"/>
                  </w14:solidFill>
                </w14:textFill>
              </w:rPr>
              <w:t>生产加工前，净化设备先开启，关闭生产设备一段时间后再关闭净化设备，不存在废气突然排放的情况。</w:t>
            </w:r>
          </w:p>
          <w:p w14:paraId="2F537478">
            <w:pPr>
              <w:spacing w:line="360" w:lineRule="auto"/>
              <w:ind w:firstLine="480" w:firstLineChars="200"/>
              <w:rPr>
                <w:color w:val="000000" w:themeColor="text1"/>
                <w:sz w:val="24"/>
                <w14:textFill>
                  <w14:solidFill>
                    <w14:schemeClr w14:val="tx1"/>
                  </w14:solidFill>
                </w14:textFill>
              </w:rPr>
            </w:pPr>
            <w:r>
              <w:rPr>
                <w:color w:val="000000" w:themeColor="text1"/>
                <w:sz w:val="24"/>
                <w:lang w:eastAsia="ja-JP"/>
                <w14:textFill>
                  <w14:solidFill>
                    <w14:schemeClr w14:val="tx1"/>
                  </w14:solidFill>
                </w14:textFill>
              </w:rPr>
              <w:t>⑤</w:t>
            </w:r>
            <w:r>
              <w:rPr>
                <w:color w:val="000000" w:themeColor="text1"/>
                <w:sz w:val="24"/>
                <w14:textFill>
                  <w14:solidFill>
                    <w14:schemeClr w14:val="tx1"/>
                  </w14:solidFill>
                </w14:textFill>
              </w:rPr>
              <w:t>企业必须加强废气处理设施的管理，定期检修，确保废气处理设施正常运行，在废气处理设备停止运行或出现故障时，产生废气的各工序也必须相应停止生产。</w:t>
            </w:r>
          </w:p>
          <w:p w14:paraId="26101ADD">
            <w:pPr>
              <w:tabs>
                <w:tab w:val="left" w:pos="4425"/>
              </w:tabs>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本项目废气治理措施采用排污许可证申请与核发技术规范中可行技术，废气经过净化后排放能够达到相应标准要求，非正常工况情况下采取措施后能够有效控制废气排放，因此，本项目对区域大气环境的环境影响较小。</w:t>
            </w:r>
          </w:p>
          <w:p w14:paraId="6509D2C6">
            <w:pPr>
              <w:pStyle w:val="126"/>
              <w:ind w:firstLine="0" w:firstLineChars="0"/>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1.4、废气监测计划</w:t>
            </w:r>
          </w:p>
          <w:p w14:paraId="37F8E87D">
            <w:pPr>
              <w:widowControl/>
              <w:spacing w:line="360" w:lineRule="auto"/>
              <w:ind w:firstLine="480" w:firstLineChars="200"/>
              <w:rPr>
                <w:color w:val="000000" w:themeColor="text1"/>
                <w14:textFill>
                  <w14:solidFill>
                    <w14:schemeClr w14:val="tx1"/>
                  </w14:solidFill>
                </w14:textFill>
              </w:rPr>
            </w:pPr>
            <w:r>
              <w:rPr>
                <w:color w:val="000000" w:themeColor="text1"/>
                <w:sz w:val="24"/>
                <w14:textFill>
                  <w14:solidFill>
                    <w14:schemeClr w14:val="tx1"/>
                  </w14:solidFill>
                </w14:textFill>
              </w:rPr>
              <w:t>根据《排污单位自行监测技术指南 总则》（HJ819-2017）、</w:t>
            </w:r>
            <w:r>
              <w:rPr>
                <w:rStyle w:val="64"/>
                <w:color w:val="000000" w:themeColor="text1"/>
                <w:sz w:val="24"/>
                <w14:textFill>
                  <w14:solidFill>
                    <w14:schemeClr w14:val="tx1"/>
                  </w14:solidFill>
                </w14:textFill>
              </w:rPr>
              <w:t>《排污单位自行监测指南-火力发电及锅炉》（HJ820-2017）</w:t>
            </w:r>
            <w:r>
              <w:rPr>
                <w:color w:val="000000" w:themeColor="text1"/>
                <w:sz w:val="24"/>
                <w14:textFill>
                  <w14:solidFill>
                    <w14:schemeClr w14:val="tx1"/>
                  </w14:solidFill>
                </w14:textFill>
              </w:rPr>
              <w:t>，确定项目废气环境监测计划如下表。</w:t>
            </w:r>
          </w:p>
          <w:p w14:paraId="0F8AB541">
            <w:pPr>
              <w:pStyle w:val="58"/>
              <w:jc w:val="center"/>
              <w:rPr>
                <w:rFonts w:ascii="Times New Roman" w:hAnsi="Times New Roman" w:eastAsia="宋体"/>
                <w:b/>
                <w:bCs/>
                <w:color w:val="000000" w:themeColor="text1"/>
                <w:sz w:val="21"/>
                <w:szCs w:val="21"/>
                <w14:textFill>
                  <w14:solidFill>
                    <w14:schemeClr w14:val="tx1"/>
                  </w14:solidFill>
                </w14:textFill>
              </w:rPr>
            </w:pPr>
            <w:r>
              <w:rPr>
                <w:rFonts w:ascii="Times New Roman" w:hAnsi="Times New Roman" w:eastAsia="宋体"/>
                <w:b/>
                <w:bCs/>
                <w:color w:val="000000" w:themeColor="text1"/>
                <w:sz w:val="21"/>
                <w:szCs w:val="21"/>
                <w14:textFill>
                  <w14:solidFill>
                    <w14:schemeClr w14:val="tx1"/>
                  </w14:solidFill>
                </w14:textFill>
              </w:rPr>
              <w:t>表4-7  废气监测要求一览表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536"/>
              <w:gridCol w:w="1794"/>
              <w:gridCol w:w="1159"/>
              <w:gridCol w:w="3081"/>
            </w:tblGrid>
            <w:tr w14:paraId="2A009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42" w:type="pct"/>
                  <w:vAlign w:val="center"/>
                </w:tcPr>
                <w:p w14:paraId="12968143">
                  <w:pPr>
                    <w:pStyle w:val="113"/>
                    <w:rPr>
                      <w:color w:val="000000" w:themeColor="text1"/>
                      <w14:textFill>
                        <w14:solidFill>
                          <w14:schemeClr w14:val="tx1"/>
                        </w14:solidFill>
                      </w14:textFill>
                    </w:rPr>
                  </w:pPr>
                  <w:r>
                    <w:rPr>
                      <w:color w:val="000000" w:themeColor="text1"/>
                      <w14:textFill>
                        <w14:solidFill>
                          <w14:schemeClr w14:val="tx1"/>
                        </w14:solidFill>
                      </w14:textFill>
                    </w:rPr>
                    <w:t>监测项目</w:t>
                  </w:r>
                </w:p>
              </w:tc>
              <w:tc>
                <w:tcPr>
                  <w:tcW w:w="924" w:type="pct"/>
                  <w:vAlign w:val="center"/>
                </w:tcPr>
                <w:p w14:paraId="2B42E033">
                  <w:pPr>
                    <w:pStyle w:val="113"/>
                    <w:rPr>
                      <w:color w:val="000000" w:themeColor="text1"/>
                      <w14:textFill>
                        <w14:solidFill>
                          <w14:schemeClr w14:val="tx1"/>
                        </w14:solidFill>
                      </w14:textFill>
                    </w:rPr>
                  </w:pPr>
                  <w:r>
                    <w:rPr>
                      <w:color w:val="000000" w:themeColor="text1"/>
                      <w14:textFill>
                        <w14:solidFill>
                          <w14:schemeClr w14:val="tx1"/>
                        </w14:solidFill>
                      </w14:textFill>
                    </w:rPr>
                    <w:t>监测点位</w:t>
                  </w:r>
                </w:p>
              </w:tc>
              <w:tc>
                <w:tcPr>
                  <w:tcW w:w="1079" w:type="pct"/>
                  <w:vAlign w:val="center"/>
                </w:tcPr>
                <w:p w14:paraId="7EF34938">
                  <w:pPr>
                    <w:pStyle w:val="113"/>
                    <w:rPr>
                      <w:color w:val="000000" w:themeColor="text1"/>
                      <w14:textFill>
                        <w14:solidFill>
                          <w14:schemeClr w14:val="tx1"/>
                        </w14:solidFill>
                      </w14:textFill>
                    </w:rPr>
                  </w:pPr>
                  <w:r>
                    <w:rPr>
                      <w:color w:val="000000" w:themeColor="text1"/>
                      <w14:textFill>
                        <w14:solidFill>
                          <w14:schemeClr w14:val="tx1"/>
                        </w14:solidFill>
                      </w14:textFill>
                    </w:rPr>
                    <w:t>监测因子</w:t>
                  </w:r>
                </w:p>
              </w:tc>
              <w:tc>
                <w:tcPr>
                  <w:tcW w:w="698" w:type="pct"/>
                  <w:vAlign w:val="center"/>
                </w:tcPr>
                <w:p w14:paraId="07A7612E">
                  <w:pPr>
                    <w:pStyle w:val="113"/>
                    <w:rPr>
                      <w:color w:val="000000" w:themeColor="text1"/>
                      <w14:textFill>
                        <w14:solidFill>
                          <w14:schemeClr w14:val="tx1"/>
                        </w14:solidFill>
                      </w14:textFill>
                    </w:rPr>
                  </w:pPr>
                  <w:r>
                    <w:rPr>
                      <w:color w:val="000000" w:themeColor="text1"/>
                      <w14:textFill>
                        <w14:solidFill>
                          <w14:schemeClr w14:val="tx1"/>
                        </w14:solidFill>
                      </w14:textFill>
                    </w:rPr>
                    <w:t>监测频次</w:t>
                  </w:r>
                </w:p>
              </w:tc>
              <w:tc>
                <w:tcPr>
                  <w:tcW w:w="1854" w:type="pct"/>
                  <w:vAlign w:val="center"/>
                </w:tcPr>
                <w:p w14:paraId="015BA3E7">
                  <w:pPr>
                    <w:pStyle w:val="113"/>
                    <w:rPr>
                      <w:color w:val="000000" w:themeColor="text1"/>
                      <w14:textFill>
                        <w14:solidFill>
                          <w14:schemeClr w14:val="tx1"/>
                        </w14:solidFill>
                      </w14:textFill>
                    </w:rPr>
                  </w:pPr>
                  <w:r>
                    <w:rPr>
                      <w:color w:val="000000" w:themeColor="text1"/>
                      <w14:textFill>
                        <w14:solidFill>
                          <w14:schemeClr w14:val="tx1"/>
                        </w14:solidFill>
                      </w14:textFill>
                    </w:rPr>
                    <w:t>执行标准</w:t>
                  </w:r>
                </w:p>
              </w:tc>
            </w:tr>
            <w:tr w14:paraId="561CA4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42" w:type="pct"/>
                  <w:vMerge w:val="restart"/>
                  <w:vAlign w:val="center"/>
                </w:tcPr>
                <w:p w14:paraId="3230C398">
                  <w:pPr>
                    <w:pStyle w:val="113"/>
                    <w:rPr>
                      <w:color w:val="000000" w:themeColor="text1"/>
                      <w14:textFill>
                        <w14:solidFill>
                          <w14:schemeClr w14:val="tx1"/>
                        </w14:solidFill>
                      </w14:textFill>
                    </w:rPr>
                  </w:pPr>
                  <w:bookmarkStart w:id="21" w:name="_Toc15113"/>
                  <w:bookmarkStart w:id="22" w:name="_Toc28956"/>
                  <w:bookmarkStart w:id="23" w:name="_Toc938"/>
                  <w:bookmarkStart w:id="24" w:name="_Toc42076832"/>
                  <w:bookmarkStart w:id="25" w:name="_Toc8816"/>
                  <w:bookmarkStart w:id="26" w:name="_Toc11332"/>
                  <w:r>
                    <w:rPr>
                      <w:color w:val="000000" w:themeColor="text1"/>
                      <w14:textFill>
                        <w14:solidFill>
                          <w14:schemeClr w14:val="tx1"/>
                        </w14:solidFill>
                      </w14:textFill>
                    </w:rPr>
                    <w:t>废气</w:t>
                  </w:r>
                </w:p>
              </w:tc>
              <w:tc>
                <w:tcPr>
                  <w:tcW w:w="924" w:type="pct"/>
                  <w:vAlign w:val="center"/>
                </w:tcPr>
                <w:p w14:paraId="6CF06AE8">
                  <w:pPr>
                    <w:rPr>
                      <w:color w:val="000000" w:themeColor="text1"/>
                      <w14:textFill>
                        <w14:solidFill>
                          <w14:schemeClr w14:val="tx1"/>
                        </w14:solidFill>
                      </w14:textFill>
                    </w:rPr>
                  </w:pPr>
                  <w:r>
                    <w:rPr>
                      <w:color w:val="000000" w:themeColor="text1"/>
                      <w14:textFill>
                        <w14:solidFill>
                          <w14:schemeClr w14:val="tx1"/>
                        </w14:solidFill>
                      </w14:textFill>
                    </w:rPr>
                    <w:t>DA001排气筒</w:t>
                  </w:r>
                </w:p>
              </w:tc>
              <w:tc>
                <w:tcPr>
                  <w:tcW w:w="1079" w:type="pct"/>
                  <w:shd w:val="clear" w:color="auto" w:fill="auto"/>
                  <w:vAlign w:val="center"/>
                </w:tcPr>
                <w:p w14:paraId="66BF5C18">
                  <w:pPr>
                    <w:pStyle w:val="113"/>
                    <w:rPr>
                      <w:color w:val="000000" w:themeColor="text1"/>
                      <w14:textFill>
                        <w14:solidFill>
                          <w14:schemeClr w14:val="tx1"/>
                        </w14:solidFill>
                      </w14:textFill>
                    </w:rPr>
                  </w:pPr>
                  <w:r>
                    <w:rPr>
                      <w:rStyle w:val="64"/>
                      <w:color w:val="000000" w:themeColor="text1"/>
                      <w14:textFill>
                        <w14:solidFill>
                          <w14:schemeClr w14:val="tx1"/>
                        </w14:solidFill>
                      </w14:textFill>
                    </w:rPr>
                    <w:t>颗粒物、SO</w:t>
                  </w:r>
                  <w:r>
                    <w:rPr>
                      <w:rStyle w:val="64"/>
                      <w:color w:val="000000" w:themeColor="text1"/>
                      <w:vertAlign w:val="subscript"/>
                      <w14:textFill>
                        <w14:solidFill>
                          <w14:schemeClr w14:val="tx1"/>
                        </w14:solidFill>
                      </w14:textFill>
                    </w:rPr>
                    <w:t>2</w:t>
                  </w:r>
                  <w:r>
                    <w:rPr>
                      <w:rStyle w:val="64"/>
                      <w:color w:val="000000" w:themeColor="text1"/>
                      <w14:textFill>
                        <w14:solidFill>
                          <w14:schemeClr w14:val="tx1"/>
                        </w14:solidFill>
                      </w14:textFill>
                    </w:rPr>
                    <w:t>、NOx、烟气黑度</w:t>
                  </w:r>
                </w:p>
              </w:tc>
              <w:tc>
                <w:tcPr>
                  <w:tcW w:w="698" w:type="pct"/>
                  <w:shd w:val="clear" w:color="auto" w:fill="auto"/>
                  <w:vAlign w:val="center"/>
                </w:tcPr>
                <w:p w14:paraId="27E82BFD">
                  <w:pPr>
                    <w:pStyle w:val="113"/>
                    <w:rPr>
                      <w:color w:val="000000" w:themeColor="text1"/>
                      <w14:textFill>
                        <w14:solidFill>
                          <w14:schemeClr w14:val="tx1"/>
                        </w14:solidFill>
                      </w14:textFill>
                    </w:rPr>
                  </w:pPr>
                  <w:r>
                    <w:rPr>
                      <w:rStyle w:val="64"/>
                      <w:color w:val="000000" w:themeColor="text1"/>
                      <w14:textFill>
                        <w14:solidFill>
                          <w14:schemeClr w14:val="tx1"/>
                        </w14:solidFill>
                      </w14:textFill>
                    </w:rPr>
                    <w:t>1次/月</w:t>
                  </w:r>
                </w:p>
              </w:tc>
              <w:tc>
                <w:tcPr>
                  <w:tcW w:w="1854" w:type="pct"/>
                  <w:shd w:val="clear" w:color="auto" w:fill="auto"/>
                  <w:vAlign w:val="center"/>
                </w:tcPr>
                <w:p w14:paraId="3911A9DC">
                  <w:pPr>
                    <w:pStyle w:val="113"/>
                    <w:rPr>
                      <w:color w:val="000000" w:themeColor="text1"/>
                      <w14:textFill>
                        <w14:solidFill>
                          <w14:schemeClr w14:val="tx1"/>
                        </w14:solidFill>
                      </w14:textFill>
                    </w:rPr>
                  </w:pPr>
                  <w:r>
                    <w:rPr>
                      <w:rStyle w:val="64"/>
                      <w:color w:val="000000" w:themeColor="text1"/>
                      <w14:textFill>
                        <w14:solidFill>
                          <w14:schemeClr w14:val="tx1"/>
                        </w14:solidFill>
                      </w14:textFill>
                    </w:rPr>
                    <w:t>《锅炉大气污染物排放标准》（GB13271-2014）表3</w:t>
                  </w:r>
                </w:p>
              </w:tc>
            </w:tr>
            <w:tr w14:paraId="7D08F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42" w:type="pct"/>
                  <w:vMerge w:val="continue"/>
                  <w:vAlign w:val="center"/>
                </w:tcPr>
                <w:p w14:paraId="4F35DDEC">
                  <w:pPr>
                    <w:pStyle w:val="113"/>
                    <w:rPr>
                      <w:color w:val="000000" w:themeColor="text1"/>
                      <w14:textFill>
                        <w14:solidFill>
                          <w14:schemeClr w14:val="tx1"/>
                        </w14:solidFill>
                      </w14:textFill>
                    </w:rPr>
                  </w:pPr>
                </w:p>
              </w:tc>
              <w:tc>
                <w:tcPr>
                  <w:tcW w:w="924" w:type="pct"/>
                  <w:vAlign w:val="center"/>
                </w:tcPr>
                <w:p w14:paraId="3F8FF38A">
                  <w:pPr>
                    <w:jc w:val="center"/>
                    <w:rPr>
                      <w:color w:val="000000" w:themeColor="text1"/>
                      <w14:textFill>
                        <w14:solidFill>
                          <w14:schemeClr w14:val="tx1"/>
                        </w14:solidFill>
                      </w14:textFill>
                    </w:rPr>
                  </w:pPr>
                  <w:r>
                    <w:rPr>
                      <w:color w:val="000000" w:themeColor="text1"/>
                      <w14:textFill>
                        <w14:solidFill>
                          <w14:schemeClr w14:val="tx1"/>
                        </w14:solidFill>
                      </w14:textFill>
                    </w:rPr>
                    <w:t>厂界</w:t>
                  </w:r>
                </w:p>
              </w:tc>
              <w:tc>
                <w:tcPr>
                  <w:tcW w:w="1079" w:type="pct"/>
                  <w:shd w:val="clear" w:color="auto" w:fill="auto"/>
                  <w:vAlign w:val="center"/>
                </w:tcPr>
                <w:p w14:paraId="26563427">
                  <w:pPr>
                    <w:pStyle w:val="113"/>
                    <w:rPr>
                      <w:rStyle w:val="64"/>
                      <w:color w:val="000000" w:themeColor="text1"/>
                      <w14:textFill>
                        <w14:solidFill>
                          <w14:schemeClr w14:val="tx1"/>
                        </w14:solidFill>
                      </w14:textFill>
                    </w:rPr>
                  </w:pPr>
                  <w:r>
                    <w:rPr>
                      <w:rStyle w:val="64"/>
                      <w:color w:val="000000" w:themeColor="text1"/>
                      <w14:textFill>
                        <w14:solidFill>
                          <w14:schemeClr w14:val="tx1"/>
                        </w14:solidFill>
                      </w14:textFill>
                    </w:rPr>
                    <w:t>颗粒物</w:t>
                  </w:r>
                </w:p>
              </w:tc>
              <w:tc>
                <w:tcPr>
                  <w:tcW w:w="698" w:type="pct"/>
                  <w:shd w:val="clear" w:color="auto" w:fill="auto"/>
                  <w:vAlign w:val="center"/>
                </w:tcPr>
                <w:p w14:paraId="5185F0F5">
                  <w:pPr>
                    <w:pStyle w:val="113"/>
                    <w:rPr>
                      <w:rStyle w:val="64"/>
                      <w:color w:val="000000" w:themeColor="text1"/>
                      <w14:textFill>
                        <w14:solidFill>
                          <w14:schemeClr w14:val="tx1"/>
                        </w14:solidFill>
                      </w14:textFill>
                    </w:rPr>
                  </w:pPr>
                  <w:r>
                    <w:rPr>
                      <w:rStyle w:val="64"/>
                      <w:color w:val="000000" w:themeColor="text1"/>
                      <w14:textFill>
                        <w14:solidFill>
                          <w14:schemeClr w14:val="tx1"/>
                        </w14:solidFill>
                      </w14:textFill>
                    </w:rPr>
                    <w:t>1次/季度</w:t>
                  </w:r>
                </w:p>
              </w:tc>
              <w:tc>
                <w:tcPr>
                  <w:tcW w:w="1854" w:type="pct"/>
                  <w:shd w:val="clear" w:color="auto" w:fill="auto"/>
                  <w:vAlign w:val="center"/>
                </w:tcPr>
                <w:p w14:paraId="13A45FE7">
                  <w:pPr>
                    <w:pStyle w:val="113"/>
                    <w:rPr>
                      <w:rStyle w:val="64"/>
                      <w:color w:val="000000" w:themeColor="text1"/>
                      <w14:textFill>
                        <w14:solidFill>
                          <w14:schemeClr w14:val="tx1"/>
                        </w14:solidFill>
                      </w14:textFill>
                    </w:rPr>
                  </w:pPr>
                  <w:r>
                    <w:rPr>
                      <w:color w:val="000000" w:themeColor="text1"/>
                      <w14:textFill>
                        <w14:solidFill>
                          <w14:schemeClr w14:val="tx1"/>
                        </w14:solidFill>
                      </w14:textFill>
                    </w:rPr>
                    <w:t>《大气污染物综合排放标准》（GB16297-1996）中无组织排放监控点浓度限值要求</w:t>
                  </w:r>
                </w:p>
              </w:tc>
            </w:tr>
            <w:bookmarkEnd w:id="21"/>
            <w:bookmarkEnd w:id="22"/>
            <w:bookmarkEnd w:id="23"/>
            <w:bookmarkEnd w:id="24"/>
            <w:bookmarkEnd w:id="25"/>
            <w:bookmarkEnd w:id="26"/>
          </w:tbl>
          <w:p w14:paraId="0892B9E7">
            <w:pPr>
              <w:numPr>
                <w:ilvl w:val="0"/>
                <w:numId w:val="9"/>
              </w:num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废水</w:t>
            </w:r>
          </w:p>
          <w:p w14:paraId="4B423756">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2.1废水源强核算</w:t>
            </w:r>
          </w:p>
          <w:p w14:paraId="1C9043C1">
            <w:pPr>
              <w:spacing w:line="360" w:lineRule="auto"/>
              <w:ind w:firstLine="480" w:firstLineChars="200"/>
              <w:rPr>
                <w:color w:val="000000" w:themeColor="text1"/>
                <w:sz w:val="24"/>
                <w14:textFill>
                  <w14:solidFill>
                    <w14:schemeClr w14:val="tx1"/>
                  </w14:solidFill>
                </w14:textFill>
              </w:rPr>
            </w:pPr>
            <w:r>
              <w:rPr>
                <w:rStyle w:val="64"/>
                <w:color w:val="000000" w:themeColor="text1"/>
                <w:kern w:val="0"/>
                <w:sz w:val="24"/>
                <w14:textFill>
                  <w14:solidFill>
                    <w14:schemeClr w14:val="tx1"/>
                  </w14:solidFill>
                </w14:textFill>
              </w:rPr>
              <w:t>本项目产生的废水主要为软水制备废水和蒸汽发生器排污水，软水制备</w:t>
            </w:r>
            <w:r>
              <w:rPr>
                <w:color w:val="000000" w:themeColor="text1"/>
                <w:sz w:val="24"/>
                <w14:textFill>
                  <w14:solidFill>
                    <w14:schemeClr w14:val="tx1"/>
                  </w14:solidFill>
                </w14:textFill>
              </w:rPr>
              <w:t>废水用于炉渣处理时洒水降尘，蒸汽发生器排污水经化粪池处理后排入峡河乡污水处理设施，年总排放量为20t/a，污染物主要为pH、COD、NH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-N、SS、BOD</w:t>
            </w:r>
            <w:r>
              <w:rPr>
                <w:color w:val="000000" w:themeColor="text1"/>
                <w:sz w:val="24"/>
                <w:vertAlign w:val="subscript"/>
                <w14:textFill>
                  <w14:solidFill>
                    <w14:schemeClr w14:val="tx1"/>
                  </w14:solidFill>
                </w14:textFill>
              </w:rPr>
              <w:t>5</w:t>
            </w:r>
            <w:r>
              <w:rPr>
                <w:color w:val="000000" w:themeColor="text1"/>
                <w:sz w:val="24"/>
                <w14:textFill>
                  <w14:solidFill>
                    <w14:schemeClr w14:val="tx1"/>
                  </w14:solidFill>
                </w14:textFill>
              </w:rPr>
              <w:t>、总磷、总氮、溶解性总固体</w:t>
            </w:r>
            <w:r>
              <w:rPr>
                <w:color w:val="000000" w:themeColor="text1"/>
                <w:sz w:val="24"/>
                <w:szCs w:val="32"/>
                <w14:textFill>
                  <w14:solidFill>
                    <w14:schemeClr w14:val="tx1"/>
                  </w14:solidFill>
                </w14:textFill>
              </w:rPr>
              <w:t>。</w:t>
            </w:r>
            <w:r>
              <w:rPr>
                <w:color w:val="000000" w:themeColor="text1"/>
                <w:sz w:val="24"/>
                <w14:textFill>
                  <w14:solidFill>
                    <w14:schemeClr w14:val="tx1"/>
                  </w14:solidFill>
                </w14:textFill>
              </w:rPr>
              <w:t>参考《锅炉排污水回收利用技术探讨》可知，项目废水pH为6~9、COD排放浓度为80mg/L、NH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-N排放浓度为5mg/L、SS排放浓度为200mg/L、BOD</w:t>
            </w:r>
            <w:r>
              <w:rPr>
                <w:color w:val="000000" w:themeColor="text1"/>
                <w:sz w:val="24"/>
                <w:vertAlign w:val="subscript"/>
                <w14:textFill>
                  <w14:solidFill>
                    <w14:schemeClr w14:val="tx1"/>
                  </w14:solidFill>
                </w14:textFill>
              </w:rPr>
              <w:t>5</w:t>
            </w:r>
            <w:r>
              <w:rPr>
                <w:color w:val="000000" w:themeColor="text1"/>
                <w:sz w:val="24"/>
                <w14:textFill>
                  <w14:solidFill>
                    <w14:schemeClr w14:val="tx1"/>
                  </w14:solidFill>
                </w14:textFill>
              </w:rPr>
              <w:t>排放浓度为36mg/L、溶解性总固体排放浓度为100mg/L，污染物产生情况见下表。</w:t>
            </w:r>
          </w:p>
          <w:p w14:paraId="1BD7BA82">
            <w:pPr>
              <w:spacing w:line="360" w:lineRule="auto"/>
              <w:ind w:firstLine="480" w:firstLineChars="200"/>
              <w:rPr>
                <w:color w:val="000000" w:themeColor="text1"/>
                <w:sz w:val="24"/>
                <w:shd w:val="clear" w:color="auto" w:fill="FFFFFF"/>
                <w14:textFill>
                  <w14:solidFill>
                    <w14:schemeClr w14:val="tx1"/>
                  </w14:solidFill>
                </w14:textFill>
              </w:rPr>
            </w:pPr>
            <w:r>
              <w:rPr>
                <w:rFonts w:hint="eastAsia"/>
                <w:color w:val="000000" w:themeColor="text1"/>
                <w:sz w:val="24"/>
                <w14:textFill>
                  <w14:solidFill>
                    <w14:schemeClr w14:val="tx1"/>
                  </w14:solidFill>
                </w14:textFill>
              </w:rPr>
              <w:t>企业主体工程为食用菌加工冷藏项目，</w:t>
            </w:r>
            <w:r>
              <w:rPr>
                <w:color w:val="000000" w:themeColor="text1"/>
                <w:sz w:val="24"/>
                <w14:textFill>
                  <w14:solidFill>
                    <w14:schemeClr w14:val="tx1"/>
                  </w14:solidFill>
                </w14:textFill>
              </w:rPr>
              <w:t>根据</w:t>
            </w:r>
            <w:r>
              <w:rPr>
                <w:rStyle w:val="64"/>
                <w:color w:val="000000" w:themeColor="text1"/>
                <w:sz w:val="24"/>
                <w:lang w:val="zh-CN"/>
                <w14:textFill>
                  <w14:solidFill>
                    <w14:schemeClr w14:val="tx1"/>
                  </w14:solidFill>
                </w14:textFill>
              </w:rPr>
              <w:t>《建设项目环境影响评价分类管理名录》（2021年版），</w:t>
            </w:r>
            <w:r>
              <w:rPr>
                <w:rStyle w:val="64"/>
                <w:color w:val="000000" w:themeColor="text1"/>
                <w:sz w:val="24"/>
                <w14:textFill>
                  <w14:solidFill>
                    <w14:schemeClr w14:val="tx1"/>
                  </w14:solidFill>
                </w14:textFill>
              </w:rPr>
              <w:t>食用菌加工无需办理环境影响评价手续</w:t>
            </w:r>
            <w:r>
              <w:rPr>
                <w:rStyle w:val="64"/>
                <w:rFonts w:hint="eastAsia"/>
                <w:color w:val="000000" w:themeColor="text1"/>
                <w:sz w:val="24"/>
                <w14:textFill>
                  <w14:solidFill>
                    <w14:schemeClr w14:val="tx1"/>
                  </w14:solidFill>
                </w14:textFill>
              </w:rPr>
              <w:t>，因此原有食用菌加工废水未纳入环评管理，此前未进行过废水源强核算。由于食用菌加工废水与本次环评评价范围内的蒸汽发生器排污水发生混排，因此需纳入本次环评统一核算废水源强并申请总量指标。</w:t>
            </w:r>
            <w:r>
              <w:rPr>
                <w:color w:val="000000" w:themeColor="text1"/>
                <w:sz w:val="24"/>
                <w14:textFill>
                  <w14:solidFill>
                    <w14:schemeClr w14:val="tx1"/>
                  </w14:solidFill>
                </w14:textFill>
              </w:rPr>
              <w:t>食用菌加工废水</w:t>
            </w:r>
            <w:r>
              <w:rPr>
                <w:rFonts w:eastAsia="Segoe UI"/>
                <w:color w:val="000000" w:themeColor="text1"/>
                <w:sz w:val="24"/>
                <w:shd w:val="clear" w:color="auto" w:fill="FFFFFF"/>
                <w14:textFill>
                  <w14:solidFill>
                    <w14:schemeClr w14:val="tx1"/>
                  </w14:solidFill>
                </w14:textFill>
              </w:rPr>
              <w:t>、生活污水和蒸汽发生器排污水经</w:t>
            </w:r>
            <w:r>
              <w:rPr>
                <w:color w:val="000000" w:themeColor="text1"/>
                <w:sz w:val="24"/>
                <w:shd w:val="clear" w:color="auto" w:fill="FFFFFF"/>
                <w14:textFill>
                  <w14:solidFill>
                    <w14:schemeClr w14:val="tx1"/>
                  </w14:solidFill>
                </w14:textFill>
              </w:rPr>
              <w:t>化粪池处理</w:t>
            </w:r>
            <w:r>
              <w:rPr>
                <w:rFonts w:eastAsia="Segoe UI"/>
                <w:color w:val="000000" w:themeColor="text1"/>
                <w:sz w:val="24"/>
                <w:shd w:val="clear" w:color="auto" w:fill="FFFFFF"/>
                <w14:textFill>
                  <w14:solidFill>
                    <w14:schemeClr w14:val="tx1"/>
                  </w14:solidFill>
                </w14:textFill>
              </w:rPr>
              <w:t>后</w:t>
            </w:r>
            <w:r>
              <w:rPr>
                <w:rFonts w:hint="eastAsia"/>
                <w:color w:val="000000" w:themeColor="text1"/>
                <w:sz w:val="24"/>
                <w:shd w:val="clear" w:color="auto" w:fill="FFFFFF"/>
                <w14:textFill>
                  <w14:solidFill>
                    <w14:schemeClr w14:val="tx1"/>
                  </w14:solidFill>
                </w14:textFill>
              </w:rPr>
              <w:t>一同排入峡河乡污水处理设施</w:t>
            </w:r>
            <w:r>
              <w:rPr>
                <w:color w:val="000000" w:themeColor="text1"/>
                <w:sz w:val="24"/>
                <w:shd w:val="clear" w:color="auto" w:fill="FFFFFF"/>
                <w14:textFill>
                  <w14:solidFill>
                    <w14:schemeClr w14:val="tx1"/>
                  </w14:solidFill>
                </w14:textFill>
              </w:rPr>
              <w:t>。根据企业提供资料，生活污水排放量为</w:t>
            </w:r>
            <w:r>
              <w:rPr>
                <w:rFonts w:hint="eastAsia"/>
                <w:color w:val="000000" w:themeColor="text1"/>
                <w:sz w:val="24"/>
                <w:shd w:val="clear" w:color="auto" w:fill="FFFFFF"/>
                <w14:textFill>
                  <w14:solidFill>
                    <w14:schemeClr w14:val="tx1"/>
                  </w14:solidFill>
                </w14:textFill>
              </w:rPr>
              <w:t>58</w:t>
            </w:r>
            <w:r>
              <w:rPr>
                <w:color w:val="000000" w:themeColor="text1"/>
                <w:sz w:val="24"/>
                <w:shd w:val="clear" w:color="auto" w:fill="FFFFFF"/>
                <w14:textFill>
                  <w14:solidFill>
                    <w14:schemeClr w14:val="tx1"/>
                  </w14:solidFill>
                </w14:textFill>
              </w:rPr>
              <w:t>t/a，食用菌加工废水排放量为200t/a，</w:t>
            </w:r>
            <w:r>
              <w:rPr>
                <w:rFonts w:hint="eastAsia"/>
                <w:color w:val="000000" w:themeColor="text1"/>
                <w:sz w:val="24"/>
                <w:shd w:val="clear" w:color="auto" w:fill="FFFFFF"/>
                <w14:textFill>
                  <w14:solidFill>
                    <w14:schemeClr w14:val="tx1"/>
                  </w14:solidFill>
                </w14:textFill>
              </w:rPr>
              <w:t>综合</w:t>
            </w:r>
            <w:r>
              <w:rPr>
                <w:color w:val="000000" w:themeColor="text1"/>
                <w:sz w:val="24"/>
                <w:shd w:val="clear" w:color="auto" w:fill="FFFFFF"/>
                <w14:textFill>
                  <w14:solidFill>
                    <w14:schemeClr w14:val="tx1"/>
                  </w14:solidFill>
                </w14:textFill>
              </w:rPr>
              <w:t>废水</w:t>
            </w:r>
            <w:r>
              <w:rPr>
                <w:rFonts w:hint="eastAsia"/>
                <w:color w:val="000000" w:themeColor="text1"/>
                <w:sz w:val="24"/>
                <w:shd w:val="clear" w:color="auto" w:fill="FFFFFF"/>
                <w14:textFill>
                  <w14:solidFill>
                    <w14:schemeClr w14:val="tx1"/>
                  </w14:solidFill>
                </w14:textFill>
              </w:rPr>
              <w:t>排放</w:t>
            </w:r>
            <w:r>
              <w:rPr>
                <w:color w:val="000000" w:themeColor="text1"/>
                <w:sz w:val="24"/>
                <w:shd w:val="clear" w:color="auto" w:fill="FFFFFF"/>
                <w14:textFill>
                  <w14:solidFill>
                    <w14:schemeClr w14:val="tx1"/>
                  </w14:solidFill>
                </w14:textFill>
              </w:rPr>
              <w:t>量为</w:t>
            </w:r>
            <w:r>
              <w:rPr>
                <w:rFonts w:hint="eastAsia"/>
                <w:color w:val="000000" w:themeColor="text1"/>
                <w:sz w:val="24"/>
                <w:shd w:val="clear" w:color="auto" w:fill="FFFFFF"/>
                <w14:textFill>
                  <w14:solidFill>
                    <w14:schemeClr w14:val="tx1"/>
                  </w14:solidFill>
                </w14:textFill>
              </w:rPr>
              <w:t>27</w:t>
            </w:r>
            <w:r>
              <w:rPr>
                <w:color w:val="000000" w:themeColor="text1"/>
                <w:sz w:val="24"/>
                <w:shd w:val="clear" w:color="auto" w:fill="FFFFFF"/>
                <w14:textFill>
                  <w14:solidFill>
                    <w14:schemeClr w14:val="tx1"/>
                  </w14:solidFill>
                </w14:textFill>
              </w:rPr>
              <w:t>8t/a。</w:t>
            </w:r>
          </w:p>
          <w:p w14:paraId="5E1BDEC4">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表4-8  各股废水排放源强一览表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980"/>
              <w:gridCol w:w="786"/>
              <w:gridCol w:w="786"/>
              <w:gridCol w:w="786"/>
              <w:gridCol w:w="786"/>
              <w:gridCol w:w="786"/>
              <w:gridCol w:w="786"/>
              <w:gridCol w:w="786"/>
              <w:gridCol w:w="802"/>
            </w:tblGrid>
            <w:tr w14:paraId="62EBB9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5" w:type="pct"/>
                  <w:vMerge w:val="restart"/>
                  <w:tcBorders>
                    <w:tl2br w:val="nil"/>
                    <w:tr2bl w:val="nil"/>
                  </w:tcBorders>
                  <w:vAlign w:val="center"/>
                </w:tcPr>
                <w:p w14:paraId="55990C7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废水种类</w:t>
                  </w:r>
                </w:p>
              </w:tc>
              <w:tc>
                <w:tcPr>
                  <w:tcW w:w="590" w:type="pct"/>
                  <w:vMerge w:val="restart"/>
                  <w:tcBorders>
                    <w:tl2br w:val="nil"/>
                    <w:tr2bl w:val="nil"/>
                  </w:tcBorders>
                  <w:vAlign w:val="center"/>
                </w:tcPr>
                <w:p w14:paraId="084ED10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排放量（m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/a）</w:t>
                  </w:r>
                </w:p>
              </w:tc>
              <w:tc>
                <w:tcPr>
                  <w:tcW w:w="3794" w:type="pct"/>
                  <w:gridSpan w:val="8"/>
                  <w:tcBorders>
                    <w:tl2br w:val="nil"/>
                    <w:tr2bl w:val="nil"/>
                  </w:tcBorders>
                  <w:vAlign w:val="center"/>
                </w:tcPr>
                <w:p w14:paraId="6DCF720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污染物产生浓度（mg/L）</w:t>
                  </w:r>
                </w:p>
              </w:tc>
            </w:tr>
            <w:tr w14:paraId="520AB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5" w:type="pct"/>
                  <w:vMerge w:val="continue"/>
                  <w:tcBorders>
                    <w:tl2br w:val="nil"/>
                    <w:tr2bl w:val="nil"/>
                  </w:tcBorders>
                  <w:vAlign w:val="center"/>
                </w:tcPr>
                <w:p w14:paraId="1B8CE167">
                  <w:pPr>
                    <w:jc w:val="center"/>
                    <w:rPr>
                      <w:color w:val="000000" w:themeColor="text1"/>
                      <w:szCs w:val="21"/>
                      <w14:textFill>
                        <w14:solidFill>
                          <w14:schemeClr w14:val="tx1"/>
                        </w14:solidFill>
                      </w14:textFill>
                    </w:rPr>
                  </w:pPr>
                </w:p>
              </w:tc>
              <w:tc>
                <w:tcPr>
                  <w:tcW w:w="590" w:type="pct"/>
                  <w:vMerge w:val="continue"/>
                  <w:tcBorders>
                    <w:tl2br w:val="nil"/>
                    <w:tr2bl w:val="nil"/>
                  </w:tcBorders>
                  <w:vAlign w:val="center"/>
                </w:tcPr>
                <w:p w14:paraId="26E3E13F">
                  <w:pPr>
                    <w:jc w:val="center"/>
                    <w:rPr>
                      <w:color w:val="000000" w:themeColor="text1"/>
                      <w:szCs w:val="21"/>
                      <w14:textFill>
                        <w14:solidFill>
                          <w14:schemeClr w14:val="tx1"/>
                        </w14:solidFill>
                      </w14:textFill>
                    </w:rPr>
                  </w:pPr>
                </w:p>
              </w:tc>
              <w:tc>
                <w:tcPr>
                  <w:tcW w:w="473" w:type="pct"/>
                  <w:tcBorders>
                    <w:tl2br w:val="nil"/>
                    <w:tr2bl w:val="nil"/>
                  </w:tcBorders>
                  <w:vAlign w:val="center"/>
                </w:tcPr>
                <w:p w14:paraId="3A22388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pH（无量纲）</w:t>
                  </w:r>
                </w:p>
              </w:tc>
              <w:tc>
                <w:tcPr>
                  <w:tcW w:w="473" w:type="pct"/>
                  <w:tcBorders>
                    <w:tl2br w:val="nil"/>
                    <w:tr2bl w:val="nil"/>
                  </w:tcBorders>
                  <w:vAlign w:val="center"/>
                </w:tcPr>
                <w:p w14:paraId="1BD1983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COD</w:t>
                  </w:r>
                </w:p>
              </w:tc>
              <w:tc>
                <w:tcPr>
                  <w:tcW w:w="473" w:type="pct"/>
                  <w:tcBorders>
                    <w:tl2br w:val="nil"/>
                    <w:tr2bl w:val="nil"/>
                  </w:tcBorders>
                  <w:vAlign w:val="center"/>
                </w:tcPr>
                <w:p w14:paraId="2442A47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BOD</w:t>
                  </w:r>
                  <w:r>
                    <w:rPr>
                      <w:color w:val="000000" w:themeColor="text1"/>
                      <w:szCs w:val="21"/>
                      <w:vertAlign w:val="subscript"/>
                      <w14:textFill>
                        <w14:solidFill>
                          <w14:schemeClr w14:val="tx1"/>
                        </w14:solidFill>
                      </w14:textFill>
                    </w:rPr>
                    <w:t>5</w:t>
                  </w:r>
                </w:p>
              </w:tc>
              <w:tc>
                <w:tcPr>
                  <w:tcW w:w="473" w:type="pct"/>
                  <w:tcBorders>
                    <w:tl2br w:val="nil"/>
                    <w:tr2bl w:val="nil"/>
                  </w:tcBorders>
                  <w:vAlign w:val="center"/>
                </w:tcPr>
                <w:p w14:paraId="1C8244C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SS</w:t>
                  </w:r>
                </w:p>
              </w:tc>
              <w:tc>
                <w:tcPr>
                  <w:tcW w:w="473" w:type="pct"/>
                  <w:tcBorders>
                    <w:tl2br w:val="nil"/>
                    <w:tr2bl w:val="nil"/>
                  </w:tcBorders>
                  <w:vAlign w:val="center"/>
                </w:tcPr>
                <w:p w14:paraId="067BDB0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氨氮</w:t>
                  </w:r>
                </w:p>
              </w:tc>
              <w:tc>
                <w:tcPr>
                  <w:tcW w:w="473" w:type="pct"/>
                  <w:tcBorders>
                    <w:tl2br w:val="nil"/>
                    <w:tr2bl w:val="nil"/>
                  </w:tcBorders>
                  <w:vAlign w:val="center"/>
                </w:tcPr>
                <w:p w14:paraId="64A1DA3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溶解性总固体</w:t>
                  </w:r>
                </w:p>
              </w:tc>
              <w:tc>
                <w:tcPr>
                  <w:tcW w:w="473" w:type="pct"/>
                  <w:tcBorders>
                    <w:tl2br w:val="nil"/>
                    <w:tr2bl w:val="nil"/>
                  </w:tcBorders>
                  <w:vAlign w:val="center"/>
                </w:tcPr>
                <w:p w14:paraId="00467F9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总磷</w:t>
                  </w:r>
                </w:p>
              </w:tc>
              <w:tc>
                <w:tcPr>
                  <w:tcW w:w="476" w:type="pct"/>
                  <w:tcBorders>
                    <w:tl2br w:val="nil"/>
                    <w:tr2bl w:val="nil"/>
                  </w:tcBorders>
                  <w:vAlign w:val="center"/>
                </w:tcPr>
                <w:p w14:paraId="3146DB4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总氮</w:t>
                  </w:r>
                </w:p>
              </w:tc>
            </w:tr>
            <w:tr w14:paraId="73D743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5" w:type="pct"/>
                  <w:tcBorders>
                    <w:tl2br w:val="nil"/>
                    <w:tr2bl w:val="nil"/>
                  </w:tcBorders>
                  <w:vAlign w:val="center"/>
                </w:tcPr>
                <w:p w14:paraId="5C71555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蒸汽发生器排污水</w:t>
                  </w:r>
                </w:p>
              </w:tc>
              <w:tc>
                <w:tcPr>
                  <w:tcW w:w="590" w:type="pct"/>
                  <w:tcBorders>
                    <w:tl2br w:val="nil"/>
                    <w:tr2bl w:val="nil"/>
                  </w:tcBorders>
                  <w:vAlign w:val="center"/>
                </w:tcPr>
                <w:p w14:paraId="7D1E322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473" w:type="pct"/>
                  <w:tcBorders>
                    <w:tl2br w:val="nil"/>
                    <w:tr2bl w:val="nil"/>
                  </w:tcBorders>
                  <w:vAlign w:val="center"/>
                </w:tcPr>
                <w:p w14:paraId="475A29A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6~9</w:t>
                  </w:r>
                </w:p>
              </w:tc>
              <w:tc>
                <w:tcPr>
                  <w:tcW w:w="473" w:type="pct"/>
                  <w:tcBorders>
                    <w:tl2br w:val="nil"/>
                    <w:tr2bl w:val="nil"/>
                  </w:tcBorders>
                  <w:vAlign w:val="center"/>
                </w:tcPr>
                <w:p w14:paraId="05CEB04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80</w:t>
                  </w:r>
                </w:p>
              </w:tc>
              <w:tc>
                <w:tcPr>
                  <w:tcW w:w="473" w:type="pct"/>
                  <w:tcBorders>
                    <w:tl2br w:val="nil"/>
                    <w:tr2bl w:val="nil"/>
                  </w:tcBorders>
                  <w:vAlign w:val="center"/>
                </w:tcPr>
                <w:p w14:paraId="7507E19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60</w:t>
                  </w:r>
                </w:p>
              </w:tc>
              <w:tc>
                <w:tcPr>
                  <w:tcW w:w="473" w:type="pct"/>
                  <w:tcBorders>
                    <w:tl2br w:val="nil"/>
                    <w:tr2bl w:val="nil"/>
                  </w:tcBorders>
                  <w:vAlign w:val="center"/>
                </w:tcPr>
                <w:p w14:paraId="1865846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100</w:t>
                  </w:r>
                </w:p>
              </w:tc>
              <w:tc>
                <w:tcPr>
                  <w:tcW w:w="473" w:type="pct"/>
                  <w:tcBorders>
                    <w:tl2br w:val="nil"/>
                    <w:tr2bl w:val="nil"/>
                  </w:tcBorders>
                  <w:vAlign w:val="center"/>
                </w:tcPr>
                <w:p w14:paraId="68509B1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p>
              </w:tc>
              <w:tc>
                <w:tcPr>
                  <w:tcW w:w="473" w:type="pct"/>
                  <w:tcBorders>
                    <w:tl2br w:val="nil"/>
                    <w:tr2bl w:val="nil"/>
                  </w:tcBorders>
                  <w:vAlign w:val="center"/>
                </w:tcPr>
                <w:p w14:paraId="1EDF04B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200</w:t>
                  </w:r>
                </w:p>
              </w:tc>
              <w:tc>
                <w:tcPr>
                  <w:tcW w:w="473" w:type="pct"/>
                  <w:tcBorders>
                    <w:tl2br w:val="nil"/>
                    <w:tr2bl w:val="nil"/>
                  </w:tcBorders>
                  <w:vAlign w:val="center"/>
                </w:tcPr>
                <w:p w14:paraId="4B4859F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p>
              </w:tc>
              <w:tc>
                <w:tcPr>
                  <w:tcW w:w="476" w:type="pct"/>
                  <w:tcBorders>
                    <w:tl2br w:val="nil"/>
                    <w:tr2bl w:val="nil"/>
                  </w:tcBorders>
                  <w:vAlign w:val="center"/>
                </w:tcPr>
                <w:p w14:paraId="3F82A61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40</w:t>
                  </w:r>
                </w:p>
              </w:tc>
            </w:tr>
            <w:tr w14:paraId="203627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5" w:type="pct"/>
                  <w:tcBorders>
                    <w:tl2br w:val="nil"/>
                    <w:tr2bl w:val="nil"/>
                  </w:tcBorders>
                  <w:vAlign w:val="center"/>
                </w:tcPr>
                <w:p w14:paraId="234CC40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生活废水</w:t>
                  </w:r>
                </w:p>
              </w:tc>
              <w:tc>
                <w:tcPr>
                  <w:tcW w:w="590" w:type="pct"/>
                  <w:tcBorders>
                    <w:tl2br w:val="nil"/>
                    <w:tr2bl w:val="nil"/>
                  </w:tcBorders>
                  <w:shd w:val="clear" w:color="auto" w:fill="auto"/>
                  <w:vAlign w:val="center"/>
                </w:tcPr>
                <w:p w14:paraId="741A6BD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w:t>
                  </w:r>
                </w:p>
              </w:tc>
              <w:tc>
                <w:tcPr>
                  <w:tcW w:w="473" w:type="pct"/>
                  <w:tcBorders>
                    <w:tl2br w:val="nil"/>
                    <w:tr2bl w:val="nil"/>
                  </w:tcBorders>
                  <w:shd w:val="clear" w:color="auto" w:fill="auto"/>
                  <w:vAlign w:val="center"/>
                </w:tcPr>
                <w:p w14:paraId="6EA51A0E">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6~9</w:t>
                  </w:r>
                </w:p>
              </w:tc>
              <w:tc>
                <w:tcPr>
                  <w:tcW w:w="473" w:type="pct"/>
                  <w:tcBorders>
                    <w:tl2br w:val="nil"/>
                    <w:tr2bl w:val="nil"/>
                  </w:tcBorders>
                  <w:shd w:val="clear" w:color="auto" w:fill="auto"/>
                  <w:vAlign w:val="center"/>
                </w:tcPr>
                <w:p w14:paraId="75BA148E">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350</w:t>
                  </w:r>
                </w:p>
              </w:tc>
              <w:tc>
                <w:tcPr>
                  <w:tcW w:w="473" w:type="pct"/>
                  <w:tcBorders>
                    <w:tl2br w:val="nil"/>
                    <w:tr2bl w:val="nil"/>
                  </w:tcBorders>
                  <w:shd w:val="clear" w:color="auto" w:fill="auto"/>
                  <w:vAlign w:val="center"/>
                </w:tcPr>
                <w:p w14:paraId="2F82DF8D">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250</w:t>
                  </w:r>
                </w:p>
              </w:tc>
              <w:tc>
                <w:tcPr>
                  <w:tcW w:w="473" w:type="pct"/>
                  <w:tcBorders>
                    <w:tl2br w:val="nil"/>
                    <w:tr2bl w:val="nil"/>
                  </w:tcBorders>
                  <w:shd w:val="clear" w:color="auto" w:fill="auto"/>
                  <w:vAlign w:val="center"/>
                </w:tcPr>
                <w:p w14:paraId="710E80C3">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300</w:t>
                  </w:r>
                </w:p>
              </w:tc>
              <w:tc>
                <w:tcPr>
                  <w:tcW w:w="473" w:type="pct"/>
                  <w:tcBorders>
                    <w:tl2br w:val="nil"/>
                    <w:tr2bl w:val="nil"/>
                  </w:tcBorders>
                  <w:shd w:val="clear" w:color="auto" w:fill="auto"/>
                  <w:vAlign w:val="center"/>
                </w:tcPr>
                <w:p w14:paraId="6B71D5DF">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36.5</w:t>
                  </w:r>
                </w:p>
              </w:tc>
              <w:tc>
                <w:tcPr>
                  <w:tcW w:w="473" w:type="pct"/>
                  <w:tcBorders>
                    <w:tl2br w:val="nil"/>
                    <w:tr2bl w:val="nil"/>
                  </w:tcBorders>
                  <w:shd w:val="clear" w:color="auto" w:fill="auto"/>
                  <w:vAlign w:val="center"/>
                </w:tcPr>
                <w:p w14:paraId="18E717DF">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73" w:type="pct"/>
                  <w:tcBorders>
                    <w:tl2br w:val="nil"/>
                    <w:tr2bl w:val="nil"/>
                  </w:tcBorders>
                  <w:vAlign w:val="center"/>
                </w:tcPr>
                <w:p w14:paraId="25CF540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r>
                    <w:rPr>
                      <w:rFonts w:hint="eastAsia"/>
                      <w:color w:val="000000" w:themeColor="text1"/>
                      <w:szCs w:val="21"/>
                      <w14:textFill>
                        <w14:solidFill>
                          <w14:schemeClr w14:val="tx1"/>
                        </w14:solidFill>
                      </w14:textFill>
                    </w:rPr>
                    <w:t>.4</w:t>
                  </w:r>
                </w:p>
              </w:tc>
              <w:tc>
                <w:tcPr>
                  <w:tcW w:w="476" w:type="pct"/>
                  <w:tcBorders>
                    <w:tl2br w:val="nil"/>
                    <w:tr2bl w:val="nil"/>
                  </w:tcBorders>
                  <w:vAlign w:val="center"/>
                </w:tcPr>
                <w:p w14:paraId="3A273D2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45</w:t>
                  </w:r>
                </w:p>
              </w:tc>
            </w:tr>
            <w:tr w14:paraId="1EE5D1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5" w:type="pct"/>
                  <w:tcBorders>
                    <w:tl2br w:val="nil"/>
                    <w:tr2bl w:val="nil"/>
                  </w:tcBorders>
                  <w:vAlign w:val="center"/>
                </w:tcPr>
                <w:p w14:paraId="2FB28E9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食用菌加工废水</w:t>
                  </w:r>
                </w:p>
              </w:tc>
              <w:tc>
                <w:tcPr>
                  <w:tcW w:w="590" w:type="pct"/>
                  <w:tcBorders>
                    <w:tl2br w:val="nil"/>
                    <w:tr2bl w:val="nil"/>
                  </w:tcBorders>
                  <w:shd w:val="clear" w:color="auto" w:fill="auto"/>
                  <w:vAlign w:val="center"/>
                </w:tcPr>
                <w:p w14:paraId="2F470B1F">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473" w:type="pct"/>
                  <w:tcBorders>
                    <w:tl2br w:val="nil"/>
                    <w:tr2bl w:val="nil"/>
                  </w:tcBorders>
                  <w:shd w:val="clear" w:color="auto" w:fill="auto"/>
                  <w:vAlign w:val="center"/>
                </w:tcPr>
                <w:p w14:paraId="733E2D5D">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6~9</w:t>
                  </w:r>
                </w:p>
              </w:tc>
              <w:tc>
                <w:tcPr>
                  <w:tcW w:w="473" w:type="pct"/>
                  <w:tcBorders>
                    <w:tl2br w:val="nil"/>
                    <w:tr2bl w:val="nil"/>
                  </w:tcBorders>
                  <w:shd w:val="clear" w:color="auto" w:fill="auto"/>
                  <w:vAlign w:val="center"/>
                </w:tcPr>
                <w:p w14:paraId="4E171A58">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300</w:t>
                  </w:r>
                </w:p>
              </w:tc>
              <w:tc>
                <w:tcPr>
                  <w:tcW w:w="473" w:type="pct"/>
                  <w:tcBorders>
                    <w:tl2br w:val="nil"/>
                    <w:tr2bl w:val="nil"/>
                  </w:tcBorders>
                  <w:shd w:val="clear" w:color="auto" w:fill="auto"/>
                  <w:vAlign w:val="center"/>
                </w:tcPr>
                <w:p w14:paraId="1DF76651">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w:t>
                  </w:r>
                </w:p>
              </w:tc>
              <w:tc>
                <w:tcPr>
                  <w:tcW w:w="473" w:type="pct"/>
                  <w:tcBorders>
                    <w:tl2br w:val="nil"/>
                    <w:tr2bl w:val="nil"/>
                  </w:tcBorders>
                  <w:shd w:val="clear" w:color="auto" w:fill="auto"/>
                  <w:vAlign w:val="center"/>
                </w:tcPr>
                <w:p w14:paraId="1E2801D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200</w:t>
                  </w:r>
                </w:p>
              </w:tc>
              <w:tc>
                <w:tcPr>
                  <w:tcW w:w="473" w:type="pct"/>
                  <w:tcBorders>
                    <w:tl2br w:val="nil"/>
                    <w:tr2bl w:val="nil"/>
                  </w:tcBorders>
                  <w:shd w:val="clear" w:color="auto" w:fill="auto"/>
                  <w:vAlign w:val="center"/>
                </w:tcPr>
                <w:p w14:paraId="3AA20C9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473" w:type="pct"/>
                  <w:tcBorders>
                    <w:tl2br w:val="nil"/>
                    <w:tr2bl w:val="nil"/>
                  </w:tcBorders>
                  <w:shd w:val="clear" w:color="auto" w:fill="auto"/>
                  <w:vAlign w:val="center"/>
                </w:tcPr>
                <w:p w14:paraId="1385C248">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473" w:type="pct"/>
                  <w:tcBorders>
                    <w:tl2br w:val="nil"/>
                    <w:tr2bl w:val="nil"/>
                  </w:tcBorders>
                  <w:vAlign w:val="center"/>
                </w:tcPr>
                <w:p w14:paraId="6D31316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p>
              </w:tc>
              <w:tc>
                <w:tcPr>
                  <w:tcW w:w="476" w:type="pct"/>
                  <w:tcBorders>
                    <w:tl2br w:val="nil"/>
                    <w:tr2bl w:val="nil"/>
                  </w:tcBorders>
                  <w:vAlign w:val="center"/>
                </w:tcPr>
                <w:p w14:paraId="7A76F5F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r>
            <w:tr w14:paraId="4C50A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5" w:type="pct"/>
                  <w:tcBorders>
                    <w:tl2br w:val="nil"/>
                    <w:tr2bl w:val="nil"/>
                  </w:tcBorders>
                  <w:vAlign w:val="center"/>
                </w:tcPr>
                <w:p w14:paraId="2A63A66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综合废水</w:t>
                  </w:r>
                </w:p>
              </w:tc>
              <w:tc>
                <w:tcPr>
                  <w:tcW w:w="590" w:type="pct"/>
                  <w:tcBorders>
                    <w:tl2br w:val="nil"/>
                    <w:tr2bl w:val="nil"/>
                  </w:tcBorders>
                  <w:shd w:val="clear" w:color="auto" w:fill="auto"/>
                  <w:vAlign w:val="center"/>
                </w:tcPr>
                <w:p w14:paraId="59DDE395">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278</w:t>
                  </w:r>
                </w:p>
              </w:tc>
              <w:tc>
                <w:tcPr>
                  <w:tcW w:w="473" w:type="pct"/>
                  <w:tcBorders>
                    <w:tl2br w:val="nil"/>
                    <w:tr2bl w:val="nil"/>
                  </w:tcBorders>
                  <w:shd w:val="clear" w:color="auto" w:fill="auto"/>
                  <w:vAlign w:val="center"/>
                </w:tcPr>
                <w:p w14:paraId="58AE51F8">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6~9</w:t>
                  </w:r>
                </w:p>
              </w:tc>
              <w:tc>
                <w:tcPr>
                  <w:tcW w:w="783" w:type="dxa"/>
                  <w:tcBorders>
                    <w:tl2br w:val="nil"/>
                    <w:tr2bl w:val="nil"/>
                  </w:tcBorders>
                  <w:shd w:val="clear" w:color="auto" w:fill="auto"/>
                  <w:vAlign w:val="center"/>
                </w:tcPr>
                <w:p w14:paraId="37B96B9F">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294.604 </w:t>
                  </w:r>
                </w:p>
              </w:tc>
              <w:tc>
                <w:tcPr>
                  <w:tcW w:w="783" w:type="dxa"/>
                  <w:tcBorders>
                    <w:tl2br w:val="nil"/>
                    <w:tr2bl w:val="nil"/>
                  </w:tcBorders>
                  <w:shd w:val="clear" w:color="auto" w:fill="auto"/>
                  <w:vAlign w:val="center"/>
                </w:tcPr>
                <w:p w14:paraId="6684C7B4">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63.669 </w:t>
                  </w:r>
                </w:p>
              </w:tc>
              <w:tc>
                <w:tcPr>
                  <w:tcW w:w="783" w:type="dxa"/>
                  <w:tcBorders>
                    <w:tl2br w:val="nil"/>
                    <w:tr2bl w:val="nil"/>
                  </w:tcBorders>
                  <w:shd w:val="clear" w:color="auto" w:fill="auto"/>
                  <w:vAlign w:val="center"/>
                </w:tcPr>
                <w:p w14:paraId="68F07ED3">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213.669 </w:t>
                  </w:r>
                </w:p>
              </w:tc>
              <w:tc>
                <w:tcPr>
                  <w:tcW w:w="783" w:type="dxa"/>
                  <w:tcBorders>
                    <w:tl2br w:val="nil"/>
                    <w:tr2bl w:val="nil"/>
                  </w:tcBorders>
                  <w:shd w:val="clear" w:color="auto" w:fill="auto"/>
                  <w:vAlign w:val="center"/>
                </w:tcPr>
                <w:p w14:paraId="5CB535C3">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8.694 </w:t>
                  </w:r>
                </w:p>
              </w:tc>
              <w:tc>
                <w:tcPr>
                  <w:tcW w:w="783" w:type="dxa"/>
                  <w:tcBorders>
                    <w:tl2br w:val="nil"/>
                    <w:tr2bl w:val="nil"/>
                  </w:tcBorders>
                  <w:shd w:val="clear" w:color="auto" w:fill="auto"/>
                  <w:vAlign w:val="center"/>
                </w:tcPr>
                <w:p w14:paraId="288DAD70">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14.388 </w:t>
                  </w:r>
                </w:p>
              </w:tc>
              <w:tc>
                <w:tcPr>
                  <w:tcW w:w="783" w:type="dxa"/>
                  <w:tcBorders>
                    <w:tl2br w:val="nil"/>
                    <w:tr2bl w:val="nil"/>
                  </w:tcBorders>
                  <w:vAlign w:val="center"/>
                </w:tcPr>
                <w:p w14:paraId="58BB1BBF">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4.875 </w:t>
                  </w:r>
                </w:p>
              </w:tc>
              <w:tc>
                <w:tcPr>
                  <w:tcW w:w="788" w:type="dxa"/>
                  <w:tcBorders>
                    <w:tl2br w:val="nil"/>
                    <w:tr2bl w:val="nil"/>
                  </w:tcBorders>
                  <w:vAlign w:val="center"/>
                </w:tcPr>
                <w:p w14:paraId="1029BC6B">
                  <w:pPr>
                    <w:widowControl/>
                    <w:jc w:val="center"/>
                    <w:textAlignment w:val="center"/>
                    <w:rPr>
                      <w:color w:val="000000" w:themeColor="text1"/>
                      <w:szCs w:val="21"/>
                      <w14:textFill>
                        <w14:solidFill>
                          <w14:schemeClr w14:val="tx1"/>
                        </w14:solidFill>
                      </w14:textFill>
                    </w:rPr>
                  </w:pPr>
                  <w:r>
                    <w:rPr>
                      <w:rFonts w:eastAsia="等线"/>
                      <w:color w:val="000000" w:themeColor="text1"/>
                      <w:kern w:val="0"/>
                      <w:szCs w:val="21"/>
                      <w:lang w:bidi="ar"/>
                      <w14:textFill>
                        <w14:solidFill>
                          <w14:schemeClr w14:val="tx1"/>
                        </w14:solidFill>
                      </w14:textFill>
                    </w:rPr>
                    <w:t xml:space="preserve">13.705 </w:t>
                  </w:r>
                </w:p>
              </w:tc>
            </w:tr>
          </w:tbl>
          <w:p w14:paraId="2BB27D18">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表4-9  废水污染源源强核算结果及相关参数一览表</w:t>
            </w:r>
          </w:p>
          <w:tbl>
            <w:tblPr>
              <w:tblStyle w:val="31"/>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97"/>
              <w:gridCol w:w="599"/>
              <w:gridCol w:w="926"/>
              <w:gridCol w:w="1137"/>
              <w:gridCol w:w="985"/>
              <w:gridCol w:w="477"/>
              <w:gridCol w:w="844"/>
              <w:gridCol w:w="1196"/>
              <w:gridCol w:w="928"/>
              <w:gridCol w:w="616"/>
            </w:tblGrid>
            <w:tr w14:paraId="74396F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restart"/>
                  <w:tcBorders>
                    <w:tl2br w:val="nil"/>
                    <w:tr2bl w:val="nil"/>
                  </w:tcBorders>
                  <w:shd w:val="clear" w:color="auto" w:fill="auto"/>
                  <w:noWrap/>
                  <w:vAlign w:val="center"/>
                </w:tcPr>
                <w:p w14:paraId="08CDCA06">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360" w:type="pct"/>
                  <w:vMerge w:val="restart"/>
                  <w:tcBorders>
                    <w:tl2br w:val="nil"/>
                    <w:tr2bl w:val="nil"/>
                  </w:tcBorders>
                  <w:shd w:val="clear" w:color="auto" w:fill="auto"/>
                  <w:noWrap/>
                  <w:vAlign w:val="center"/>
                </w:tcPr>
                <w:p w14:paraId="2814615C">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废水量</w:t>
                  </w:r>
                </w:p>
              </w:tc>
              <w:tc>
                <w:tcPr>
                  <w:tcW w:w="557" w:type="pct"/>
                  <w:vMerge w:val="restart"/>
                  <w:tcBorders>
                    <w:tl2br w:val="nil"/>
                    <w:tr2bl w:val="nil"/>
                  </w:tcBorders>
                  <w:shd w:val="clear" w:color="auto" w:fill="auto"/>
                  <w:noWrap/>
                  <w:vAlign w:val="center"/>
                </w:tcPr>
                <w:p w14:paraId="4F81B299">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277" w:type="pct"/>
                  <w:gridSpan w:val="2"/>
                  <w:tcBorders>
                    <w:tl2br w:val="nil"/>
                    <w:tr2bl w:val="nil"/>
                  </w:tcBorders>
                  <w:shd w:val="clear" w:color="auto" w:fill="auto"/>
                  <w:noWrap/>
                  <w:vAlign w:val="center"/>
                </w:tcPr>
                <w:p w14:paraId="02B83E77">
                  <w:pPr>
                    <w:widowControl/>
                    <w:jc w:val="center"/>
                    <w:textAlignment w:val="center"/>
                    <w:rPr>
                      <w:color w:val="000000" w:themeColor="text1"/>
                      <w:szCs w:val="21"/>
                      <w14:textFill>
                        <w14:solidFill>
                          <w14:schemeClr w14:val="tx1"/>
                        </w14:solidFill>
                      </w14:textFill>
                    </w:rPr>
                  </w:pPr>
                  <w:r>
                    <w:rPr>
                      <w:color w:val="000000" w:themeColor="text1"/>
                      <w14:textFill>
                        <w14:solidFill>
                          <w14:schemeClr w14:val="tx1"/>
                        </w14:solidFill>
                      </w14:textFill>
                    </w:rPr>
                    <w:t>污染物产生情况</w:t>
                  </w:r>
                </w:p>
              </w:tc>
              <w:tc>
                <w:tcPr>
                  <w:tcW w:w="795" w:type="pct"/>
                  <w:gridSpan w:val="2"/>
                  <w:tcBorders>
                    <w:tl2br w:val="nil"/>
                    <w:tr2bl w:val="nil"/>
                  </w:tcBorders>
                  <w:shd w:val="clear" w:color="auto" w:fill="auto"/>
                  <w:noWrap/>
                  <w:vAlign w:val="center"/>
                </w:tcPr>
                <w:p w14:paraId="269C60FD">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治理措施</w:t>
                  </w:r>
                </w:p>
              </w:tc>
              <w:tc>
                <w:tcPr>
                  <w:tcW w:w="1279" w:type="pct"/>
                  <w:gridSpan w:val="2"/>
                  <w:tcBorders>
                    <w:tl2br w:val="nil"/>
                    <w:tr2bl w:val="nil"/>
                  </w:tcBorders>
                  <w:shd w:val="clear" w:color="auto" w:fill="auto"/>
                  <w:noWrap/>
                  <w:vAlign w:val="center"/>
                </w:tcPr>
                <w:p w14:paraId="71F10828">
                  <w:pPr>
                    <w:widowControl/>
                    <w:jc w:val="center"/>
                    <w:textAlignment w:val="center"/>
                    <w:rPr>
                      <w:color w:val="000000" w:themeColor="text1"/>
                      <w:szCs w:val="21"/>
                      <w14:textFill>
                        <w14:solidFill>
                          <w14:schemeClr w14:val="tx1"/>
                        </w14:solidFill>
                      </w14:textFill>
                    </w:rPr>
                  </w:pPr>
                  <w:r>
                    <w:rPr>
                      <w:color w:val="000000" w:themeColor="text1"/>
                      <w14:textFill>
                        <w14:solidFill>
                          <w14:schemeClr w14:val="tx1"/>
                        </w14:solidFill>
                      </w14:textFill>
                    </w:rPr>
                    <w:t>污染物排放情况</w:t>
                  </w:r>
                </w:p>
              </w:tc>
              <w:tc>
                <w:tcPr>
                  <w:tcW w:w="371" w:type="pct"/>
                  <w:vMerge w:val="restart"/>
                  <w:tcBorders>
                    <w:tl2br w:val="nil"/>
                    <w:tr2bl w:val="nil"/>
                  </w:tcBorders>
                  <w:shd w:val="clear" w:color="auto" w:fill="auto"/>
                  <w:noWrap/>
                  <w:vAlign w:val="center"/>
                </w:tcPr>
                <w:p w14:paraId="7307F256">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标准</w:t>
                  </w:r>
                </w:p>
              </w:tc>
            </w:tr>
            <w:tr w14:paraId="2E5449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noWrap/>
                  <w:vAlign w:val="center"/>
                </w:tcPr>
                <w:p w14:paraId="4994E505">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noWrap/>
                  <w:vAlign w:val="center"/>
                </w:tcPr>
                <w:p w14:paraId="4E385EAD">
                  <w:pPr>
                    <w:widowControl/>
                    <w:jc w:val="center"/>
                    <w:textAlignment w:val="center"/>
                    <w:rPr>
                      <w:color w:val="000000" w:themeColor="text1"/>
                      <w:kern w:val="0"/>
                      <w:szCs w:val="21"/>
                      <w:lang w:bidi="ar"/>
                      <w14:textFill>
                        <w14:solidFill>
                          <w14:schemeClr w14:val="tx1"/>
                        </w14:solidFill>
                      </w14:textFill>
                    </w:rPr>
                  </w:pPr>
                </w:p>
              </w:tc>
              <w:tc>
                <w:tcPr>
                  <w:tcW w:w="557" w:type="pct"/>
                  <w:vMerge w:val="continue"/>
                  <w:tcBorders>
                    <w:tl2br w:val="nil"/>
                    <w:tr2bl w:val="nil"/>
                  </w:tcBorders>
                  <w:shd w:val="clear" w:color="auto" w:fill="auto"/>
                  <w:noWrap/>
                  <w:vAlign w:val="center"/>
                </w:tcPr>
                <w:p w14:paraId="2AA0D85C">
                  <w:pPr>
                    <w:widowControl/>
                    <w:jc w:val="center"/>
                    <w:textAlignment w:val="center"/>
                    <w:rPr>
                      <w:color w:val="000000" w:themeColor="text1"/>
                      <w:szCs w:val="21"/>
                      <w14:textFill>
                        <w14:solidFill>
                          <w14:schemeClr w14:val="tx1"/>
                        </w14:solidFill>
                      </w14:textFill>
                    </w:rPr>
                  </w:pPr>
                </w:p>
              </w:tc>
              <w:tc>
                <w:tcPr>
                  <w:tcW w:w="684" w:type="pct"/>
                  <w:tcBorders>
                    <w:tl2br w:val="nil"/>
                    <w:tr2bl w:val="nil"/>
                  </w:tcBorders>
                  <w:shd w:val="clear" w:color="auto" w:fill="auto"/>
                  <w:noWrap/>
                  <w:vAlign w:val="center"/>
                </w:tcPr>
                <w:p w14:paraId="38CED0AA">
                  <w:pPr>
                    <w:pStyle w:val="171"/>
                    <w:rPr>
                      <w:color w:val="000000" w:themeColor="text1"/>
                      <w:kern w:val="2"/>
                      <w14:textFill>
                        <w14:solidFill>
                          <w14:schemeClr w14:val="tx1"/>
                        </w14:solidFill>
                      </w14:textFill>
                    </w:rPr>
                  </w:pPr>
                  <w:r>
                    <w:rPr>
                      <w:color w:val="000000" w:themeColor="text1"/>
                      <w14:textFill>
                        <w14:solidFill>
                          <w14:schemeClr w14:val="tx1"/>
                        </w14:solidFill>
                      </w14:textFill>
                    </w:rPr>
                    <w:t>产生浓度（mg/L）</w:t>
                  </w:r>
                </w:p>
              </w:tc>
              <w:tc>
                <w:tcPr>
                  <w:tcW w:w="593" w:type="pct"/>
                  <w:tcBorders>
                    <w:tl2br w:val="nil"/>
                    <w:tr2bl w:val="nil"/>
                  </w:tcBorders>
                  <w:shd w:val="clear" w:color="auto" w:fill="auto"/>
                  <w:noWrap/>
                  <w:vAlign w:val="center"/>
                </w:tcPr>
                <w:p w14:paraId="3E9F4173">
                  <w:pPr>
                    <w:pStyle w:val="171"/>
                    <w:rPr>
                      <w:color w:val="000000" w:themeColor="text1"/>
                      <w:kern w:val="2"/>
                      <w14:textFill>
                        <w14:solidFill>
                          <w14:schemeClr w14:val="tx1"/>
                        </w14:solidFill>
                      </w14:textFill>
                    </w:rPr>
                  </w:pPr>
                  <w:r>
                    <w:rPr>
                      <w:color w:val="000000" w:themeColor="text1"/>
                      <w14:textFill>
                        <w14:solidFill>
                          <w14:schemeClr w14:val="tx1"/>
                        </w14:solidFill>
                      </w14:textFill>
                    </w:rPr>
                    <w:t>产生量（t/a）</w:t>
                  </w:r>
                </w:p>
              </w:tc>
              <w:tc>
                <w:tcPr>
                  <w:tcW w:w="287" w:type="pct"/>
                  <w:vMerge w:val="restart"/>
                  <w:tcBorders>
                    <w:tl2br w:val="nil"/>
                    <w:tr2bl w:val="nil"/>
                  </w:tcBorders>
                  <w:shd w:val="clear" w:color="auto" w:fill="auto"/>
                  <w:noWrap/>
                  <w:vAlign w:val="center"/>
                </w:tcPr>
                <w:p w14:paraId="429BDBAF">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化粪池</w:t>
                  </w:r>
                </w:p>
              </w:tc>
              <w:tc>
                <w:tcPr>
                  <w:tcW w:w="507" w:type="pct"/>
                  <w:tcBorders>
                    <w:tl2br w:val="nil"/>
                    <w:tr2bl w:val="nil"/>
                  </w:tcBorders>
                  <w:shd w:val="clear" w:color="auto" w:fill="auto"/>
                  <w:noWrap/>
                  <w:vAlign w:val="center"/>
                </w:tcPr>
                <w:p w14:paraId="31F5A782">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处理效率%</w:t>
                  </w:r>
                </w:p>
              </w:tc>
              <w:tc>
                <w:tcPr>
                  <w:tcW w:w="720" w:type="pct"/>
                  <w:tcBorders>
                    <w:tl2br w:val="nil"/>
                    <w:tr2bl w:val="nil"/>
                  </w:tcBorders>
                  <w:shd w:val="clear" w:color="auto" w:fill="auto"/>
                  <w:noWrap/>
                  <w:vAlign w:val="center"/>
                </w:tcPr>
                <w:p w14:paraId="44487A10">
                  <w:pPr>
                    <w:pStyle w:val="171"/>
                    <w:rPr>
                      <w:color w:val="000000" w:themeColor="text1"/>
                      <w:kern w:val="2"/>
                      <w14:textFill>
                        <w14:solidFill>
                          <w14:schemeClr w14:val="tx1"/>
                        </w14:solidFill>
                      </w14:textFill>
                    </w:rPr>
                  </w:pPr>
                  <w:r>
                    <w:rPr>
                      <w:color w:val="000000" w:themeColor="text1"/>
                      <w14:textFill>
                        <w14:solidFill>
                          <w14:schemeClr w14:val="tx1"/>
                        </w14:solidFill>
                      </w14:textFill>
                    </w:rPr>
                    <w:t>排放浓度（mg/L）</w:t>
                  </w:r>
                </w:p>
              </w:tc>
              <w:tc>
                <w:tcPr>
                  <w:tcW w:w="558" w:type="pct"/>
                  <w:tcBorders>
                    <w:tl2br w:val="nil"/>
                    <w:tr2bl w:val="nil"/>
                  </w:tcBorders>
                  <w:shd w:val="clear" w:color="auto" w:fill="auto"/>
                  <w:noWrap/>
                  <w:vAlign w:val="center"/>
                </w:tcPr>
                <w:p w14:paraId="47ACD6AE">
                  <w:pPr>
                    <w:pStyle w:val="171"/>
                    <w:rPr>
                      <w:color w:val="000000" w:themeColor="text1"/>
                      <w:kern w:val="2"/>
                      <w14:textFill>
                        <w14:solidFill>
                          <w14:schemeClr w14:val="tx1"/>
                        </w14:solidFill>
                      </w14:textFill>
                    </w:rPr>
                  </w:pPr>
                  <w:r>
                    <w:rPr>
                      <w:color w:val="000000" w:themeColor="text1"/>
                      <w14:textFill>
                        <w14:solidFill>
                          <w14:schemeClr w14:val="tx1"/>
                        </w14:solidFill>
                      </w14:textFill>
                    </w:rPr>
                    <w:t>排放量（t/a）</w:t>
                  </w:r>
                </w:p>
              </w:tc>
              <w:tc>
                <w:tcPr>
                  <w:tcW w:w="371" w:type="pct"/>
                  <w:vMerge w:val="continue"/>
                  <w:tcBorders>
                    <w:tl2br w:val="nil"/>
                    <w:tr2bl w:val="nil"/>
                  </w:tcBorders>
                  <w:shd w:val="clear" w:color="auto" w:fill="auto"/>
                  <w:noWrap/>
                  <w:vAlign w:val="center"/>
                </w:tcPr>
                <w:p w14:paraId="2CBF76E6">
                  <w:pPr>
                    <w:widowControl/>
                    <w:jc w:val="center"/>
                    <w:textAlignment w:val="center"/>
                    <w:rPr>
                      <w:color w:val="000000" w:themeColor="text1"/>
                      <w:szCs w:val="21"/>
                      <w14:textFill>
                        <w14:solidFill>
                          <w14:schemeClr w14:val="tx1"/>
                        </w14:solidFill>
                      </w14:textFill>
                    </w:rPr>
                  </w:pPr>
                </w:p>
              </w:tc>
            </w:tr>
            <w:tr w14:paraId="5AF907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restart"/>
                  <w:tcBorders>
                    <w:tl2br w:val="nil"/>
                    <w:tr2bl w:val="nil"/>
                  </w:tcBorders>
                  <w:shd w:val="clear" w:color="auto" w:fill="auto"/>
                  <w:vAlign w:val="center"/>
                </w:tcPr>
                <w:p w14:paraId="2D8B4693">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综合废水</w:t>
                  </w:r>
                </w:p>
              </w:tc>
              <w:tc>
                <w:tcPr>
                  <w:tcW w:w="360" w:type="pct"/>
                  <w:vMerge w:val="restart"/>
                  <w:tcBorders>
                    <w:tl2br w:val="nil"/>
                    <w:tr2bl w:val="nil"/>
                  </w:tcBorders>
                  <w:shd w:val="clear" w:color="auto" w:fill="auto"/>
                  <w:vAlign w:val="center"/>
                </w:tcPr>
                <w:p w14:paraId="45605D2B">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278</w:t>
                  </w:r>
                </w:p>
              </w:tc>
              <w:tc>
                <w:tcPr>
                  <w:tcW w:w="557" w:type="pct"/>
                  <w:tcBorders>
                    <w:tl2br w:val="nil"/>
                    <w:tr2bl w:val="nil"/>
                  </w:tcBorders>
                  <w:shd w:val="clear" w:color="auto" w:fill="auto"/>
                  <w:vAlign w:val="center"/>
                </w:tcPr>
                <w:p w14:paraId="7CFDDD7A">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pH（无量纲）</w:t>
                  </w:r>
                </w:p>
              </w:tc>
              <w:tc>
                <w:tcPr>
                  <w:tcW w:w="684" w:type="pct"/>
                  <w:tcBorders>
                    <w:tl2br w:val="nil"/>
                    <w:tr2bl w:val="nil"/>
                  </w:tcBorders>
                  <w:shd w:val="clear" w:color="auto" w:fill="auto"/>
                  <w:noWrap/>
                  <w:vAlign w:val="center"/>
                </w:tcPr>
                <w:p w14:paraId="2004D26F">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6~9</w:t>
                  </w:r>
                </w:p>
              </w:tc>
              <w:tc>
                <w:tcPr>
                  <w:tcW w:w="593" w:type="pct"/>
                  <w:tcBorders>
                    <w:tl2br w:val="nil"/>
                    <w:tr2bl w:val="nil"/>
                  </w:tcBorders>
                  <w:shd w:val="clear" w:color="auto" w:fill="auto"/>
                  <w:noWrap/>
                  <w:vAlign w:val="center"/>
                </w:tcPr>
                <w:p w14:paraId="01AECB9C">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87" w:type="pct"/>
                  <w:vMerge w:val="continue"/>
                  <w:tcBorders>
                    <w:tl2br w:val="nil"/>
                    <w:tr2bl w:val="nil"/>
                  </w:tcBorders>
                  <w:shd w:val="clear" w:color="auto" w:fill="auto"/>
                  <w:noWrap/>
                  <w:vAlign w:val="center"/>
                </w:tcPr>
                <w:p w14:paraId="5AFC2A00">
                  <w:pPr>
                    <w:widowControl/>
                    <w:jc w:val="center"/>
                    <w:textAlignment w:val="center"/>
                    <w:rPr>
                      <w:color w:val="000000" w:themeColor="text1"/>
                      <w:szCs w:val="21"/>
                      <w14:textFill>
                        <w14:solidFill>
                          <w14:schemeClr w14:val="tx1"/>
                        </w14:solidFill>
                      </w14:textFill>
                    </w:rPr>
                  </w:pPr>
                </w:p>
              </w:tc>
              <w:tc>
                <w:tcPr>
                  <w:tcW w:w="507" w:type="pct"/>
                  <w:tcBorders>
                    <w:tl2br w:val="nil"/>
                    <w:tr2bl w:val="nil"/>
                  </w:tcBorders>
                  <w:shd w:val="clear" w:color="auto" w:fill="auto"/>
                  <w:noWrap/>
                  <w:vAlign w:val="center"/>
                </w:tcPr>
                <w:p w14:paraId="501CCC75">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w:t>
                  </w:r>
                </w:p>
              </w:tc>
              <w:tc>
                <w:tcPr>
                  <w:tcW w:w="720" w:type="pct"/>
                  <w:tcBorders>
                    <w:tl2br w:val="nil"/>
                    <w:tr2bl w:val="nil"/>
                  </w:tcBorders>
                  <w:shd w:val="clear" w:color="auto" w:fill="auto"/>
                  <w:noWrap/>
                  <w:vAlign w:val="center"/>
                </w:tcPr>
                <w:p w14:paraId="7F9E4030">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558" w:type="pct"/>
                  <w:tcBorders>
                    <w:tl2br w:val="nil"/>
                    <w:tr2bl w:val="nil"/>
                  </w:tcBorders>
                  <w:shd w:val="clear" w:color="auto" w:fill="auto"/>
                  <w:noWrap/>
                  <w:vAlign w:val="center"/>
                </w:tcPr>
                <w:p w14:paraId="0D0D8B71">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6~9</w:t>
                  </w:r>
                </w:p>
              </w:tc>
              <w:tc>
                <w:tcPr>
                  <w:tcW w:w="371" w:type="pct"/>
                  <w:tcBorders>
                    <w:tl2br w:val="nil"/>
                    <w:tr2bl w:val="nil"/>
                  </w:tcBorders>
                  <w:shd w:val="clear" w:color="auto" w:fill="auto"/>
                  <w:noWrap/>
                  <w:vAlign w:val="center"/>
                </w:tcPr>
                <w:p w14:paraId="425EE193">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6~9</w:t>
                  </w:r>
                </w:p>
              </w:tc>
            </w:tr>
            <w:tr w14:paraId="06E34F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vAlign w:val="center"/>
                </w:tcPr>
                <w:p w14:paraId="5583CB5D">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vAlign w:val="center"/>
                </w:tcPr>
                <w:p w14:paraId="2E960951">
                  <w:pPr>
                    <w:widowControl/>
                    <w:jc w:val="center"/>
                    <w:textAlignment w:val="center"/>
                    <w:rPr>
                      <w:color w:val="000000" w:themeColor="text1"/>
                      <w:kern w:val="0"/>
                      <w:szCs w:val="21"/>
                      <w:lang w:bidi="ar"/>
                      <w14:textFill>
                        <w14:solidFill>
                          <w14:schemeClr w14:val="tx1"/>
                        </w14:solidFill>
                      </w14:textFill>
                    </w:rPr>
                  </w:pPr>
                </w:p>
              </w:tc>
              <w:tc>
                <w:tcPr>
                  <w:tcW w:w="557" w:type="pct"/>
                  <w:tcBorders>
                    <w:tl2br w:val="nil"/>
                    <w:tr2bl w:val="nil"/>
                  </w:tcBorders>
                  <w:shd w:val="clear" w:color="auto" w:fill="auto"/>
                  <w:vAlign w:val="center"/>
                </w:tcPr>
                <w:p w14:paraId="598ED533">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COD</w:t>
                  </w:r>
                </w:p>
              </w:tc>
              <w:tc>
                <w:tcPr>
                  <w:tcW w:w="1130" w:type="dxa"/>
                  <w:tcBorders>
                    <w:tl2br w:val="nil"/>
                    <w:tr2bl w:val="nil"/>
                  </w:tcBorders>
                  <w:shd w:val="clear" w:color="auto" w:fill="auto"/>
                  <w:noWrap/>
                  <w:vAlign w:val="center"/>
                </w:tcPr>
                <w:p w14:paraId="5B40B4BE">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294.604</w:t>
                  </w:r>
                </w:p>
              </w:tc>
              <w:tc>
                <w:tcPr>
                  <w:tcW w:w="979" w:type="dxa"/>
                  <w:tcBorders>
                    <w:tl2br w:val="nil"/>
                    <w:tr2bl w:val="nil"/>
                  </w:tcBorders>
                  <w:shd w:val="clear" w:color="auto" w:fill="auto"/>
                  <w:noWrap/>
                  <w:vAlign w:val="center"/>
                </w:tcPr>
                <w:p w14:paraId="20C44E73">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0.082</w:t>
                  </w:r>
                </w:p>
              </w:tc>
              <w:tc>
                <w:tcPr>
                  <w:tcW w:w="287" w:type="pct"/>
                  <w:vMerge w:val="continue"/>
                  <w:tcBorders>
                    <w:tl2br w:val="nil"/>
                    <w:tr2bl w:val="nil"/>
                  </w:tcBorders>
                  <w:shd w:val="clear" w:color="auto" w:fill="auto"/>
                  <w:noWrap/>
                  <w:vAlign w:val="center"/>
                </w:tcPr>
                <w:p w14:paraId="1D60EDFC">
                  <w:pPr>
                    <w:widowControl/>
                    <w:jc w:val="center"/>
                    <w:textAlignment w:val="center"/>
                    <w:rPr>
                      <w:color w:val="000000" w:themeColor="text1"/>
                      <w:kern w:val="0"/>
                      <w:szCs w:val="21"/>
                      <w:lang w:bidi="ar"/>
                      <w14:textFill>
                        <w14:solidFill>
                          <w14:schemeClr w14:val="tx1"/>
                        </w14:solidFill>
                      </w14:textFill>
                    </w:rPr>
                  </w:pPr>
                </w:p>
              </w:tc>
              <w:tc>
                <w:tcPr>
                  <w:tcW w:w="507" w:type="pct"/>
                  <w:tcBorders>
                    <w:tl2br w:val="nil"/>
                    <w:tr2bl w:val="nil"/>
                  </w:tcBorders>
                  <w:shd w:val="clear" w:color="auto" w:fill="auto"/>
                  <w:noWrap/>
                  <w:vAlign w:val="center"/>
                </w:tcPr>
                <w:p w14:paraId="61A8177A">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10</w:t>
                  </w:r>
                </w:p>
              </w:tc>
              <w:tc>
                <w:tcPr>
                  <w:tcW w:w="1193" w:type="dxa"/>
                  <w:tcBorders>
                    <w:tl2br w:val="nil"/>
                    <w:tr2bl w:val="nil"/>
                  </w:tcBorders>
                  <w:shd w:val="clear" w:color="auto" w:fill="auto"/>
                  <w:noWrap/>
                  <w:vAlign w:val="center"/>
                </w:tcPr>
                <w:p w14:paraId="062C6B7E">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265.144</w:t>
                  </w:r>
                </w:p>
              </w:tc>
              <w:tc>
                <w:tcPr>
                  <w:tcW w:w="926" w:type="dxa"/>
                  <w:tcBorders>
                    <w:tl2br w:val="nil"/>
                    <w:tr2bl w:val="nil"/>
                  </w:tcBorders>
                  <w:shd w:val="clear" w:color="auto" w:fill="auto"/>
                  <w:noWrap/>
                  <w:vAlign w:val="center"/>
                </w:tcPr>
                <w:p w14:paraId="13BD0F7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0.074</w:t>
                  </w:r>
                </w:p>
              </w:tc>
              <w:tc>
                <w:tcPr>
                  <w:tcW w:w="371" w:type="pct"/>
                  <w:tcBorders>
                    <w:tl2br w:val="nil"/>
                    <w:tr2bl w:val="nil"/>
                  </w:tcBorders>
                  <w:shd w:val="clear" w:color="auto" w:fill="auto"/>
                  <w:noWrap/>
                  <w:vAlign w:val="center"/>
                </w:tcPr>
                <w:p w14:paraId="68D77675">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300</w:t>
                  </w:r>
                </w:p>
              </w:tc>
            </w:tr>
            <w:tr w14:paraId="2EF20F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vAlign w:val="center"/>
                </w:tcPr>
                <w:p w14:paraId="0706F9BE">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vAlign w:val="center"/>
                </w:tcPr>
                <w:p w14:paraId="7638F4F1">
                  <w:pPr>
                    <w:widowControl/>
                    <w:jc w:val="center"/>
                    <w:textAlignment w:val="center"/>
                    <w:rPr>
                      <w:color w:val="000000" w:themeColor="text1"/>
                      <w:kern w:val="0"/>
                      <w:szCs w:val="21"/>
                      <w:lang w:bidi="ar"/>
                      <w14:textFill>
                        <w14:solidFill>
                          <w14:schemeClr w14:val="tx1"/>
                        </w14:solidFill>
                      </w14:textFill>
                    </w:rPr>
                  </w:pPr>
                </w:p>
              </w:tc>
              <w:tc>
                <w:tcPr>
                  <w:tcW w:w="557" w:type="pct"/>
                  <w:tcBorders>
                    <w:tl2br w:val="nil"/>
                    <w:tr2bl w:val="nil"/>
                  </w:tcBorders>
                  <w:shd w:val="clear" w:color="auto" w:fill="auto"/>
                  <w:vAlign w:val="center"/>
                </w:tcPr>
                <w:p w14:paraId="3B5E2B7A">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BOD</w:t>
                  </w:r>
                  <w:r>
                    <w:rPr>
                      <w:color w:val="000000" w:themeColor="text1"/>
                      <w:kern w:val="0"/>
                      <w:szCs w:val="21"/>
                      <w:vertAlign w:val="subscript"/>
                      <w:lang w:bidi="ar"/>
                      <w14:textFill>
                        <w14:solidFill>
                          <w14:schemeClr w14:val="tx1"/>
                        </w14:solidFill>
                      </w14:textFill>
                    </w:rPr>
                    <w:t>5</w:t>
                  </w:r>
                </w:p>
              </w:tc>
              <w:tc>
                <w:tcPr>
                  <w:tcW w:w="1130" w:type="dxa"/>
                  <w:tcBorders>
                    <w:tl2br w:val="nil"/>
                    <w:tr2bl w:val="nil"/>
                  </w:tcBorders>
                  <w:shd w:val="clear" w:color="auto" w:fill="auto"/>
                  <w:noWrap/>
                  <w:vAlign w:val="center"/>
                </w:tcPr>
                <w:p w14:paraId="4AD95F3A">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63.669</w:t>
                  </w:r>
                </w:p>
              </w:tc>
              <w:tc>
                <w:tcPr>
                  <w:tcW w:w="979" w:type="dxa"/>
                  <w:tcBorders>
                    <w:tl2br w:val="nil"/>
                    <w:tr2bl w:val="nil"/>
                  </w:tcBorders>
                  <w:shd w:val="clear" w:color="auto" w:fill="auto"/>
                  <w:noWrap/>
                  <w:vAlign w:val="center"/>
                </w:tcPr>
                <w:p w14:paraId="10E7DA0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0.018</w:t>
                  </w:r>
                </w:p>
              </w:tc>
              <w:tc>
                <w:tcPr>
                  <w:tcW w:w="287" w:type="pct"/>
                  <w:vMerge w:val="continue"/>
                  <w:tcBorders>
                    <w:tl2br w:val="nil"/>
                    <w:tr2bl w:val="nil"/>
                  </w:tcBorders>
                  <w:shd w:val="clear" w:color="auto" w:fill="auto"/>
                  <w:noWrap/>
                  <w:vAlign w:val="center"/>
                </w:tcPr>
                <w:p w14:paraId="1441C0FD">
                  <w:pPr>
                    <w:widowControl/>
                    <w:jc w:val="center"/>
                    <w:textAlignment w:val="center"/>
                    <w:rPr>
                      <w:color w:val="000000" w:themeColor="text1"/>
                      <w:kern w:val="0"/>
                      <w:szCs w:val="21"/>
                      <w:lang w:bidi="ar"/>
                      <w14:textFill>
                        <w14:solidFill>
                          <w14:schemeClr w14:val="tx1"/>
                        </w14:solidFill>
                      </w14:textFill>
                    </w:rPr>
                  </w:pPr>
                </w:p>
              </w:tc>
              <w:tc>
                <w:tcPr>
                  <w:tcW w:w="507" w:type="pct"/>
                  <w:tcBorders>
                    <w:tl2br w:val="nil"/>
                    <w:tr2bl w:val="nil"/>
                  </w:tcBorders>
                  <w:shd w:val="clear" w:color="auto" w:fill="auto"/>
                  <w:noWrap/>
                  <w:vAlign w:val="center"/>
                </w:tcPr>
                <w:p w14:paraId="197ECED0">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10</w:t>
                  </w:r>
                </w:p>
              </w:tc>
              <w:tc>
                <w:tcPr>
                  <w:tcW w:w="1193" w:type="dxa"/>
                  <w:tcBorders>
                    <w:tl2br w:val="nil"/>
                    <w:tr2bl w:val="nil"/>
                  </w:tcBorders>
                  <w:shd w:val="clear" w:color="auto" w:fill="auto"/>
                  <w:noWrap/>
                  <w:vAlign w:val="center"/>
                </w:tcPr>
                <w:p w14:paraId="676F7C7E">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57.302</w:t>
                  </w:r>
                </w:p>
              </w:tc>
              <w:tc>
                <w:tcPr>
                  <w:tcW w:w="926" w:type="dxa"/>
                  <w:tcBorders>
                    <w:tl2br w:val="nil"/>
                    <w:tr2bl w:val="nil"/>
                  </w:tcBorders>
                  <w:shd w:val="clear" w:color="auto" w:fill="auto"/>
                  <w:noWrap/>
                  <w:vAlign w:val="center"/>
                </w:tcPr>
                <w:p w14:paraId="54D02E5F">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0.016</w:t>
                  </w:r>
                </w:p>
              </w:tc>
              <w:tc>
                <w:tcPr>
                  <w:tcW w:w="371" w:type="pct"/>
                  <w:tcBorders>
                    <w:tl2br w:val="nil"/>
                    <w:tr2bl w:val="nil"/>
                  </w:tcBorders>
                  <w:shd w:val="clear" w:color="auto" w:fill="auto"/>
                  <w:noWrap/>
                  <w:vAlign w:val="center"/>
                </w:tcPr>
                <w:p w14:paraId="79055163">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250</w:t>
                  </w:r>
                </w:p>
              </w:tc>
            </w:tr>
            <w:tr w14:paraId="2CCDA8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vAlign w:val="center"/>
                </w:tcPr>
                <w:p w14:paraId="55AB9EFE">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vAlign w:val="center"/>
                </w:tcPr>
                <w:p w14:paraId="7F76663B">
                  <w:pPr>
                    <w:widowControl/>
                    <w:jc w:val="center"/>
                    <w:textAlignment w:val="center"/>
                    <w:rPr>
                      <w:color w:val="000000" w:themeColor="text1"/>
                      <w:kern w:val="0"/>
                      <w:szCs w:val="21"/>
                      <w:lang w:bidi="ar"/>
                      <w14:textFill>
                        <w14:solidFill>
                          <w14:schemeClr w14:val="tx1"/>
                        </w14:solidFill>
                      </w14:textFill>
                    </w:rPr>
                  </w:pPr>
                </w:p>
              </w:tc>
              <w:tc>
                <w:tcPr>
                  <w:tcW w:w="557" w:type="pct"/>
                  <w:tcBorders>
                    <w:tl2br w:val="nil"/>
                    <w:tr2bl w:val="nil"/>
                  </w:tcBorders>
                  <w:shd w:val="clear" w:color="auto" w:fill="auto"/>
                  <w:vAlign w:val="center"/>
                </w:tcPr>
                <w:p w14:paraId="55391E23">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SS</w:t>
                  </w:r>
                </w:p>
              </w:tc>
              <w:tc>
                <w:tcPr>
                  <w:tcW w:w="1130" w:type="dxa"/>
                  <w:tcBorders>
                    <w:tl2br w:val="nil"/>
                    <w:tr2bl w:val="nil"/>
                  </w:tcBorders>
                  <w:shd w:val="clear" w:color="auto" w:fill="auto"/>
                  <w:noWrap/>
                  <w:vAlign w:val="center"/>
                </w:tcPr>
                <w:p w14:paraId="05FB5C0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213.669</w:t>
                  </w:r>
                </w:p>
              </w:tc>
              <w:tc>
                <w:tcPr>
                  <w:tcW w:w="979" w:type="dxa"/>
                  <w:tcBorders>
                    <w:tl2br w:val="nil"/>
                    <w:tr2bl w:val="nil"/>
                  </w:tcBorders>
                  <w:shd w:val="clear" w:color="auto" w:fill="auto"/>
                  <w:noWrap/>
                  <w:vAlign w:val="center"/>
                </w:tcPr>
                <w:p w14:paraId="3B862B67">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0.059</w:t>
                  </w:r>
                </w:p>
              </w:tc>
              <w:tc>
                <w:tcPr>
                  <w:tcW w:w="287" w:type="pct"/>
                  <w:vMerge w:val="continue"/>
                  <w:tcBorders>
                    <w:tl2br w:val="nil"/>
                    <w:tr2bl w:val="nil"/>
                  </w:tcBorders>
                  <w:shd w:val="clear" w:color="auto" w:fill="auto"/>
                  <w:noWrap/>
                  <w:vAlign w:val="center"/>
                </w:tcPr>
                <w:p w14:paraId="40DF213D">
                  <w:pPr>
                    <w:widowControl/>
                    <w:jc w:val="center"/>
                    <w:textAlignment w:val="center"/>
                    <w:rPr>
                      <w:color w:val="000000" w:themeColor="text1"/>
                      <w:kern w:val="0"/>
                      <w:szCs w:val="21"/>
                      <w:lang w:bidi="ar"/>
                      <w14:textFill>
                        <w14:solidFill>
                          <w14:schemeClr w14:val="tx1"/>
                        </w14:solidFill>
                      </w14:textFill>
                    </w:rPr>
                  </w:pPr>
                </w:p>
              </w:tc>
              <w:tc>
                <w:tcPr>
                  <w:tcW w:w="507" w:type="pct"/>
                  <w:tcBorders>
                    <w:tl2br w:val="nil"/>
                    <w:tr2bl w:val="nil"/>
                  </w:tcBorders>
                  <w:shd w:val="clear" w:color="auto" w:fill="auto"/>
                  <w:noWrap/>
                  <w:vAlign w:val="center"/>
                </w:tcPr>
                <w:p w14:paraId="69375A3A">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15</w:t>
                  </w:r>
                </w:p>
              </w:tc>
              <w:tc>
                <w:tcPr>
                  <w:tcW w:w="1193" w:type="dxa"/>
                  <w:tcBorders>
                    <w:tl2br w:val="nil"/>
                    <w:tr2bl w:val="nil"/>
                  </w:tcBorders>
                  <w:shd w:val="clear" w:color="auto" w:fill="auto"/>
                  <w:noWrap/>
                  <w:vAlign w:val="center"/>
                </w:tcPr>
                <w:p w14:paraId="684B5E7E">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181.619</w:t>
                  </w:r>
                </w:p>
              </w:tc>
              <w:tc>
                <w:tcPr>
                  <w:tcW w:w="926" w:type="dxa"/>
                  <w:tcBorders>
                    <w:tl2br w:val="nil"/>
                    <w:tr2bl w:val="nil"/>
                  </w:tcBorders>
                  <w:shd w:val="clear" w:color="auto" w:fill="auto"/>
                  <w:noWrap/>
                  <w:vAlign w:val="center"/>
                </w:tcPr>
                <w:p w14:paraId="2A34D6A0">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0.050</w:t>
                  </w:r>
                </w:p>
              </w:tc>
              <w:tc>
                <w:tcPr>
                  <w:tcW w:w="371" w:type="pct"/>
                  <w:tcBorders>
                    <w:tl2br w:val="nil"/>
                    <w:tr2bl w:val="nil"/>
                  </w:tcBorders>
                  <w:shd w:val="clear" w:color="auto" w:fill="auto"/>
                  <w:noWrap/>
                  <w:vAlign w:val="center"/>
                </w:tcPr>
                <w:p w14:paraId="13010833">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300</w:t>
                  </w:r>
                </w:p>
              </w:tc>
            </w:tr>
            <w:tr w14:paraId="0AE108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vAlign w:val="center"/>
                </w:tcPr>
                <w:p w14:paraId="2073F714">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vAlign w:val="center"/>
                </w:tcPr>
                <w:p w14:paraId="47D5744C">
                  <w:pPr>
                    <w:widowControl/>
                    <w:jc w:val="center"/>
                    <w:textAlignment w:val="center"/>
                    <w:rPr>
                      <w:color w:val="000000" w:themeColor="text1"/>
                      <w:kern w:val="0"/>
                      <w:szCs w:val="21"/>
                      <w:lang w:bidi="ar"/>
                      <w14:textFill>
                        <w14:solidFill>
                          <w14:schemeClr w14:val="tx1"/>
                        </w14:solidFill>
                      </w14:textFill>
                    </w:rPr>
                  </w:pPr>
                </w:p>
              </w:tc>
              <w:tc>
                <w:tcPr>
                  <w:tcW w:w="557" w:type="pct"/>
                  <w:tcBorders>
                    <w:tl2br w:val="nil"/>
                    <w:tr2bl w:val="nil"/>
                  </w:tcBorders>
                  <w:shd w:val="clear" w:color="auto" w:fill="auto"/>
                  <w:vAlign w:val="center"/>
                </w:tcPr>
                <w:p w14:paraId="5A6F0ABF">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氨氮</w:t>
                  </w:r>
                </w:p>
              </w:tc>
              <w:tc>
                <w:tcPr>
                  <w:tcW w:w="1130" w:type="dxa"/>
                  <w:tcBorders>
                    <w:tl2br w:val="nil"/>
                    <w:tr2bl w:val="nil"/>
                  </w:tcBorders>
                  <w:shd w:val="clear" w:color="auto" w:fill="auto"/>
                  <w:noWrap/>
                  <w:vAlign w:val="center"/>
                </w:tcPr>
                <w:p w14:paraId="2ED1E456">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8.694</w:t>
                  </w:r>
                </w:p>
              </w:tc>
              <w:tc>
                <w:tcPr>
                  <w:tcW w:w="979" w:type="dxa"/>
                  <w:tcBorders>
                    <w:tl2br w:val="nil"/>
                    <w:tr2bl w:val="nil"/>
                  </w:tcBorders>
                  <w:shd w:val="clear" w:color="auto" w:fill="auto"/>
                  <w:noWrap/>
                  <w:vAlign w:val="center"/>
                </w:tcPr>
                <w:p w14:paraId="731D72B5">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0.002</w:t>
                  </w:r>
                </w:p>
              </w:tc>
              <w:tc>
                <w:tcPr>
                  <w:tcW w:w="287" w:type="pct"/>
                  <w:vMerge w:val="continue"/>
                  <w:tcBorders>
                    <w:tl2br w:val="nil"/>
                    <w:tr2bl w:val="nil"/>
                  </w:tcBorders>
                  <w:shd w:val="clear" w:color="auto" w:fill="auto"/>
                  <w:noWrap/>
                  <w:vAlign w:val="center"/>
                </w:tcPr>
                <w:p w14:paraId="5891BED0">
                  <w:pPr>
                    <w:widowControl/>
                    <w:jc w:val="center"/>
                    <w:textAlignment w:val="center"/>
                    <w:rPr>
                      <w:color w:val="000000" w:themeColor="text1"/>
                      <w:kern w:val="0"/>
                      <w:szCs w:val="21"/>
                      <w:lang w:bidi="ar"/>
                      <w14:textFill>
                        <w14:solidFill>
                          <w14:schemeClr w14:val="tx1"/>
                        </w14:solidFill>
                      </w14:textFill>
                    </w:rPr>
                  </w:pPr>
                </w:p>
              </w:tc>
              <w:tc>
                <w:tcPr>
                  <w:tcW w:w="507" w:type="pct"/>
                  <w:tcBorders>
                    <w:tl2br w:val="nil"/>
                    <w:tr2bl w:val="nil"/>
                  </w:tcBorders>
                  <w:shd w:val="clear" w:color="auto" w:fill="auto"/>
                  <w:noWrap/>
                  <w:vAlign w:val="center"/>
                </w:tcPr>
                <w:p w14:paraId="6F9CD698">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10</w:t>
                  </w:r>
                </w:p>
              </w:tc>
              <w:tc>
                <w:tcPr>
                  <w:tcW w:w="1193" w:type="dxa"/>
                  <w:tcBorders>
                    <w:tl2br w:val="nil"/>
                    <w:tr2bl w:val="nil"/>
                  </w:tcBorders>
                  <w:shd w:val="clear" w:color="auto" w:fill="auto"/>
                  <w:noWrap/>
                  <w:vAlign w:val="center"/>
                </w:tcPr>
                <w:p w14:paraId="3205BB17">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7.825</w:t>
                  </w:r>
                </w:p>
              </w:tc>
              <w:tc>
                <w:tcPr>
                  <w:tcW w:w="926" w:type="dxa"/>
                  <w:tcBorders>
                    <w:tl2br w:val="nil"/>
                    <w:tr2bl w:val="nil"/>
                  </w:tcBorders>
                  <w:shd w:val="clear" w:color="auto" w:fill="auto"/>
                  <w:noWrap/>
                  <w:vAlign w:val="center"/>
                </w:tcPr>
                <w:p w14:paraId="256B47BE">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0.002</w:t>
                  </w:r>
                </w:p>
              </w:tc>
              <w:tc>
                <w:tcPr>
                  <w:tcW w:w="371" w:type="pct"/>
                  <w:tcBorders>
                    <w:tl2br w:val="nil"/>
                    <w:tr2bl w:val="nil"/>
                  </w:tcBorders>
                  <w:shd w:val="clear" w:color="auto" w:fill="auto"/>
                  <w:noWrap/>
                  <w:vAlign w:val="center"/>
                </w:tcPr>
                <w:p w14:paraId="26A993AE">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30</w:t>
                  </w:r>
                </w:p>
              </w:tc>
            </w:tr>
            <w:tr w14:paraId="2ACD16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vAlign w:val="center"/>
                </w:tcPr>
                <w:p w14:paraId="022CCE54">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vAlign w:val="center"/>
                </w:tcPr>
                <w:p w14:paraId="360227E6">
                  <w:pPr>
                    <w:widowControl/>
                    <w:jc w:val="center"/>
                    <w:textAlignment w:val="center"/>
                    <w:rPr>
                      <w:color w:val="000000" w:themeColor="text1"/>
                      <w:kern w:val="0"/>
                      <w:szCs w:val="21"/>
                      <w:lang w:bidi="ar"/>
                      <w14:textFill>
                        <w14:solidFill>
                          <w14:schemeClr w14:val="tx1"/>
                        </w14:solidFill>
                      </w14:textFill>
                    </w:rPr>
                  </w:pPr>
                </w:p>
              </w:tc>
              <w:tc>
                <w:tcPr>
                  <w:tcW w:w="557" w:type="pct"/>
                  <w:tcBorders>
                    <w:tl2br w:val="nil"/>
                    <w:tr2bl w:val="nil"/>
                  </w:tcBorders>
                  <w:shd w:val="clear" w:color="auto" w:fill="auto"/>
                  <w:vAlign w:val="center"/>
                </w:tcPr>
                <w:p w14:paraId="6A3A7BAB">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溶解性总固体</w:t>
                  </w:r>
                </w:p>
              </w:tc>
              <w:tc>
                <w:tcPr>
                  <w:tcW w:w="1130" w:type="dxa"/>
                  <w:tcBorders>
                    <w:tl2br w:val="nil"/>
                    <w:tr2bl w:val="nil"/>
                  </w:tcBorders>
                  <w:shd w:val="clear" w:color="auto" w:fill="auto"/>
                  <w:noWrap/>
                  <w:vAlign w:val="center"/>
                </w:tcPr>
                <w:p w14:paraId="0456E266">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14.388</w:t>
                  </w:r>
                </w:p>
              </w:tc>
              <w:tc>
                <w:tcPr>
                  <w:tcW w:w="979" w:type="dxa"/>
                  <w:tcBorders>
                    <w:tl2br w:val="nil"/>
                    <w:tr2bl w:val="nil"/>
                  </w:tcBorders>
                  <w:shd w:val="clear" w:color="auto" w:fill="auto"/>
                  <w:noWrap/>
                  <w:vAlign w:val="center"/>
                </w:tcPr>
                <w:p w14:paraId="463479A3">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0.004</w:t>
                  </w:r>
                </w:p>
              </w:tc>
              <w:tc>
                <w:tcPr>
                  <w:tcW w:w="287" w:type="pct"/>
                  <w:vMerge w:val="continue"/>
                  <w:tcBorders>
                    <w:tl2br w:val="nil"/>
                    <w:tr2bl w:val="nil"/>
                  </w:tcBorders>
                  <w:shd w:val="clear" w:color="auto" w:fill="auto"/>
                  <w:noWrap/>
                  <w:vAlign w:val="center"/>
                </w:tcPr>
                <w:p w14:paraId="0AE11518">
                  <w:pPr>
                    <w:widowControl/>
                    <w:jc w:val="center"/>
                    <w:textAlignment w:val="center"/>
                    <w:rPr>
                      <w:color w:val="000000" w:themeColor="text1"/>
                      <w:kern w:val="0"/>
                      <w:szCs w:val="21"/>
                      <w:lang w:bidi="ar"/>
                      <w14:textFill>
                        <w14:solidFill>
                          <w14:schemeClr w14:val="tx1"/>
                        </w14:solidFill>
                      </w14:textFill>
                    </w:rPr>
                  </w:pPr>
                </w:p>
              </w:tc>
              <w:tc>
                <w:tcPr>
                  <w:tcW w:w="840" w:type="dxa"/>
                  <w:tcBorders>
                    <w:tl2br w:val="nil"/>
                    <w:tr2bl w:val="nil"/>
                  </w:tcBorders>
                  <w:shd w:val="clear" w:color="auto" w:fill="auto"/>
                  <w:noWrap/>
                  <w:vAlign w:val="center"/>
                </w:tcPr>
                <w:p w14:paraId="5384253B">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w:t>
                  </w:r>
                </w:p>
              </w:tc>
              <w:tc>
                <w:tcPr>
                  <w:tcW w:w="1193" w:type="dxa"/>
                  <w:tcBorders>
                    <w:tl2br w:val="nil"/>
                    <w:tr2bl w:val="nil"/>
                  </w:tcBorders>
                  <w:shd w:val="clear" w:color="auto" w:fill="auto"/>
                  <w:noWrap/>
                  <w:vAlign w:val="center"/>
                </w:tcPr>
                <w:p w14:paraId="7B392E09">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14.388</w:t>
                  </w:r>
                </w:p>
              </w:tc>
              <w:tc>
                <w:tcPr>
                  <w:tcW w:w="926" w:type="dxa"/>
                  <w:tcBorders>
                    <w:tl2br w:val="nil"/>
                    <w:tr2bl w:val="nil"/>
                  </w:tcBorders>
                  <w:shd w:val="clear" w:color="auto" w:fill="auto"/>
                  <w:noWrap/>
                  <w:vAlign w:val="center"/>
                </w:tcPr>
                <w:p w14:paraId="025904A6">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0.004</w:t>
                  </w:r>
                </w:p>
              </w:tc>
              <w:tc>
                <w:tcPr>
                  <w:tcW w:w="371" w:type="pct"/>
                  <w:tcBorders>
                    <w:tl2br w:val="nil"/>
                    <w:tr2bl w:val="nil"/>
                  </w:tcBorders>
                  <w:shd w:val="clear" w:color="auto" w:fill="auto"/>
                  <w:noWrap/>
                  <w:vAlign w:val="center"/>
                </w:tcPr>
                <w:p w14:paraId="7EA01499">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w:t>
                  </w:r>
                </w:p>
              </w:tc>
            </w:tr>
            <w:tr w14:paraId="27951C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vAlign w:val="center"/>
                </w:tcPr>
                <w:p w14:paraId="08F618E2">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vAlign w:val="center"/>
                </w:tcPr>
                <w:p w14:paraId="0738C0C5">
                  <w:pPr>
                    <w:widowControl/>
                    <w:jc w:val="center"/>
                    <w:textAlignment w:val="center"/>
                    <w:rPr>
                      <w:color w:val="000000" w:themeColor="text1"/>
                      <w:kern w:val="0"/>
                      <w:szCs w:val="21"/>
                      <w:lang w:bidi="ar"/>
                      <w14:textFill>
                        <w14:solidFill>
                          <w14:schemeClr w14:val="tx1"/>
                        </w14:solidFill>
                      </w14:textFill>
                    </w:rPr>
                  </w:pPr>
                </w:p>
              </w:tc>
              <w:tc>
                <w:tcPr>
                  <w:tcW w:w="557" w:type="pct"/>
                  <w:tcBorders>
                    <w:tl2br w:val="nil"/>
                    <w:tr2bl w:val="nil"/>
                  </w:tcBorders>
                  <w:shd w:val="clear" w:color="auto" w:fill="auto"/>
                  <w:vAlign w:val="center"/>
                </w:tcPr>
                <w:p w14:paraId="33EA81BA">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总磷</w:t>
                  </w:r>
                </w:p>
              </w:tc>
              <w:tc>
                <w:tcPr>
                  <w:tcW w:w="1130" w:type="dxa"/>
                  <w:tcBorders>
                    <w:tl2br w:val="nil"/>
                    <w:tr2bl w:val="nil"/>
                  </w:tcBorders>
                  <w:shd w:val="clear" w:color="auto" w:fill="auto"/>
                  <w:noWrap/>
                  <w:vAlign w:val="center"/>
                </w:tcPr>
                <w:p w14:paraId="38347A02">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4.875</w:t>
                  </w:r>
                </w:p>
              </w:tc>
              <w:tc>
                <w:tcPr>
                  <w:tcW w:w="979" w:type="dxa"/>
                  <w:tcBorders>
                    <w:tl2br w:val="nil"/>
                    <w:tr2bl w:val="nil"/>
                  </w:tcBorders>
                  <w:shd w:val="clear" w:color="auto" w:fill="auto"/>
                  <w:noWrap/>
                  <w:vAlign w:val="center"/>
                </w:tcPr>
                <w:p w14:paraId="2AF6A87A">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0.001</w:t>
                  </w:r>
                </w:p>
              </w:tc>
              <w:tc>
                <w:tcPr>
                  <w:tcW w:w="287" w:type="pct"/>
                  <w:vMerge w:val="continue"/>
                  <w:tcBorders>
                    <w:tl2br w:val="nil"/>
                    <w:tr2bl w:val="nil"/>
                  </w:tcBorders>
                  <w:shd w:val="clear" w:color="auto" w:fill="auto"/>
                  <w:noWrap/>
                  <w:vAlign w:val="center"/>
                </w:tcPr>
                <w:p w14:paraId="6DA6814F">
                  <w:pPr>
                    <w:widowControl/>
                    <w:jc w:val="center"/>
                    <w:textAlignment w:val="center"/>
                    <w:rPr>
                      <w:color w:val="000000" w:themeColor="text1"/>
                      <w:kern w:val="0"/>
                      <w:szCs w:val="21"/>
                      <w:lang w:bidi="ar"/>
                      <w14:textFill>
                        <w14:solidFill>
                          <w14:schemeClr w14:val="tx1"/>
                        </w14:solidFill>
                      </w14:textFill>
                    </w:rPr>
                  </w:pPr>
                </w:p>
              </w:tc>
              <w:tc>
                <w:tcPr>
                  <w:tcW w:w="840" w:type="dxa"/>
                  <w:tcBorders>
                    <w:tl2br w:val="nil"/>
                    <w:tr2bl w:val="nil"/>
                  </w:tcBorders>
                  <w:shd w:val="clear" w:color="auto" w:fill="auto"/>
                  <w:noWrap/>
                  <w:vAlign w:val="center"/>
                </w:tcPr>
                <w:p w14:paraId="33A7583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8</w:t>
                  </w:r>
                </w:p>
              </w:tc>
              <w:tc>
                <w:tcPr>
                  <w:tcW w:w="1193" w:type="dxa"/>
                  <w:tcBorders>
                    <w:tl2br w:val="nil"/>
                    <w:tr2bl w:val="nil"/>
                  </w:tcBorders>
                  <w:shd w:val="clear" w:color="auto" w:fill="auto"/>
                  <w:noWrap/>
                  <w:vAlign w:val="center"/>
                </w:tcPr>
                <w:p w14:paraId="048B998F">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4.485</w:t>
                  </w:r>
                </w:p>
              </w:tc>
              <w:tc>
                <w:tcPr>
                  <w:tcW w:w="926" w:type="dxa"/>
                  <w:tcBorders>
                    <w:tl2br w:val="nil"/>
                    <w:tr2bl w:val="nil"/>
                  </w:tcBorders>
                  <w:shd w:val="clear" w:color="auto" w:fill="auto"/>
                  <w:noWrap/>
                  <w:vAlign w:val="center"/>
                </w:tcPr>
                <w:p w14:paraId="1E996ED4">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0.001</w:t>
                  </w:r>
                </w:p>
              </w:tc>
              <w:tc>
                <w:tcPr>
                  <w:tcW w:w="371" w:type="pct"/>
                  <w:tcBorders>
                    <w:tl2br w:val="nil"/>
                    <w:tr2bl w:val="nil"/>
                  </w:tcBorders>
                  <w:shd w:val="clear" w:color="auto" w:fill="auto"/>
                  <w:noWrap/>
                  <w:vAlign w:val="center"/>
                </w:tcPr>
                <w:p w14:paraId="49C56265">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w:t>
                  </w:r>
                </w:p>
              </w:tc>
            </w:tr>
            <w:tr w14:paraId="53EE60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shd w:val="clear" w:color="auto" w:fill="auto"/>
                  <w:vAlign w:val="center"/>
                </w:tcPr>
                <w:p w14:paraId="0F21008C">
                  <w:pPr>
                    <w:widowControl/>
                    <w:jc w:val="center"/>
                    <w:textAlignment w:val="center"/>
                    <w:rPr>
                      <w:color w:val="000000" w:themeColor="text1"/>
                      <w:kern w:val="0"/>
                      <w:szCs w:val="21"/>
                      <w:lang w:bidi="ar"/>
                      <w14:textFill>
                        <w14:solidFill>
                          <w14:schemeClr w14:val="tx1"/>
                        </w14:solidFill>
                      </w14:textFill>
                    </w:rPr>
                  </w:pPr>
                </w:p>
              </w:tc>
              <w:tc>
                <w:tcPr>
                  <w:tcW w:w="360" w:type="pct"/>
                  <w:vMerge w:val="continue"/>
                  <w:tcBorders>
                    <w:tl2br w:val="nil"/>
                    <w:tr2bl w:val="nil"/>
                  </w:tcBorders>
                  <w:shd w:val="clear" w:color="auto" w:fill="auto"/>
                  <w:vAlign w:val="center"/>
                </w:tcPr>
                <w:p w14:paraId="7C9F4A60">
                  <w:pPr>
                    <w:widowControl/>
                    <w:jc w:val="center"/>
                    <w:textAlignment w:val="center"/>
                    <w:rPr>
                      <w:color w:val="000000" w:themeColor="text1"/>
                      <w:kern w:val="0"/>
                      <w:szCs w:val="21"/>
                      <w:lang w:bidi="ar"/>
                      <w14:textFill>
                        <w14:solidFill>
                          <w14:schemeClr w14:val="tx1"/>
                        </w14:solidFill>
                      </w14:textFill>
                    </w:rPr>
                  </w:pPr>
                </w:p>
              </w:tc>
              <w:tc>
                <w:tcPr>
                  <w:tcW w:w="557" w:type="pct"/>
                  <w:tcBorders>
                    <w:tl2br w:val="nil"/>
                    <w:tr2bl w:val="nil"/>
                  </w:tcBorders>
                  <w:shd w:val="clear" w:color="auto" w:fill="auto"/>
                  <w:vAlign w:val="center"/>
                </w:tcPr>
                <w:p w14:paraId="60D3C2E5">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总氮</w:t>
                  </w:r>
                </w:p>
              </w:tc>
              <w:tc>
                <w:tcPr>
                  <w:tcW w:w="1130" w:type="dxa"/>
                  <w:tcBorders>
                    <w:tl2br w:val="nil"/>
                    <w:tr2bl w:val="nil"/>
                  </w:tcBorders>
                  <w:shd w:val="clear" w:color="auto" w:fill="auto"/>
                  <w:noWrap/>
                  <w:vAlign w:val="center"/>
                </w:tcPr>
                <w:p w14:paraId="59D4C857">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13.705</w:t>
                  </w:r>
                </w:p>
              </w:tc>
              <w:tc>
                <w:tcPr>
                  <w:tcW w:w="979" w:type="dxa"/>
                  <w:tcBorders>
                    <w:tl2br w:val="nil"/>
                    <w:tr2bl w:val="nil"/>
                  </w:tcBorders>
                  <w:shd w:val="clear" w:color="auto" w:fill="auto"/>
                  <w:noWrap/>
                  <w:vAlign w:val="center"/>
                </w:tcPr>
                <w:p w14:paraId="07311416">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0.004</w:t>
                  </w:r>
                </w:p>
              </w:tc>
              <w:tc>
                <w:tcPr>
                  <w:tcW w:w="287" w:type="pct"/>
                  <w:vMerge w:val="continue"/>
                  <w:tcBorders>
                    <w:tl2br w:val="nil"/>
                    <w:tr2bl w:val="nil"/>
                  </w:tcBorders>
                  <w:shd w:val="clear" w:color="auto" w:fill="auto"/>
                  <w:noWrap/>
                  <w:vAlign w:val="center"/>
                </w:tcPr>
                <w:p w14:paraId="0709CFB6">
                  <w:pPr>
                    <w:widowControl/>
                    <w:jc w:val="center"/>
                    <w:textAlignment w:val="center"/>
                    <w:rPr>
                      <w:color w:val="000000" w:themeColor="text1"/>
                      <w:kern w:val="0"/>
                      <w:szCs w:val="21"/>
                      <w:lang w:bidi="ar"/>
                      <w14:textFill>
                        <w14:solidFill>
                          <w14:schemeClr w14:val="tx1"/>
                        </w14:solidFill>
                      </w14:textFill>
                    </w:rPr>
                  </w:pPr>
                </w:p>
              </w:tc>
              <w:tc>
                <w:tcPr>
                  <w:tcW w:w="840" w:type="dxa"/>
                  <w:tcBorders>
                    <w:tl2br w:val="nil"/>
                    <w:tr2bl w:val="nil"/>
                  </w:tcBorders>
                  <w:shd w:val="clear" w:color="auto" w:fill="auto"/>
                  <w:noWrap/>
                  <w:vAlign w:val="center"/>
                </w:tcPr>
                <w:p w14:paraId="538985CB">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7</w:t>
                  </w:r>
                </w:p>
              </w:tc>
              <w:tc>
                <w:tcPr>
                  <w:tcW w:w="1193" w:type="dxa"/>
                  <w:tcBorders>
                    <w:tl2br w:val="nil"/>
                    <w:tr2bl w:val="nil"/>
                  </w:tcBorders>
                  <w:shd w:val="clear" w:color="auto" w:fill="auto"/>
                  <w:noWrap/>
                  <w:vAlign w:val="center"/>
                </w:tcPr>
                <w:p w14:paraId="6B867990">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12.746</w:t>
                  </w:r>
                </w:p>
              </w:tc>
              <w:tc>
                <w:tcPr>
                  <w:tcW w:w="926" w:type="dxa"/>
                  <w:tcBorders>
                    <w:tl2br w:val="nil"/>
                    <w:tr2bl w:val="nil"/>
                  </w:tcBorders>
                  <w:shd w:val="clear" w:color="auto" w:fill="auto"/>
                  <w:noWrap/>
                  <w:vAlign w:val="center"/>
                </w:tcPr>
                <w:p w14:paraId="3DE9317D">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0.004</w:t>
                  </w:r>
                </w:p>
              </w:tc>
              <w:tc>
                <w:tcPr>
                  <w:tcW w:w="371" w:type="pct"/>
                  <w:tcBorders>
                    <w:tl2br w:val="nil"/>
                    <w:tr2bl w:val="nil"/>
                  </w:tcBorders>
                  <w:shd w:val="clear" w:color="auto" w:fill="auto"/>
                  <w:noWrap/>
                  <w:vAlign w:val="center"/>
                </w:tcPr>
                <w:p w14:paraId="6027EB38">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50</w:t>
                  </w:r>
                </w:p>
              </w:tc>
            </w:tr>
          </w:tbl>
          <w:p w14:paraId="5F99386D">
            <w:pPr>
              <w:spacing w:before="120" w:beforeLines="5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由上表可知，废水中COD、NH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-N、SS、BOD</w:t>
            </w:r>
            <w:r>
              <w:rPr>
                <w:color w:val="000000" w:themeColor="text1"/>
                <w:sz w:val="24"/>
                <w:vertAlign w:val="subscript"/>
                <w14:textFill>
                  <w14:solidFill>
                    <w14:schemeClr w14:val="tx1"/>
                  </w14:solidFill>
                </w14:textFill>
              </w:rPr>
              <w:t>5</w:t>
            </w:r>
            <w:r>
              <w:rPr>
                <w:color w:val="000000" w:themeColor="text1"/>
                <w:sz w:val="24"/>
                <w14:textFill>
                  <w14:solidFill>
                    <w14:schemeClr w14:val="tx1"/>
                  </w14:solidFill>
                </w14:textFill>
              </w:rPr>
              <w:t>、总磷、总氮排放浓度满足《辽宁省污水综合排放标准》（DB21/1627-2008）相关标准要求，pH满足《污水综合排放标准》（GB8978-1996）相关标准要求。</w:t>
            </w:r>
          </w:p>
          <w:p w14:paraId="1C777AE7">
            <w:pPr>
              <w:pStyle w:val="85"/>
              <w:spacing w:before="120" w:beforeLines="50"/>
              <w:ind w:firstLine="0" w:firstLineChars="0"/>
              <w:rPr>
                <w:b/>
                <w:bCs/>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2.2、废水治理可行性分析</w:t>
            </w:r>
          </w:p>
          <w:p w14:paraId="565B61C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①本项目废水治理可行性分析</w:t>
            </w:r>
          </w:p>
          <w:p w14:paraId="129BD46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根据《排污许可证申请与核发技术规范  锅炉》（HJ953.2-2026）、《工业锅炉污染防治可行技术指南》（HJ1178-2021）中污染防治可行技术相关要求，本项目废水处理设施均属规范中可行技术，具体可行性分析见下表。</w:t>
            </w:r>
          </w:p>
          <w:p w14:paraId="08D9D099">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表4-10  废水治理措施可行性分析表</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882"/>
              <w:gridCol w:w="2407"/>
              <w:gridCol w:w="1555"/>
              <w:gridCol w:w="1146"/>
            </w:tblGrid>
            <w:tr w14:paraId="5453E8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92" w:type="pct"/>
                  <w:vAlign w:val="center"/>
                </w:tcPr>
                <w:p w14:paraId="4CD7C566">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废水类别</w:t>
                  </w:r>
                </w:p>
              </w:tc>
              <w:tc>
                <w:tcPr>
                  <w:tcW w:w="1132" w:type="pct"/>
                  <w:vAlign w:val="center"/>
                </w:tcPr>
                <w:p w14:paraId="318AB0AA">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448" w:type="pct"/>
                  <w:vAlign w:val="center"/>
                </w:tcPr>
                <w:p w14:paraId="7DE4FE23">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可行技术要求</w:t>
                  </w:r>
                </w:p>
              </w:tc>
              <w:tc>
                <w:tcPr>
                  <w:tcW w:w="935" w:type="pct"/>
                  <w:vAlign w:val="center"/>
                </w:tcPr>
                <w:p w14:paraId="41176E46">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本项目情况</w:t>
                  </w:r>
                </w:p>
              </w:tc>
              <w:tc>
                <w:tcPr>
                  <w:tcW w:w="690" w:type="pct"/>
                  <w:vAlign w:val="center"/>
                </w:tcPr>
                <w:p w14:paraId="5875E620">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是否可行</w:t>
                  </w:r>
                </w:p>
              </w:tc>
            </w:tr>
            <w:tr w14:paraId="1A8B06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92" w:type="pct"/>
                  <w:vAlign w:val="center"/>
                </w:tcPr>
                <w:p w14:paraId="37D08671">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14:textFill>
                        <w14:solidFill>
                          <w14:schemeClr w14:val="tx1"/>
                        </w14:solidFill>
                      </w14:textFill>
                    </w:rPr>
                    <w:t>综合废水</w:t>
                  </w:r>
                </w:p>
              </w:tc>
              <w:tc>
                <w:tcPr>
                  <w:tcW w:w="1132" w:type="pct"/>
                  <w:vAlign w:val="center"/>
                </w:tcPr>
                <w:p w14:paraId="7207DFE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pH、COD、</w:t>
                  </w: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w:t>
                  </w:r>
                  <w:r>
                    <w:rPr>
                      <w:color w:val="000000" w:themeColor="text1"/>
                      <w:szCs w:val="21"/>
                      <w14:textFill>
                        <w14:solidFill>
                          <w14:schemeClr w14:val="tx1"/>
                        </w14:solidFill>
                      </w14:textFill>
                    </w:rPr>
                    <w:t>、SS、溶解性总固体（全盐量）</w:t>
                  </w:r>
                </w:p>
              </w:tc>
              <w:tc>
                <w:tcPr>
                  <w:tcW w:w="2401" w:type="dxa"/>
                  <w:vAlign w:val="center"/>
                </w:tcPr>
                <w:p w14:paraId="297688BF">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pH调整+絮凝+澄清</w:t>
                  </w:r>
                </w:p>
              </w:tc>
              <w:tc>
                <w:tcPr>
                  <w:tcW w:w="1550" w:type="dxa"/>
                  <w:vAlign w:val="center"/>
                </w:tcPr>
                <w:p w14:paraId="1D0D29EB">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经化粪池（沉淀）处理后排入污水管网，最终进入峡河乡污水处理设施</w:t>
                  </w:r>
                </w:p>
              </w:tc>
              <w:tc>
                <w:tcPr>
                  <w:tcW w:w="690" w:type="pct"/>
                  <w:vAlign w:val="center"/>
                </w:tcPr>
                <w:p w14:paraId="50092CB7">
                  <w:pPr>
                    <w:autoSpaceDE w:val="0"/>
                    <w:autoSpaceDN w:val="0"/>
                    <w:adjustRightInd w:val="0"/>
                    <w:snapToGrid w:val="0"/>
                    <w:spacing w:after="24" w:afterLines="10"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bl>
          <w:p w14:paraId="1B9F2E2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②峡河乡污水处理设施依托可行性分析</w:t>
            </w:r>
          </w:p>
          <w:p w14:paraId="1934FE2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峡河乡污水处理设施处理规模为300t/d，污水处理采用“提篮格栅→好氧池→沉淀池→清水池”工艺，出水水质执行《城镇污水处理厂污染物排放标准》(GB18918-2002)中一级B排放标准。峡河乡污水处理设施现阶段污水处理量约为150t/d，富余能力为150t/d，本项目实施后生产废水排放量为</w:t>
            </w:r>
            <w:r>
              <w:rPr>
                <w:rFonts w:hint="eastAsia"/>
                <w:color w:val="000000" w:themeColor="text1"/>
                <w:sz w:val="24"/>
                <w14:textFill>
                  <w14:solidFill>
                    <w14:schemeClr w14:val="tx1"/>
                  </w14:solidFill>
                </w14:textFill>
              </w:rPr>
              <w:t>1.74</w:t>
            </w:r>
            <w:r>
              <w:rPr>
                <w:color w:val="000000" w:themeColor="text1"/>
                <w:sz w:val="24"/>
                <w14:textFill>
                  <w14:solidFill>
                    <w14:schemeClr w14:val="tx1"/>
                  </w14:solidFill>
                </w14:textFill>
              </w:rPr>
              <w:t>t/d，仅占峡河乡污水处理设施的</w:t>
            </w:r>
            <w:r>
              <w:rPr>
                <w:rFonts w:hint="eastAsia"/>
                <w:color w:val="000000" w:themeColor="text1"/>
                <w:sz w:val="24"/>
                <w14:textFill>
                  <w14:solidFill>
                    <w14:schemeClr w14:val="tx1"/>
                  </w14:solidFill>
                </w14:textFill>
              </w:rPr>
              <w:t>0.58</w:t>
            </w:r>
            <w:r>
              <w:rPr>
                <w:color w:val="000000" w:themeColor="text1"/>
                <w:sz w:val="24"/>
                <w14:textFill>
                  <w14:solidFill>
                    <w14:schemeClr w14:val="tx1"/>
                  </w14:solidFill>
                </w14:textFill>
              </w:rPr>
              <w:t>%，峡河乡污水处理设施剩余处理能力充足，完全可接纳本项目废水，不会对其正常运行造成冲击影响，因此依托该污水处理设施可行。并且本项目废水排放浓度能够达到</w:t>
            </w:r>
            <w:r>
              <w:rPr>
                <w:rStyle w:val="64"/>
                <w:color w:val="000000" w:themeColor="text1"/>
                <w:kern w:val="0"/>
                <w:sz w:val="24"/>
                <w14:textFill>
                  <w14:solidFill>
                    <w14:schemeClr w14:val="tx1"/>
                  </w14:solidFill>
                </w14:textFill>
              </w:rPr>
              <w:t>《辽宁省污水综合排放标准》（DB21/1627-2008）中表2排入污水处理厂的标准限值</w:t>
            </w:r>
            <w:r>
              <w:rPr>
                <w:color w:val="000000" w:themeColor="text1"/>
                <w:sz w:val="24"/>
                <w14:textFill>
                  <w14:solidFill>
                    <w14:schemeClr w14:val="tx1"/>
                  </w14:solidFill>
                </w14:textFill>
              </w:rPr>
              <w:t>，即满足污水处理设施进水水质要求。</w:t>
            </w:r>
          </w:p>
          <w:p w14:paraId="476431B2">
            <w:pPr>
              <w:pStyle w:val="29"/>
              <w:snapToGrid/>
              <w:spacing w:before="0" w:after="0" w:line="360" w:lineRule="auto"/>
              <w:ind w:right="0"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综上所述，本项目废水治理措施采用《排污许可证申请与核发技术规范总则》（HJ942-2018）中可行技术，废水对周边水环境的环境影响较小。因此依托峡河乡污水处理设施处理可行。</w:t>
            </w:r>
          </w:p>
          <w:p w14:paraId="4366C22A">
            <w:pPr>
              <w:spacing w:line="360" w:lineRule="auto"/>
              <w:ind w:firstLine="480"/>
              <w:rPr>
                <w:rStyle w:val="64"/>
                <w:color w:val="000000" w:themeColor="text1"/>
                <w:kern w:val="0"/>
                <w:sz w:val="24"/>
                <w14:textFill>
                  <w14:solidFill>
                    <w14:schemeClr w14:val="tx1"/>
                  </w14:solidFill>
                </w14:textFill>
              </w:rPr>
            </w:pPr>
            <w:r>
              <w:rPr>
                <w:rStyle w:val="64"/>
                <w:color w:val="000000" w:themeColor="text1"/>
                <w:kern w:val="0"/>
                <w:sz w:val="24"/>
                <w14:textFill>
                  <w14:solidFill>
                    <w14:schemeClr w14:val="tx1"/>
                  </w14:solidFill>
                </w14:textFill>
              </w:rPr>
              <w:t>本项目废水排放口情况见下表。</w:t>
            </w:r>
          </w:p>
          <w:p w14:paraId="39B96248">
            <w:pPr>
              <w:pStyle w:val="131"/>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表4-11 项目废水排放口基本情况表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005"/>
              <w:gridCol w:w="1067"/>
              <w:gridCol w:w="865"/>
              <w:gridCol w:w="1586"/>
              <w:gridCol w:w="1330"/>
              <w:gridCol w:w="1506"/>
              <w:gridCol w:w="863"/>
            </w:tblGrid>
            <w:tr w14:paraId="116FD9B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05" w:type="dxa"/>
                  <w:vMerge w:val="restart"/>
                  <w:tcBorders>
                    <w:tl2br w:val="nil"/>
                    <w:tr2bl w:val="nil"/>
                  </w:tcBorders>
                  <w:vAlign w:val="center"/>
                </w:tcPr>
                <w:p w14:paraId="1C141510">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编号</w:t>
                  </w:r>
                </w:p>
              </w:tc>
              <w:tc>
                <w:tcPr>
                  <w:tcW w:w="1067" w:type="dxa"/>
                  <w:vMerge w:val="restart"/>
                  <w:tcBorders>
                    <w:tl2br w:val="nil"/>
                    <w:tr2bl w:val="nil"/>
                  </w:tcBorders>
                  <w:vAlign w:val="center"/>
                </w:tcPr>
                <w:p w14:paraId="42AB2F1E">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名称</w:t>
                  </w:r>
                </w:p>
              </w:tc>
              <w:tc>
                <w:tcPr>
                  <w:tcW w:w="865" w:type="dxa"/>
                  <w:vMerge w:val="restart"/>
                  <w:tcBorders>
                    <w:tl2br w:val="nil"/>
                    <w:tr2bl w:val="nil"/>
                  </w:tcBorders>
                  <w:vAlign w:val="center"/>
                </w:tcPr>
                <w:p w14:paraId="7211BDF9">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类型</w:t>
                  </w:r>
                </w:p>
              </w:tc>
              <w:tc>
                <w:tcPr>
                  <w:tcW w:w="2916" w:type="dxa"/>
                  <w:gridSpan w:val="2"/>
                  <w:tcBorders>
                    <w:tl2br w:val="nil"/>
                    <w:tr2bl w:val="nil"/>
                  </w:tcBorders>
                  <w:vAlign w:val="center"/>
                </w:tcPr>
                <w:p w14:paraId="3406D992">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地理坐标（°）</w:t>
                  </w:r>
                </w:p>
              </w:tc>
              <w:tc>
                <w:tcPr>
                  <w:tcW w:w="1506" w:type="dxa"/>
                  <w:vMerge w:val="restart"/>
                  <w:tcBorders>
                    <w:tl2br w:val="nil"/>
                    <w:tr2bl w:val="nil"/>
                  </w:tcBorders>
                  <w:vAlign w:val="center"/>
                </w:tcPr>
                <w:p w14:paraId="552E50F6">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排放去向</w:t>
                  </w:r>
                </w:p>
              </w:tc>
              <w:tc>
                <w:tcPr>
                  <w:tcW w:w="863" w:type="dxa"/>
                  <w:vMerge w:val="restart"/>
                  <w:tcBorders>
                    <w:tl2br w:val="nil"/>
                    <w:tr2bl w:val="nil"/>
                  </w:tcBorders>
                  <w:vAlign w:val="center"/>
                </w:tcPr>
                <w:p w14:paraId="2D8250EB">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排放方式</w:t>
                  </w:r>
                </w:p>
              </w:tc>
            </w:tr>
            <w:tr w14:paraId="291C4E6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05" w:type="dxa"/>
                  <w:vMerge w:val="continue"/>
                  <w:tcBorders>
                    <w:tl2br w:val="nil"/>
                    <w:tr2bl w:val="nil"/>
                  </w:tcBorders>
                  <w:vAlign w:val="center"/>
                </w:tcPr>
                <w:p w14:paraId="677C3541">
                  <w:pPr>
                    <w:pStyle w:val="88"/>
                    <w:rPr>
                      <w:color w:val="000000" w:themeColor="text1"/>
                      <w:szCs w:val="21"/>
                      <w14:textFill>
                        <w14:solidFill>
                          <w14:schemeClr w14:val="tx1"/>
                        </w14:solidFill>
                      </w14:textFill>
                    </w:rPr>
                  </w:pPr>
                </w:p>
              </w:tc>
              <w:tc>
                <w:tcPr>
                  <w:tcW w:w="1067" w:type="dxa"/>
                  <w:vMerge w:val="continue"/>
                  <w:tcBorders>
                    <w:tl2br w:val="nil"/>
                    <w:tr2bl w:val="nil"/>
                  </w:tcBorders>
                  <w:vAlign w:val="center"/>
                </w:tcPr>
                <w:p w14:paraId="50039A68">
                  <w:pPr>
                    <w:pStyle w:val="88"/>
                    <w:rPr>
                      <w:color w:val="000000" w:themeColor="text1"/>
                      <w:szCs w:val="21"/>
                      <w14:textFill>
                        <w14:solidFill>
                          <w14:schemeClr w14:val="tx1"/>
                        </w14:solidFill>
                      </w14:textFill>
                    </w:rPr>
                  </w:pPr>
                </w:p>
              </w:tc>
              <w:tc>
                <w:tcPr>
                  <w:tcW w:w="865" w:type="dxa"/>
                  <w:vMerge w:val="continue"/>
                  <w:tcBorders>
                    <w:tl2br w:val="nil"/>
                    <w:tr2bl w:val="nil"/>
                  </w:tcBorders>
                  <w:vAlign w:val="center"/>
                </w:tcPr>
                <w:p w14:paraId="2EC43BE8">
                  <w:pPr>
                    <w:pStyle w:val="88"/>
                    <w:rPr>
                      <w:rFonts w:eastAsia="宋体"/>
                      <w:color w:val="000000" w:themeColor="text1"/>
                      <w:szCs w:val="21"/>
                      <w14:textFill>
                        <w14:solidFill>
                          <w14:schemeClr w14:val="tx1"/>
                        </w14:solidFill>
                      </w14:textFill>
                    </w:rPr>
                  </w:pPr>
                </w:p>
              </w:tc>
              <w:tc>
                <w:tcPr>
                  <w:tcW w:w="1586" w:type="dxa"/>
                  <w:tcBorders>
                    <w:tl2br w:val="nil"/>
                    <w:tr2bl w:val="nil"/>
                  </w:tcBorders>
                  <w:vAlign w:val="center"/>
                </w:tcPr>
                <w:p w14:paraId="60D88BEF">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经度</w:t>
                  </w:r>
                </w:p>
              </w:tc>
              <w:tc>
                <w:tcPr>
                  <w:tcW w:w="1330" w:type="dxa"/>
                  <w:tcBorders>
                    <w:tl2br w:val="nil"/>
                    <w:tr2bl w:val="nil"/>
                  </w:tcBorders>
                  <w:vAlign w:val="center"/>
                </w:tcPr>
                <w:p w14:paraId="5ED6AD42">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纬度</w:t>
                  </w:r>
                </w:p>
              </w:tc>
              <w:tc>
                <w:tcPr>
                  <w:tcW w:w="1506" w:type="dxa"/>
                  <w:vMerge w:val="continue"/>
                  <w:tcBorders>
                    <w:tl2br w:val="nil"/>
                    <w:tr2bl w:val="nil"/>
                  </w:tcBorders>
                  <w:vAlign w:val="center"/>
                </w:tcPr>
                <w:p w14:paraId="467841BA">
                  <w:pPr>
                    <w:pStyle w:val="88"/>
                    <w:rPr>
                      <w:rFonts w:eastAsia="宋体"/>
                      <w:color w:val="000000" w:themeColor="text1"/>
                      <w:szCs w:val="21"/>
                      <w14:textFill>
                        <w14:solidFill>
                          <w14:schemeClr w14:val="tx1"/>
                        </w14:solidFill>
                      </w14:textFill>
                    </w:rPr>
                  </w:pPr>
                </w:p>
              </w:tc>
              <w:tc>
                <w:tcPr>
                  <w:tcW w:w="863" w:type="dxa"/>
                  <w:vMerge w:val="continue"/>
                  <w:tcBorders>
                    <w:tl2br w:val="nil"/>
                    <w:tr2bl w:val="nil"/>
                  </w:tcBorders>
                  <w:vAlign w:val="center"/>
                </w:tcPr>
                <w:p w14:paraId="437A115A">
                  <w:pPr>
                    <w:pStyle w:val="88"/>
                    <w:rPr>
                      <w:rFonts w:eastAsia="宋体"/>
                      <w:color w:val="000000" w:themeColor="text1"/>
                      <w:szCs w:val="21"/>
                      <w14:textFill>
                        <w14:solidFill>
                          <w14:schemeClr w14:val="tx1"/>
                        </w14:solidFill>
                      </w14:textFill>
                    </w:rPr>
                  </w:pPr>
                </w:p>
              </w:tc>
            </w:tr>
            <w:tr w14:paraId="18DB9CA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05" w:type="dxa"/>
                  <w:tcBorders>
                    <w:tl2br w:val="nil"/>
                    <w:tr2bl w:val="nil"/>
                  </w:tcBorders>
                  <w:vAlign w:val="center"/>
                </w:tcPr>
                <w:p w14:paraId="2BD24FC3">
                  <w:pPr>
                    <w:pStyle w:val="8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DW001</w:t>
                  </w:r>
                </w:p>
              </w:tc>
              <w:tc>
                <w:tcPr>
                  <w:tcW w:w="1067" w:type="dxa"/>
                  <w:tcBorders>
                    <w:tl2br w:val="nil"/>
                    <w:tr2bl w:val="nil"/>
                  </w:tcBorders>
                  <w:vAlign w:val="center"/>
                </w:tcPr>
                <w:p w14:paraId="2D4E137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综合废水</w:t>
                  </w:r>
                </w:p>
              </w:tc>
              <w:tc>
                <w:tcPr>
                  <w:tcW w:w="865" w:type="dxa"/>
                  <w:tcBorders>
                    <w:tl2br w:val="nil"/>
                    <w:tr2bl w:val="nil"/>
                  </w:tcBorders>
                  <w:vAlign w:val="center"/>
                </w:tcPr>
                <w:p w14:paraId="24F26997">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一般排放口</w:t>
                  </w:r>
                </w:p>
              </w:tc>
              <w:tc>
                <w:tcPr>
                  <w:tcW w:w="1586" w:type="dxa"/>
                  <w:tcBorders>
                    <w:tl2br w:val="nil"/>
                    <w:tr2bl w:val="nil"/>
                  </w:tcBorders>
                  <w:vAlign w:val="center"/>
                </w:tcPr>
                <w:p w14:paraId="6B510A0C">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123.978881</w:t>
                  </w:r>
                </w:p>
              </w:tc>
              <w:tc>
                <w:tcPr>
                  <w:tcW w:w="1330" w:type="dxa"/>
                  <w:tcBorders>
                    <w:tl2br w:val="nil"/>
                    <w:tr2bl w:val="nil"/>
                  </w:tcBorders>
                  <w:vAlign w:val="center"/>
                </w:tcPr>
                <w:p w14:paraId="37C9CF3D">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41.645687</w:t>
                  </w:r>
                </w:p>
              </w:tc>
              <w:tc>
                <w:tcPr>
                  <w:tcW w:w="1506" w:type="dxa"/>
                  <w:tcBorders>
                    <w:tl2br w:val="nil"/>
                    <w:tr2bl w:val="nil"/>
                  </w:tcBorders>
                  <w:vAlign w:val="center"/>
                </w:tcPr>
                <w:p w14:paraId="4E1A014E">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峡河乡污水处理设施</w:t>
                  </w:r>
                </w:p>
              </w:tc>
              <w:tc>
                <w:tcPr>
                  <w:tcW w:w="863" w:type="dxa"/>
                  <w:tcBorders>
                    <w:tl2br w:val="nil"/>
                    <w:tr2bl w:val="nil"/>
                  </w:tcBorders>
                  <w:vAlign w:val="center"/>
                </w:tcPr>
                <w:p w14:paraId="5F91027A">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w:t>
                  </w:r>
                </w:p>
              </w:tc>
            </w:tr>
          </w:tbl>
          <w:p w14:paraId="5CC1A8D8">
            <w:pPr>
              <w:autoSpaceDE w:val="0"/>
              <w:autoSpaceDN w:val="0"/>
              <w:adjustRightIn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2.3、废水监测要求</w:t>
            </w:r>
          </w:p>
          <w:p w14:paraId="627FE0BE">
            <w:pPr>
              <w:pStyle w:val="29"/>
              <w:spacing w:after="0"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根据《排污单位自行监测技术指南 总则》（HJ819-2017）、《排污单位自行监测技术指南火力发电及锅炉》（HJ 820-2017）及各环境要素排放标准中的监测要求制定本项目建设后厂区监测计划。详见下表。</w:t>
            </w:r>
          </w:p>
          <w:p w14:paraId="51305C3D">
            <w:pPr>
              <w:autoSpaceDE w:val="0"/>
              <w:autoSpaceDN w:val="0"/>
              <w:adjustRightIn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表4-12  废水监测要求</w:t>
            </w:r>
          </w:p>
          <w:tbl>
            <w:tblPr>
              <w:tblStyle w:val="32"/>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3"/>
              <w:gridCol w:w="1195"/>
              <w:gridCol w:w="1760"/>
              <w:gridCol w:w="1136"/>
              <w:gridCol w:w="3250"/>
            </w:tblGrid>
            <w:tr w14:paraId="53BDC4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tcBorders>
                    <w:tl2br w:val="nil"/>
                    <w:tr2bl w:val="nil"/>
                  </w:tcBorders>
                  <w:vAlign w:val="center"/>
                </w:tcPr>
                <w:p w14:paraId="1C806C38">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编号</w:t>
                  </w:r>
                </w:p>
              </w:tc>
              <w:tc>
                <w:tcPr>
                  <w:tcW w:w="719" w:type="pct"/>
                  <w:tcBorders>
                    <w:tl2br w:val="nil"/>
                    <w:tr2bl w:val="nil"/>
                  </w:tcBorders>
                  <w:vAlign w:val="center"/>
                </w:tcPr>
                <w:p w14:paraId="4F6ABDE6">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监测点位</w:t>
                  </w:r>
                </w:p>
              </w:tc>
              <w:tc>
                <w:tcPr>
                  <w:tcW w:w="1060" w:type="pct"/>
                  <w:tcBorders>
                    <w:tl2br w:val="nil"/>
                    <w:tr2bl w:val="nil"/>
                  </w:tcBorders>
                  <w:vAlign w:val="center"/>
                </w:tcPr>
                <w:p w14:paraId="43B374EF">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监测项目</w:t>
                  </w:r>
                </w:p>
              </w:tc>
              <w:tc>
                <w:tcPr>
                  <w:tcW w:w="684" w:type="pct"/>
                  <w:tcBorders>
                    <w:tl2br w:val="nil"/>
                    <w:tr2bl w:val="nil"/>
                  </w:tcBorders>
                  <w:vAlign w:val="center"/>
                </w:tcPr>
                <w:p w14:paraId="169DC1A9">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监测频次</w:t>
                  </w:r>
                </w:p>
              </w:tc>
              <w:tc>
                <w:tcPr>
                  <w:tcW w:w="1957" w:type="pct"/>
                  <w:tcBorders>
                    <w:tl2br w:val="nil"/>
                    <w:tr2bl w:val="nil"/>
                  </w:tcBorders>
                  <w:vAlign w:val="center"/>
                </w:tcPr>
                <w:p w14:paraId="58BB250C">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执行标准</w:t>
                  </w:r>
                </w:p>
              </w:tc>
            </w:tr>
            <w:tr w14:paraId="29326C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tcBorders>
                    <w:tl2br w:val="nil"/>
                    <w:tr2bl w:val="nil"/>
                  </w:tcBorders>
                  <w:vAlign w:val="center"/>
                </w:tcPr>
                <w:p w14:paraId="4235ED37">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DW001</w:t>
                  </w:r>
                </w:p>
              </w:tc>
              <w:tc>
                <w:tcPr>
                  <w:tcW w:w="719" w:type="pct"/>
                  <w:tcBorders>
                    <w:tl2br w:val="nil"/>
                    <w:tr2bl w:val="nil"/>
                  </w:tcBorders>
                  <w:vAlign w:val="center"/>
                </w:tcPr>
                <w:p w14:paraId="6008F700">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废水排放口</w:t>
                  </w:r>
                </w:p>
              </w:tc>
              <w:tc>
                <w:tcPr>
                  <w:tcW w:w="1060" w:type="pct"/>
                  <w:tcBorders>
                    <w:tl2br w:val="nil"/>
                    <w:tr2bl w:val="nil"/>
                  </w:tcBorders>
                  <w:vAlign w:val="center"/>
                </w:tcPr>
                <w:p w14:paraId="79183A90">
                  <w:pPr>
                    <w:autoSpaceDE w:val="0"/>
                    <w:autoSpaceDN w:val="0"/>
                    <w:adjustRightIn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pH、COD、BOD</w:t>
                  </w:r>
                  <w:r>
                    <w:rPr>
                      <w:color w:val="000000" w:themeColor="text1"/>
                      <w:szCs w:val="21"/>
                      <w:vertAlign w:val="subscript"/>
                      <w14:textFill>
                        <w14:solidFill>
                          <w14:schemeClr w14:val="tx1"/>
                        </w14:solidFill>
                      </w14:textFill>
                    </w:rPr>
                    <w:t>5</w:t>
                  </w:r>
                  <w:r>
                    <w:rPr>
                      <w:color w:val="000000" w:themeColor="text1"/>
                      <w:szCs w:val="21"/>
                      <w14:textFill>
                        <w14:solidFill>
                          <w14:schemeClr w14:val="tx1"/>
                        </w14:solidFill>
                      </w14:textFill>
                    </w:rPr>
                    <w:t>、SS、NH</w:t>
                  </w:r>
                  <w:r>
                    <w:rPr>
                      <w:color w:val="000000" w:themeColor="text1"/>
                      <w:szCs w:val="21"/>
                      <w:vertAlign w:val="subscript"/>
                      <w14:textFill>
                        <w14:solidFill>
                          <w14:schemeClr w14:val="tx1"/>
                        </w14:solidFill>
                      </w14:textFill>
                    </w:rPr>
                    <w:t>3</w:t>
                  </w:r>
                  <w:r>
                    <w:rPr>
                      <w:color w:val="000000" w:themeColor="text1"/>
                      <w:szCs w:val="21"/>
                      <w14:textFill>
                        <w14:solidFill>
                          <w14:schemeClr w14:val="tx1"/>
                        </w14:solidFill>
                      </w14:textFill>
                    </w:rPr>
                    <w:t>-N、总氮、总磷</w:t>
                  </w:r>
                </w:p>
              </w:tc>
              <w:tc>
                <w:tcPr>
                  <w:tcW w:w="684" w:type="pct"/>
                  <w:tcBorders>
                    <w:tl2br w:val="nil"/>
                    <w:tr2bl w:val="nil"/>
                  </w:tcBorders>
                  <w:vAlign w:val="center"/>
                </w:tcPr>
                <w:p w14:paraId="46B88548">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1次/半年</w:t>
                  </w:r>
                </w:p>
              </w:tc>
              <w:tc>
                <w:tcPr>
                  <w:tcW w:w="1957" w:type="pct"/>
                  <w:tcBorders>
                    <w:tl2br w:val="nil"/>
                    <w:tr2bl w:val="nil"/>
                  </w:tcBorders>
                  <w:vAlign w:val="center"/>
                </w:tcPr>
                <w:p w14:paraId="0DCB1BBB">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《辽宁省污水综合排放标准》（DB21/1627-2008）表2、《污水综合排放标准》（GB8978-1996）表4中三级标准限值</w:t>
                  </w:r>
                </w:p>
              </w:tc>
            </w:tr>
          </w:tbl>
          <w:p w14:paraId="45CE74C5">
            <w:pPr>
              <w:numPr>
                <w:ilvl w:val="0"/>
                <w:numId w:val="9"/>
              </w:numPr>
              <w:spacing w:line="360" w:lineRule="auto"/>
              <w:rPr>
                <w:b/>
                <w:bCs/>
                <w:color w:val="000000" w:themeColor="text1"/>
                <w:sz w:val="24"/>
                <w14:textFill>
                  <w14:solidFill>
                    <w14:schemeClr w14:val="tx1"/>
                  </w14:solidFill>
                </w14:textFill>
              </w:rPr>
            </w:pPr>
            <w:bookmarkStart w:id="27" w:name="_Toc3071"/>
            <w:bookmarkStart w:id="28" w:name="_Toc11863"/>
            <w:bookmarkStart w:id="29" w:name="_Toc42076840"/>
            <w:bookmarkStart w:id="30" w:name="_Toc17178"/>
            <w:bookmarkStart w:id="31" w:name="_Toc7668"/>
            <w:bookmarkStart w:id="32" w:name="_Toc13240"/>
            <w:r>
              <w:rPr>
                <w:b/>
                <w:bCs/>
                <w:color w:val="000000" w:themeColor="text1"/>
                <w:sz w:val="24"/>
                <w14:textFill>
                  <w14:solidFill>
                    <w14:schemeClr w14:val="tx1"/>
                  </w14:solidFill>
                </w14:textFill>
              </w:rPr>
              <w:t>噪声</w:t>
            </w:r>
          </w:p>
          <w:p w14:paraId="74B7B1F9">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3.1噪声源强及降噪措施</w:t>
            </w:r>
          </w:p>
          <w:p w14:paraId="5A28C59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本项目主要噪声源为机械设备运行噪声，根据《环境噪声与振动控制工程技术导则》（HJ2034-2013），噪声级在75-80dB(A)之间，其主要产噪设备及噪声级见下表。</w:t>
            </w:r>
          </w:p>
          <w:bookmarkEnd w:id="27"/>
          <w:bookmarkEnd w:id="28"/>
          <w:bookmarkEnd w:id="29"/>
          <w:bookmarkEnd w:id="30"/>
          <w:bookmarkEnd w:id="31"/>
          <w:bookmarkEnd w:id="32"/>
          <w:p w14:paraId="463178D8">
            <w:pPr>
              <w:adjustRightInd w:val="0"/>
              <w:snapToGrid w:val="0"/>
              <w:jc w:val="center"/>
              <w:rPr>
                <w:b/>
                <w:color w:val="000000" w:themeColor="text1"/>
                <w:szCs w:val="18"/>
                <w14:textFill>
                  <w14:solidFill>
                    <w14:schemeClr w14:val="tx1"/>
                  </w14:solidFill>
                </w14:textFill>
              </w:rPr>
            </w:pPr>
            <w:r>
              <w:rPr>
                <w:b/>
                <w:color w:val="000000" w:themeColor="text1"/>
                <w:szCs w:val="18"/>
                <w14:textFill>
                  <w14:solidFill>
                    <w14:schemeClr w14:val="tx1"/>
                  </w14:solidFill>
                </w14:textFill>
              </w:rPr>
              <w:t>表4-13  本项目主要产噪设备噪声源强调查清单（室内声源）</w:t>
            </w:r>
          </w:p>
          <w:tbl>
            <w:tblPr>
              <w:tblStyle w:val="31"/>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93"/>
              <w:gridCol w:w="556"/>
              <w:gridCol w:w="420"/>
              <w:gridCol w:w="768"/>
              <w:gridCol w:w="476"/>
              <w:gridCol w:w="529"/>
              <w:gridCol w:w="412"/>
              <w:gridCol w:w="493"/>
              <w:gridCol w:w="529"/>
              <w:gridCol w:w="723"/>
              <w:gridCol w:w="579"/>
              <w:gridCol w:w="795"/>
              <w:gridCol w:w="694"/>
              <w:gridCol w:w="830"/>
            </w:tblGrid>
            <w:tr w14:paraId="4CE977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97" w:type="pct"/>
                  <w:vMerge w:val="restart"/>
                  <w:tcBorders>
                    <w:tl2br w:val="nil"/>
                    <w:tr2bl w:val="nil"/>
                  </w:tcBorders>
                  <w:vAlign w:val="center"/>
                </w:tcPr>
                <w:p w14:paraId="763A7741">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建筑物名称</w:t>
                  </w:r>
                </w:p>
              </w:tc>
              <w:tc>
                <w:tcPr>
                  <w:tcW w:w="335" w:type="pct"/>
                  <w:vMerge w:val="restart"/>
                  <w:tcBorders>
                    <w:tl2br w:val="nil"/>
                    <w:tr2bl w:val="nil"/>
                  </w:tcBorders>
                  <w:vAlign w:val="center"/>
                </w:tcPr>
                <w:p w14:paraId="3336AB81">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声源名称</w:t>
                  </w:r>
                </w:p>
              </w:tc>
              <w:tc>
                <w:tcPr>
                  <w:tcW w:w="253" w:type="pct"/>
                  <w:vMerge w:val="restart"/>
                  <w:tcBorders>
                    <w:tl2br w:val="nil"/>
                    <w:tr2bl w:val="nil"/>
                  </w:tcBorders>
                  <w:vAlign w:val="center"/>
                </w:tcPr>
                <w:p w14:paraId="03A4FA81">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数量</w:t>
                  </w:r>
                </w:p>
              </w:tc>
              <w:tc>
                <w:tcPr>
                  <w:tcW w:w="463" w:type="pct"/>
                  <w:tcBorders>
                    <w:tl2br w:val="nil"/>
                    <w:tr2bl w:val="nil"/>
                  </w:tcBorders>
                  <w:vAlign w:val="center"/>
                </w:tcPr>
                <w:p w14:paraId="39A418AA">
                  <w:pPr>
                    <w:spacing w:before="48" w:beforeLines="20" w:line="288" w:lineRule="auto"/>
                    <w:ind w:right="-42" w:rightChars="-2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声源源强</w:t>
                  </w:r>
                </w:p>
              </w:tc>
              <w:tc>
                <w:tcPr>
                  <w:tcW w:w="287" w:type="pct"/>
                  <w:vMerge w:val="restart"/>
                  <w:tcBorders>
                    <w:tl2br w:val="nil"/>
                    <w:tr2bl w:val="nil"/>
                  </w:tcBorders>
                  <w:vAlign w:val="center"/>
                </w:tcPr>
                <w:p w14:paraId="4D9288B2">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声源控制措施</w:t>
                  </w:r>
                </w:p>
              </w:tc>
              <w:tc>
                <w:tcPr>
                  <w:tcW w:w="864" w:type="pct"/>
                  <w:gridSpan w:val="3"/>
                  <w:tcBorders>
                    <w:tl2br w:val="nil"/>
                    <w:tr2bl w:val="nil"/>
                  </w:tcBorders>
                  <w:vAlign w:val="center"/>
                </w:tcPr>
                <w:p w14:paraId="3B7CE98B">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空间相对位置/m</w:t>
                  </w:r>
                </w:p>
              </w:tc>
              <w:tc>
                <w:tcPr>
                  <w:tcW w:w="319" w:type="pct"/>
                  <w:vMerge w:val="restart"/>
                  <w:tcBorders>
                    <w:tl2br w:val="nil"/>
                    <w:tr2bl w:val="nil"/>
                  </w:tcBorders>
                  <w:vAlign w:val="center"/>
                </w:tcPr>
                <w:p w14:paraId="04474D50">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距室内边界距离/m</w:t>
                  </w:r>
                </w:p>
              </w:tc>
              <w:tc>
                <w:tcPr>
                  <w:tcW w:w="436" w:type="pct"/>
                  <w:vMerge w:val="restart"/>
                  <w:tcBorders>
                    <w:tl2br w:val="nil"/>
                    <w:tr2bl w:val="nil"/>
                  </w:tcBorders>
                  <w:vAlign w:val="center"/>
                </w:tcPr>
                <w:p w14:paraId="0C56E0F2">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室内边界声级/dB(A)</w:t>
                  </w:r>
                </w:p>
              </w:tc>
              <w:tc>
                <w:tcPr>
                  <w:tcW w:w="349" w:type="pct"/>
                  <w:vMerge w:val="restart"/>
                  <w:tcBorders>
                    <w:tl2br w:val="nil"/>
                    <w:tr2bl w:val="nil"/>
                  </w:tcBorders>
                  <w:vAlign w:val="center"/>
                </w:tcPr>
                <w:p w14:paraId="74332570">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运行时段</w:t>
                  </w:r>
                </w:p>
              </w:tc>
              <w:tc>
                <w:tcPr>
                  <w:tcW w:w="479" w:type="pct"/>
                  <w:vMerge w:val="restart"/>
                  <w:tcBorders>
                    <w:tl2br w:val="nil"/>
                    <w:tr2bl w:val="nil"/>
                  </w:tcBorders>
                  <w:vAlign w:val="center"/>
                </w:tcPr>
                <w:p w14:paraId="137F9CF7">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建筑物插入损失/dB(A)</w:t>
                  </w:r>
                </w:p>
              </w:tc>
              <w:tc>
                <w:tcPr>
                  <w:tcW w:w="912" w:type="pct"/>
                  <w:gridSpan w:val="2"/>
                  <w:tcBorders>
                    <w:tl2br w:val="nil"/>
                    <w:tr2bl w:val="nil"/>
                  </w:tcBorders>
                  <w:vAlign w:val="center"/>
                </w:tcPr>
                <w:p w14:paraId="681EBCA5">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建筑物外噪声</w:t>
                  </w:r>
                </w:p>
              </w:tc>
            </w:tr>
            <w:tr w14:paraId="3B627D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97" w:type="pct"/>
                  <w:vMerge w:val="continue"/>
                  <w:tcBorders>
                    <w:tl2br w:val="nil"/>
                    <w:tr2bl w:val="nil"/>
                  </w:tcBorders>
                  <w:vAlign w:val="center"/>
                </w:tcPr>
                <w:p w14:paraId="5BE4B01C">
                  <w:pPr>
                    <w:spacing w:before="48" w:beforeLines="20" w:line="288" w:lineRule="auto"/>
                    <w:jc w:val="center"/>
                    <w:rPr>
                      <w:bCs/>
                      <w:color w:val="000000" w:themeColor="text1"/>
                      <w:kern w:val="0"/>
                      <w:szCs w:val="21"/>
                      <w14:textFill>
                        <w14:solidFill>
                          <w14:schemeClr w14:val="tx1"/>
                        </w14:solidFill>
                      </w14:textFill>
                    </w:rPr>
                  </w:pPr>
                </w:p>
              </w:tc>
              <w:tc>
                <w:tcPr>
                  <w:tcW w:w="335" w:type="pct"/>
                  <w:vMerge w:val="continue"/>
                  <w:tcBorders>
                    <w:tl2br w:val="nil"/>
                    <w:tr2bl w:val="nil"/>
                  </w:tcBorders>
                  <w:vAlign w:val="center"/>
                </w:tcPr>
                <w:p w14:paraId="1DCFF2A6">
                  <w:pPr>
                    <w:spacing w:before="48" w:beforeLines="20" w:line="288" w:lineRule="auto"/>
                    <w:jc w:val="center"/>
                    <w:rPr>
                      <w:bCs/>
                      <w:color w:val="000000" w:themeColor="text1"/>
                      <w:kern w:val="0"/>
                      <w:szCs w:val="21"/>
                      <w14:textFill>
                        <w14:solidFill>
                          <w14:schemeClr w14:val="tx1"/>
                        </w14:solidFill>
                      </w14:textFill>
                    </w:rPr>
                  </w:pPr>
                </w:p>
              </w:tc>
              <w:tc>
                <w:tcPr>
                  <w:tcW w:w="253" w:type="pct"/>
                  <w:vMerge w:val="continue"/>
                  <w:tcBorders>
                    <w:tl2br w:val="nil"/>
                    <w:tr2bl w:val="nil"/>
                  </w:tcBorders>
                  <w:vAlign w:val="center"/>
                </w:tcPr>
                <w:p w14:paraId="3B0F0685">
                  <w:pPr>
                    <w:spacing w:before="48" w:beforeLines="20" w:line="288" w:lineRule="auto"/>
                    <w:jc w:val="center"/>
                    <w:rPr>
                      <w:bCs/>
                      <w:color w:val="000000" w:themeColor="text1"/>
                      <w:kern w:val="0"/>
                      <w:szCs w:val="21"/>
                      <w14:textFill>
                        <w14:solidFill>
                          <w14:schemeClr w14:val="tx1"/>
                        </w14:solidFill>
                      </w14:textFill>
                    </w:rPr>
                  </w:pPr>
                </w:p>
              </w:tc>
              <w:tc>
                <w:tcPr>
                  <w:tcW w:w="463" w:type="pct"/>
                  <w:tcBorders>
                    <w:tl2br w:val="nil"/>
                    <w:tr2bl w:val="nil"/>
                  </w:tcBorders>
                  <w:vAlign w:val="center"/>
                </w:tcPr>
                <w:p w14:paraId="390F15DB">
                  <w:pPr>
                    <w:spacing w:before="48" w:beforeLines="20" w:line="288" w:lineRule="auto"/>
                    <w:ind w:right="-42" w:rightChars="-2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声功率级/dB(A)</w:t>
                  </w:r>
                </w:p>
              </w:tc>
              <w:tc>
                <w:tcPr>
                  <w:tcW w:w="287" w:type="pct"/>
                  <w:vMerge w:val="continue"/>
                  <w:tcBorders>
                    <w:tl2br w:val="nil"/>
                    <w:tr2bl w:val="nil"/>
                  </w:tcBorders>
                  <w:vAlign w:val="center"/>
                </w:tcPr>
                <w:p w14:paraId="37AAB6DE">
                  <w:pPr>
                    <w:spacing w:before="48" w:beforeLines="20" w:line="288" w:lineRule="auto"/>
                    <w:jc w:val="center"/>
                    <w:rPr>
                      <w:bCs/>
                      <w:color w:val="000000" w:themeColor="text1"/>
                      <w:kern w:val="0"/>
                      <w:szCs w:val="21"/>
                      <w14:textFill>
                        <w14:solidFill>
                          <w14:schemeClr w14:val="tx1"/>
                        </w14:solidFill>
                      </w14:textFill>
                    </w:rPr>
                  </w:pPr>
                </w:p>
              </w:tc>
              <w:tc>
                <w:tcPr>
                  <w:tcW w:w="319" w:type="pct"/>
                  <w:tcBorders>
                    <w:tl2br w:val="nil"/>
                    <w:tr2bl w:val="nil"/>
                  </w:tcBorders>
                  <w:vAlign w:val="center"/>
                </w:tcPr>
                <w:p w14:paraId="3BF32931">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X</w:t>
                  </w:r>
                </w:p>
              </w:tc>
              <w:tc>
                <w:tcPr>
                  <w:tcW w:w="248" w:type="pct"/>
                  <w:tcBorders>
                    <w:tl2br w:val="nil"/>
                    <w:tr2bl w:val="nil"/>
                  </w:tcBorders>
                  <w:vAlign w:val="center"/>
                </w:tcPr>
                <w:p w14:paraId="5442C5C2">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Y</w:t>
                  </w:r>
                </w:p>
              </w:tc>
              <w:tc>
                <w:tcPr>
                  <w:tcW w:w="297" w:type="pct"/>
                  <w:tcBorders>
                    <w:tl2br w:val="nil"/>
                    <w:tr2bl w:val="nil"/>
                  </w:tcBorders>
                  <w:vAlign w:val="center"/>
                </w:tcPr>
                <w:p w14:paraId="68DE2C36">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Z</w:t>
                  </w:r>
                </w:p>
              </w:tc>
              <w:tc>
                <w:tcPr>
                  <w:tcW w:w="319" w:type="pct"/>
                  <w:vMerge w:val="continue"/>
                  <w:tcBorders>
                    <w:tl2br w:val="nil"/>
                    <w:tr2bl w:val="nil"/>
                  </w:tcBorders>
                  <w:vAlign w:val="center"/>
                </w:tcPr>
                <w:p w14:paraId="39CA0718">
                  <w:pPr>
                    <w:spacing w:before="48" w:beforeLines="20" w:line="288" w:lineRule="auto"/>
                    <w:jc w:val="center"/>
                    <w:rPr>
                      <w:bCs/>
                      <w:color w:val="000000" w:themeColor="text1"/>
                      <w:kern w:val="0"/>
                      <w:szCs w:val="21"/>
                      <w14:textFill>
                        <w14:solidFill>
                          <w14:schemeClr w14:val="tx1"/>
                        </w14:solidFill>
                      </w14:textFill>
                    </w:rPr>
                  </w:pPr>
                </w:p>
              </w:tc>
              <w:tc>
                <w:tcPr>
                  <w:tcW w:w="436" w:type="pct"/>
                  <w:vMerge w:val="continue"/>
                  <w:tcBorders>
                    <w:tl2br w:val="nil"/>
                    <w:tr2bl w:val="nil"/>
                  </w:tcBorders>
                  <w:vAlign w:val="center"/>
                </w:tcPr>
                <w:p w14:paraId="41DB8555">
                  <w:pPr>
                    <w:spacing w:before="48" w:beforeLines="20" w:line="288" w:lineRule="auto"/>
                    <w:jc w:val="center"/>
                    <w:rPr>
                      <w:bCs/>
                      <w:color w:val="000000" w:themeColor="text1"/>
                      <w:kern w:val="0"/>
                      <w:szCs w:val="21"/>
                      <w14:textFill>
                        <w14:solidFill>
                          <w14:schemeClr w14:val="tx1"/>
                        </w14:solidFill>
                      </w14:textFill>
                    </w:rPr>
                  </w:pPr>
                </w:p>
              </w:tc>
              <w:tc>
                <w:tcPr>
                  <w:tcW w:w="349" w:type="pct"/>
                  <w:vMerge w:val="continue"/>
                  <w:tcBorders>
                    <w:tl2br w:val="nil"/>
                    <w:tr2bl w:val="nil"/>
                  </w:tcBorders>
                  <w:vAlign w:val="center"/>
                </w:tcPr>
                <w:p w14:paraId="0AC22C8D">
                  <w:pPr>
                    <w:spacing w:before="48" w:beforeLines="20" w:line="288" w:lineRule="auto"/>
                    <w:jc w:val="center"/>
                    <w:rPr>
                      <w:bCs/>
                      <w:color w:val="000000" w:themeColor="text1"/>
                      <w:kern w:val="0"/>
                      <w:szCs w:val="21"/>
                      <w14:textFill>
                        <w14:solidFill>
                          <w14:schemeClr w14:val="tx1"/>
                        </w14:solidFill>
                      </w14:textFill>
                    </w:rPr>
                  </w:pPr>
                </w:p>
              </w:tc>
              <w:tc>
                <w:tcPr>
                  <w:tcW w:w="479" w:type="pct"/>
                  <w:vMerge w:val="continue"/>
                  <w:tcBorders>
                    <w:tl2br w:val="nil"/>
                    <w:tr2bl w:val="nil"/>
                  </w:tcBorders>
                  <w:vAlign w:val="center"/>
                </w:tcPr>
                <w:p w14:paraId="5BE2E582">
                  <w:pPr>
                    <w:spacing w:before="48" w:beforeLines="20" w:line="288" w:lineRule="auto"/>
                    <w:jc w:val="center"/>
                    <w:rPr>
                      <w:bCs/>
                      <w:color w:val="000000" w:themeColor="text1"/>
                      <w:kern w:val="0"/>
                      <w:szCs w:val="21"/>
                      <w14:textFill>
                        <w14:solidFill>
                          <w14:schemeClr w14:val="tx1"/>
                        </w14:solidFill>
                      </w14:textFill>
                    </w:rPr>
                  </w:pPr>
                </w:p>
              </w:tc>
              <w:tc>
                <w:tcPr>
                  <w:tcW w:w="418" w:type="pct"/>
                  <w:tcBorders>
                    <w:tl2br w:val="nil"/>
                    <w:tr2bl w:val="nil"/>
                  </w:tcBorders>
                  <w:vAlign w:val="center"/>
                </w:tcPr>
                <w:p w14:paraId="06BB6E11">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声压级/dB(A)</w:t>
                  </w:r>
                </w:p>
              </w:tc>
              <w:tc>
                <w:tcPr>
                  <w:tcW w:w="494" w:type="pct"/>
                  <w:tcBorders>
                    <w:tl2br w:val="nil"/>
                    <w:tr2bl w:val="nil"/>
                  </w:tcBorders>
                  <w:vAlign w:val="center"/>
                </w:tcPr>
                <w:p w14:paraId="01082472">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建筑物外距离/m</w:t>
                  </w:r>
                </w:p>
              </w:tc>
            </w:tr>
            <w:tr w14:paraId="37A2C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97" w:type="pct"/>
                  <w:vMerge w:val="restart"/>
                  <w:tcBorders>
                    <w:tl2br w:val="nil"/>
                    <w:tr2bl w:val="nil"/>
                  </w:tcBorders>
                  <w:vAlign w:val="center"/>
                </w:tcPr>
                <w:p w14:paraId="4A3F4E79">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锅炉房</w:t>
                  </w:r>
                </w:p>
              </w:tc>
              <w:tc>
                <w:tcPr>
                  <w:tcW w:w="335" w:type="pct"/>
                  <w:tcBorders>
                    <w:tl2br w:val="nil"/>
                    <w:tr2bl w:val="nil"/>
                  </w:tcBorders>
                  <w:shd w:val="clear" w:color="auto" w:fill="auto"/>
                  <w:vAlign w:val="center"/>
                </w:tcPr>
                <w:p w14:paraId="7C9EE0CE">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鼓风机</w:t>
                  </w:r>
                </w:p>
              </w:tc>
              <w:tc>
                <w:tcPr>
                  <w:tcW w:w="253" w:type="pct"/>
                  <w:tcBorders>
                    <w:tl2br w:val="nil"/>
                    <w:tr2bl w:val="nil"/>
                  </w:tcBorders>
                  <w:vAlign w:val="center"/>
                </w:tcPr>
                <w:p w14:paraId="0C43EF28">
                  <w:pPr>
                    <w:adjustRightInd w:val="0"/>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463" w:type="pct"/>
                  <w:tcBorders>
                    <w:tl2br w:val="nil"/>
                    <w:tr2bl w:val="nil"/>
                  </w:tcBorders>
                  <w:vAlign w:val="center"/>
                </w:tcPr>
                <w:p w14:paraId="3A6B6CEB">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80</w:t>
                  </w:r>
                </w:p>
              </w:tc>
              <w:tc>
                <w:tcPr>
                  <w:tcW w:w="287" w:type="pct"/>
                  <w:vMerge w:val="restart"/>
                  <w:tcBorders>
                    <w:tl2br w:val="nil"/>
                    <w:tr2bl w:val="nil"/>
                  </w:tcBorders>
                  <w:vAlign w:val="center"/>
                </w:tcPr>
                <w:p w14:paraId="248268C3">
                  <w:pPr>
                    <w:spacing w:before="48" w:beforeLines="20" w:line="288" w:lineRule="auto"/>
                    <w:jc w:val="center"/>
                    <w:rPr>
                      <w:color w:val="000000" w:themeColor="text1"/>
                      <w:szCs w:val="21"/>
                      <w14:textFill>
                        <w14:solidFill>
                          <w14:schemeClr w14:val="tx1"/>
                        </w14:solidFill>
                      </w14:textFill>
                    </w:rPr>
                  </w:pPr>
                  <w:r>
                    <w:rPr>
                      <w:color w:val="000000" w:themeColor="text1"/>
                      <w14:textFill>
                        <w14:solidFill>
                          <w14:schemeClr w14:val="tx1"/>
                        </w14:solidFill>
                      </w14:textFill>
                    </w:rPr>
                    <w:t>选用低噪设备，设减振基础等设施</w:t>
                  </w:r>
                </w:p>
              </w:tc>
              <w:tc>
                <w:tcPr>
                  <w:tcW w:w="319" w:type="pct"/>
                  <w:tcBorders>
                    <w:tl2br w:val="nil"/>
                    <w:tr2bl w:val="nil"/>
                  </w:tcBorders>
                  <w:vAlign w:val="center"/>
                </w:tcPr>
                <w:p w14:paraId="13897F98">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w:t>
                  </w:r>
                </w:p>
              </w:tc>
              <w:tc>
                <w:tcPr>
                  <w:tcW w:w="248" w:type="pct"/>
                  <w:tcBorders>
                    <w:tl2br w:val="nil"/>
                    <w:tr2bl w:val="nil"/>
                  </w:tcBorders>
                  <w:vAlign w:val="center"/>
                </w:tcPr>
                <w:p w14:paraId="65EE7F0D">
                  <w:pPr>
                    <w:widowControl/>
                    <w:spacing w:before="48" w:beforeLines="20" w:line="288" w:lineRule="auto"/>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p>
              </w:tc>
              <w:tc>
                <w:tcPr>
                  <w:tcW w:w="297" w:type="pct"/>
                  <w:tcBorders>
                    <w:tl2br w:val="nil"/>
                    <w:tr2bl w:val="nil"/>
                  </w:tcBorders>
                  <w:vAlign w:val="center"/>
                </w:tcPr>
                <w:p w14:paraId="3E2E659C">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w:t>
                  </w:r>
                </w:p>
              </w:tc>
              <w:tc>
                <w:tcPr>
                  <w:tcW w:w="319" w:type="pct"/>
                  <w:tcBorders>
                    <w:tl2br w:val="nil"/>
                    <w:tr2bl w:val="nil"/>
                  </w:tcBorders>
                  <w:vAlign w:val="center"/>
                </w:tcPr>
                <w:p w14:paraId="3D345AF8">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w:t>
                  </w:r>
                </w:p>
              </w:tc>
              <w:tc>
                <w:tcPr>
                  <w:tcW w:w="436" w:type="pct"/>
                  <w:tcBorders>
                    <w:tl2br w:val="nil"/>
                    <w:tr2bl w:val="nil"/>
                  </w:tcBorders>
                  <w:vAlign w:val="center"/>
                </w:tcPr>
                <w:p w14:paraId="08504342">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74</w:t>
                  </w:r>
                </w:p>
              </w:tc>
              <w:tc>
                <w:tcPr>
                  <w:tcW w:w="349" w:type="pct"/>
                  <w:vMerge w:val="restart"/>
                  <w:tcBorders>
                    <w:tl2br w:val="nil"/>
                    <w:tr2bl w:val="nil"/>
                  </w:tcBorders>
                  <w:vAlign w:val="center"/>
                </w:tcPr>
                <w:p w14:paraId="00E75896">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昼间</w:t>
                  </w:r>
                </w:p>
              </w:tc>
              <w:tc>
                <w:tcPr>
                  <w:tcW w:w="479" w:type="pct"/>
                  <w:tcBorders>
                    <w:tl2br w:val="nil"/>
                    <w:tr2bl w:val="nil"/>
                  </w:tcBorders>
                  <w:vAlign w:val="center"/>
                </w:tcPr>
                <w:p w14:paraId="2D386C60">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15</w:t>
                  </w:r>
                </w:p>
              </w:tc>
              <w:tc>
                <w:tcPr>
                  <w:tcW w:w="418" w:type="pct"/>
                  <w:tcBorders>
                    <w:tl2br w:val="nil"/>
                    <w:tr2bl w:val="nil"/>
                  </w:tcBorders>
                  <w:vAlign w:val="center"/>
                </w:tcPr>
                <w:p w14:paraId="64AE27B6">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53</w:t>
                  </w:r>
                </w:p>
              </w:tc>
              <w:tc>
                <w:tcPr>
                  <w:tcW w:w="494" w:type="pct"/>
                  <w:tcBorders>
                    <w:tl2br w:val="nil"/>
                    <w:tr2bl w:val="nil"/>
                  </w:tcBorders>
                  <w:vAlign w:val="center"/>
                </w:tcPr>
                <w:p w14:paraId="448B3475">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w:t>
                  </w:r>
                </w:p>
              </w:tc>
            </w:tr>
            <w:tr w14:paraId="121BB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97" w:type="pct"/>
                  <w:vMerge w:val="continue"/>
                  <w:tcBorders>
                    <w:tl2br w:val="nil"/>
                    <w:tr2bl w:val="nil"/>
                  </w:tcBorders>
                  <w:vAlign w:val="center"/>
                </w:tcPr>
                <w:p w14:paraId="78CD135E">
                  <w:pPr>
                    <w:spacing w:before="48" w:beforeLines="20" w:line="288" w:lineRule="auto"/>
                    <w:jc w:val="center"/>
                    <w:rPr>
                      <w:color w:val="000000" w:themeColor="text1"/>
                      <w:szCs w:val="21"/>
                      <w14:textFill>
                        <w14:solidFill>
                          <w14:schemeClr w14:val="tx1"/>
                        </w14:solidFill>
                      </w14:textFill>
                    </w:rPr>
                  </w:pPr>
                </w:p>
              </w:tc>
              <w:tc>
                <w:tcPr>
                  <w:tcW w:w="335" w:type="pct"/>
                  <w:tcBorders>
                    <w:tl2br w:val="nil"/>
                    <w:tr2bl w:val="nil"/>
                  </w:tcBorders>
                  <w:shd w:val="clear" w:color="auto" w:fill="auto"/>
                  <w:vAlign w:val="center"/>
                </w:tcPr>
                <w:p w14:paraId="597BCEF2">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引风机</w:t>
                  </w:r>
                </w:p>
              </w:tc>
              <w:tc>
                <w:tcPr>
                  <w:tcW w:w="253" w:type="pct"/>
                  <w:tcBorders>
                    <w:tl2br w:val="nil"/>
                    <w:tr2bl w:val="nil"/>
                  </w:tcBorders>
                  <w:vAlign w:val="center"/>
                </w:tcPr>
                <w:p w14:paraId="3718C5E1">
                  <w:pPr>
                    <w:adjustRightInd w:val="0"/>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463" w:type="pct"/>
                  <w:tcBorders>
                    <w:tl2br w:val="nil"/>
                    <w:tr2bl w:val="nil"/>
                  </w:tcBorders>
                  <w:vAlign w:val="center"/>
                </w:tcPr>
                <w:p w14:paraId="0BA5B42A">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80</w:t>
                  </w:r>
                </w:p>
              </w:tc>
              <w:tc>
                <w:tcPr>
                  <w:tcW w:w="287" w:type="pct"/>
                  <w:vMerge w:val="continue"/>
                  <w:tcBorders>
                    <w:tl2br w:val="nil"/>
                    <w:tr2bl w:val="nil"/>
                  </w:tcBorders>
                  <w:vAlign w:val="center"/>
                </w:tcPr>
                <w:p w14:paraId="6A0888E8">
                  <w:pPr>
                    <w:spacing w:before="48" w:beforeLines="20" w:line="288" w:lineRule="auto"/>
                    <w:jc w:val="center"/>
                    <w:rPr>
                      <w:color w:val="000000" w:themeColor="text1"/>
                      <w14:textFill>
                        <w14:solidFill>
                          <w14:schemeClr w14:val="tx1"/>
                        </w14:solidFill>
                      </w14:textFill>
                    </w:rPr>
                  </w:pPr>
                </w:p>
              </w:tc>
              <w:tc>
                <w:tcPr>
                  <w:tcW w:w="319" w:type="pct"/>
                  <w:tcBorders>
                    <w:tl2br w:val="nil"/>
                    <w:tr2bl w:val="nil"/>
                  </w:tcBorders>
                  <w:vAlign w:val="center"/>
                </w:tcPr>
                <w:p w14:paraId="27351190">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w:t>
                  </w:r>
                </w:p>
              </w:tc>
              <w:tc>
                <w:tcPr>
                  <w:tcW w:w="248" w:type="pct"/>
                  <w:tcBorders>
                    <w:tl2br w:val="nil"/>
                    <w:tr2bl w:val="nil"/>
                  </w:tcBorders>
                  <w:vAlign w:val="center"/>
                </w:tcPr>
                <w:p w14:paraId="52F6359D">
                  <w:pPr>
                    <w:widowControl/>
                    <w:spacing w:before="48" w:beforeLines="20" w:line="288" w:lineRule="auto"/>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297" w:type="pct"/>
                  <w:tcBorders>
                    <w:tl2br w:val="nil"/>
                    <w:tr2bl w:val="nil"/>
                  </w:tcBorders>
                  <w:vAlign w:val="center"/>
                </w:tcPr>
                <w:p w14:paraId="5A95F2A8">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w:t>
                  </w:r>
                </w:p>
              </w:tc>
              <w:tc>
                <w:tcPr>
                  <w:tcW w:w="319" w:type="pct"/>
                  <w:tcBorders>
                    <w:tl2br w:val="nil"/>
                    <w:tr2bl w:val="nil"/>
                  </w:tcBorders>
                  <w:vAlign w:val="center"/>
                </w:tcPr>
                <w:p w14:paraId="5C5BAF70">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w:t>
                  </w:r>
                </w:p>
              </w:tc>
              <w:tc>
                <w:tcPr>
                  <w:tcW w:w="436" w:type="pct"/>
                  <w:tcBorders>
                    <w:tl2br w:val="nil"/>
                    <w:tr2bl w:val="nil"/>
                  </w:tcBorders>
                  <w:vAlign w:val="center"/>
                </w:tcPr>
                <w:p w14:paraId="6477C300">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74</w:t>
                  </w:r>
                </w:p>
              </w:tc>
              <w:tc>
                <w:tcPr>
                  <w:tcW w:w="349" w:type="pct"/>
                  <w:vMerge w:val="continue"/>
                  <w:tcBorders>
                    <w:tl2br w:val="nil"/>
                    <w:tr2bl w:val="nil"/>
                  </w:tcBorders>
                  <w:vAlign w:val="center"/>
                </w:tcPr>
                <w:p w14:paraId="55F68124">
                  <w:pPr>
                    <w:spacing w:before="48" w:beforeLines="20" w:line="288" w:lineRule="auto"/>
                    <w:jc w:val="center"/>
                    <w:rPr>
                      <w:bCs/>
                      <w:color w:val="000000" w:themeColor="text1"/>
                      <w:kern w:val="0"/>
                      <w:szCs w:val="21"/>
                      <w14:textFill>
                        <w14:solidFill>
                          <w14:schemeClr w14:val="tx1"/>
                        </w14:solidFill>
                      </w14:textFill>
                    </w:rPr>
                  </w:pPr>
                </w:p>
              </w:tc>
              <w:tc>
                <w:tcPr>
                  <w:tcW w:w="479" w:type="pct"/>
                  <w:tcBorders>
                    <w:tl2br w:val="nil"/>
                    <w:tr2bl w:val="nil"/>
                  </w:tcBorders>
                  <w:vAlign w:val="center"/>
                </w:tcPr>
                <w:p w14:paraId="2C7482FA">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15</w:t>
                  </w:r>
                </w:p>
              </w:tc>
              <w:tc>
                <w:tcPr>
                  <w:tcW w:w="418" w:type="pct"/>
                  <w:tcBorders>
                    <w:tl2br w:val="nil"/>
                    <w:tr2bl w:val="nil"/>
                  </w:tcBorders>
                  <w:vAlign w:val="center"/>
                </w:tcPr>
                <w:p w14:paraId="5E29654F">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53</w:t>
                  </w:r>
                </w:p>
              </w:tc>
              <w:tc>
                <w:tcPr>
                  <w:tcW w:w="494" w:type="pct"/>
                  <w:tcBorders>
                    <w:tl2br w:val="nil"/>
                    <w:tr2bl w:val="nil"/>
                  </w:tcBorders>
                  <w:vAlign w:val="center"/>
                </w:tcPr>
                <w:p w14:paraId="7513E680">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w:t>
                  </w:r>
                </w:p>
              </w:tc>
            </w:tr>
            <w:tr w14:paraId="299C6C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97" w:type="pct"/>
                  <w:vMerge w:val="continue"/>
                  <w:tcBorders>
                    <w:tl2br w:val="nil"/>
                    <w:tr2bl w:val="nil"/>
                  </w:tcBorders>
                  <w:vAlign w:val="center"/>
                </w:tcPr>
                <w:p w14:paraId="76A032E3">
                  <w:pPr>
                    <w:spacing w:before="48" w:beforeLines="20" w:line="288" w:lineRule="auto"/>
                    <w:jc w:val="center"/>
                    <w:rPr>
                      <w:color w:val="000000" w:themeColor="text1"/>
                      <w:szCs w:val="21"/>
                      <w14:textFill>
                        <w14:solidFill>
                          <w14:schemeClr w14:val="tx1"/>
                        </w14:solidFill>
                      </w14:textFill>
                    </w:rPr>
                  </w:pPr>
                </w:p>
              </w:tc>
              <w:tc>
                <w:tcPr>
                  <w:tcW w:w="335" w:type="pct"/>
                  <w:tcBorders>
                    <w:tl2br w:val="nil"/>
                    <w:tr2bl w:val="nil"/>
                  </w:tcBorders>
                  <w:shd w:val="clear" w:color="auto" w:fill="auto"/>
                  <w:vAlign w:val="center"/>
                </w:tcPr>
                <w:p w14:paraId="5AB3031F">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水泵</w:t>
                  </w:r>
                </w:p>
              </w:tc>
              <w:tc>
                <w:tcPr>
                  <w:tcW w:w="253" w:type="pct"/>
                  <w:tcBorders>
                    <w:tl2br w:val="nil"/>
                    <w:tr2bl w:val="nil"/>
                  </w:tcBorders>
                  <w:vAlign w:val="center"/>
                </w:tcPr>
                <w:p w14:paraId="532D03A3">
                  <w:pPr>
                    <w:adjustRightInd w:val="0"/>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463" w:type="pct"/>
                  <w:tcBorders>
                    <w:tl2br w:val="nil"/>
                    <w:tr2bl w:val="nil"/>
                  </w:tcBorders>
                  <w:vAlign w:val="center"/>
                </w:tcPr>
                <w:p w14:paraId="6823E7DA">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75</w:t>
                  </w:r>
                </w:p>
              </w:tc>
              <w:tc>
                <w:tcPr>
                  <w:tcW w:w="287" w:type="pct"/>
                  <w:vMerge w:val="continue"/>
                  <w:tcBorders>
                    <w:tl2br w:val="nil"/>
                    <w:tr2bl w:val="nil"/>
                  </w:tcBorders>
                  <w:vAlign w:val="center"/>
                </w:tcPr>
                <w:p w14:paraId="292E6B7D">
                  <w:pPr>
                    <w:spacing w:before="48" w:beforeLines="20" w:line="288" w:lineRule="auto"/>
                    <w:jc w:val="center"/>
                    <w:rPr>
                      <w:color w:val="000000" w:themeColor="text1"/>
                      <w:szCs w:val="21"/>
                      <w14:textFill>
                        <w14:solidFill>
                          <w14:schemeClr w14:val="tx1"/>
                        </w14:solidFill>
                      </w14:textFill>
                    </w:rPr>
                  </w:pPr>
                </w:p>
              </w:tc>
              <w:tc>
                <w:tcPr>
                  <w:tcW w:w="319" w:type="pct"/>
                  <w:tcBorders>
                    <w:tl2br w:val="nil"/>
                    <w:tr2bl w:val="nil"/>
                  </w:tcBorders>
                  <w:vAlign w:val="center"/>
                </w:tcPr>
                <w:p w14:paraId="1794F7FE">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5</w:t>
                  </w:r>
                </w:p>
              </w:tc>
              <w:tc>
                <w:tcPr>
                  <w:tcW w:w="248" w:type="pct"/>
                  <w:tcBorders>
                    <w:tl2br w:val="nil"/>
                    <w:tr2bl w:val="nil"/>
                  </w:tcBorders>
                  <w:vAlign w:val="center"/>
                </w:tcPr>
                <w:p w14:paraId="4A1E3E7E">
                  <w:pPr>
                    <w:widowControl/>
                    <w:spacing w:before="48" w:beforeLines="20" w:line="288" w:lineRule="auto"/>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-1.5</w:t>
                  </w:r>
                </w:p>
              </w:tc>
              <w:tc>
                <w:tcPr>
                  <w:tcW w:w="297" w:type="pct"/>
                  <w:tcBorders>
                    <w:tl2br w:val="nil"/>
                    <w:tr2bl w:val="nil"/>
                  </w:tcBorders>
                  <w:vAlign w:val="center"/>
                </w:tcPr>
                <w:p w14:paraId="20CCD9CF">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w:t>
                  </w:r>
                </w:p>
              </w:tc>
              <w:tc>
                <w:tcPr>
                  <w:tcW w:w="319" w:type="pct"/>
                  <w:tcBorders>
                    <w:tl2br w:val="nil"/>
                    <w:tr2bl w:val="nil"/>
                  </w:tcBorders>
                  <w:vAlign w:val="center"/>
                </w:tcPr>
                <w:p w14:paraId="56F7ED75">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w:t>
                  </w:r>
                </w:p>
              </w:tc>
              <w:tc>
                <w:tcPr>
                  <w:tcW w:w="436" w:type="pct"/>
                  <w:tcBorders>
                    <w:tl2br w:val="nil"/>
                    <w:tr2bl w:val="nil"/>
                  </w:tcBorders>
                  <w:vAlign w:val="center"/>
                </w:tcPr>
                <w:p w14:paraId="66269004">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65</w:t>
                  </w:r>
                </w:p>
              </w:tc>
              <w:tc>
                <w:tcPr>
                  <w:tcW w:w="349" w:type="pct"/>
                  <w:vMerge w:val="continue"/>
                  <w:tcBorders>
                    <w:tl2br w:val="nil"/>
                    <w:tr2bl w:val="nil"/>
                  </w:tcBorders>
                  <w:vAlign w:val="center"/>
                </w:tcPr>
                <w:p w14:paraId="6E6D1466">
                  <w:pPr>
                    <w:spacing w:before="48" w:beforeLines="20" w:line="288" w:lineRule="auto"/>
                    <w:jc w:val="center"/>
                    <w:rPr>
                      <w:bCs/>
                      <w:color w:val="000000" w:themeColor="text1"/>
                      <w:kern w:val="0"/>
                      <w:szCs w:val="21"/>
                      <w14:textFill>
                        <w14:solidFill>
                          <w14:schemeClr w14:val="tx1"/>
                        </w14:solidFill>
                      </w14:textFill>
                    </w:rPr>
                  </w:pPr>
                </w:p>
              </w:tc>
              <w:tc>
                <w:tcPr>
                  <w:tcW w:w="479" w:type="pct"/>
                  <w:tcBorders>
                    <w:tl2br w:val="nil"/>
                    <w:tr2bl w:val="nil"/>
                  </w:tcBorders>
                  <w:vAlign w:val="center"/>
                </w:tcPr>
                <w:p w14:paraId="547A179F">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15</w:t>
                  </w:r>
                </w:p>
              </w:tc>
              <w:tc>
                <w:tcPr>
                  <w:tcW w:w="418" w:type="pct"/>
                  <w:tcBorders>
                    <w:tl2br w:val="nil"/>
                    <w:tr2bl w:val="nil"/>
                  </w:tcBorders>
                  <w:vAlign w:val="center"/>
                </w:tcPr>
                <w:p w14:paraId="27DF61A4">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44</w:t>
                  </w:r>
                </w:p>
              </w:tc>
              <w:tc>
                <w:tcPr>
                  <w:tcW w:w="494" w:type="pct"/>
                  <w:tcBorders>
                    <w:tl2br w:val="nil"/>
                    <w:tr2bl w:val="nil"/>
                  </w:tcBorders>
                  <w:vAlign w:val="center"/>
                </w:tcPr>
                <w:p w14:paraId="7FEB78A9">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w:t>
                  </w:r>
                </w:p>
              </w:tc>
            </w:tr>
            <w:tr w14:paraId="0C7EC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97" w:type="pct"/>
                  <w:vMerge w:val="continue"/>
                  <w:tcBorders>
                    <w:tl2br w:val="nil"/>
                    <w:tr2bl w:val="nil"/>
                  </w:tcBorders>
                  <w:vAlign w:val="center"/>
                </w:tcPr>
                <w:p w14:paraId="6D1A1F73">
                  <w:pPr>
                    <w:spacing w:before="48" w:beforeLines="20" w:line="288" w:lineRule="auto"/>
                    <w:jc w:val="center"/>
                    <w:rPr>
                      <w:color w:val="000000" w:themeColor="text1"/>
                      <w:szCs w:val="21"/>
                      <w14:textFill>
                        <w14:solidFill>
                          <w14:schemeClr w14:val="tx1"/>
                        </w14:solidFill>
                      </w14:textFill>
                    </w:rPr>
                  </w:pPr>
                </w:p>
              </w:tc>
              <w:tc>
                <w:tcPr>
                  <w:tcW w:w="335" w:type="pct"/>
                  <w:tcBorders>
                    <w:tl2br w:val="nil"/>
                    <w:tr2bl w:val="nil"/>
                  </w:tcBorders>
                  <w:shd w:val="clear" w:color="auto" w:fill="auto"/>
                  <w:vAlign w:val="center"/>
                </w:tcPr>
                <w:p w14:paraId="19B19C0F">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w:t>
                  </w:r>
                </w:p>
              </w:tc>
              <w:tc>
                <w:tcPr>
                  <w:tcW w:w="253" w:type="pct"/>
                  <w:tcBorders>
                    <w:tl2br w:val="nil"/>
                    <w:tr2bl w:val="nil"/>
                  </w:tcBorders>
                  <w:vAlign w:val="center"/>
                </w:tcPr>
                <w:p w14:paraId="06B09876">
                  <w:pPr>
                    <w:adjustRightInd w:val="0"/>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463" w:type="pct"/>
                  <w:tcBorders>
                    <w:tl2br w:val="nil"/>
                    <w:tr2bl w:val="nil"/>
                  </w:tcBorders>
                  <w:vAlign w:val="center"/>
                </w:tcPr>
                <w:p w14:paraId="71D9F690">
                  <w:pPr>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80</w:t>
                  </w:r>
                </w:p>
              </w:tc>
              <w:tc>
                <w:tcPr>
                  <w:tcW w:w="287" w:type="pct"/>
                  <w:vMerge w:val="continue"/>
                  <w:tcBorders>
                    <w:tl2br w:val="nil"/>
                    <w:tr2bl w:val="nil"/>
                  </w:tcBorders>
                  <w:vAlign w:val="center"/>
                </w:tcPr>
                <w:p w14:paraId="0AE85567">
                  <w:pPr>
                    <w:spacing w:before="48" w:beforeLines="20" w:line="288" w:lineRule="auto"/>
                    <w:jc w:val="center"/>
                    <w:rPr>
                      <w:color w:val="000000" w:themeColor="text1"/>
                      <w:szCs w:val="21"/>
                      <w14:textFill>
                        <w14:solidFill>
                          <w14:schemeClr w14:val="tx1"/>
                        </w14:solidFill>
                      </w14:textFill>
                    </w:rPr>
                  </w:pPr>
                </w:p>
              </w:tc>
              <w:tc>
                <w:tcPr>
                  <w:tcW w:w="319" w:type="pct"/>
                  <w:tcBorders>
                    <w:tl2br w:val="nil"/>
                    <w:tr2bl w:val="nil"/>
                  </w:tcBorders>
                  <w:vAlign w:val="center"/>
                </w:tcPr>
                <w:p w14:paraId="69A1D2B1">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w:t>
                  </w:r>
                </w:p>
              </w:tc>
              <w:tc>
                <w:tcPr>
                  <w:tcW w:w="248" w:type="pct"/>
                  <w:tcBorders>
                    <w:tl2br w:val="nil"/>
                    <w:tr2bl w:val="nil"/>
                  </w:tcBorders>
                  <w:vAlign w:val="center"/>
                </w:tcPr>
                <w:p w14:paraId="21141D93">
                  <w:pPr>
                    <w:widowControl/>
                    <w:spacing w:before="48" w:beforeLines="20" w:line="288" w:lineRule="auto"/>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297" w:type="pct"/>
                  <w:tcBorders>
                    <w:tl2br w:val="nil"/>
                    <w:tr2bl w:val="nil"/>
                  </w:tcBorders>
                  <w:vAlign w:val="center"/>
                </w:tcPr>
                <w:p w14:paraId="3F564F23">
                  <w:pPr>
                    <w:spacing w:before="48" w:beforeLines="20" w:line="288" w:lineRule="auto"/>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0.5</w:t>
                  </w:r>
                </w:p>
              </w:tc>
              <w:tc>
                <w:tcPr>
                  <w:tcW w:w="319" w:type="pct"/>
                  <w:tcBorders>
                    <w:tl2br w:val="nil"/>
                    <w:tr2bl w:val="nil"/>
                  </w:tcBorders>
                  <w:vAlign w:val="center"/>
                </w:tcPr>
                <w:p w14:paraId="53F20030">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w:t>
                  </w:r>
                </w:p>
              </w:tc>
              <w:tc>
                <w:tcPr>
                  <w:tcW w:w="436" w:type="pct"/>
                  <w:tcBorders>
                    <w:tl2br w:val="nil"/>
                    <w:tr2bl w:val="nil"/>
                  </w:tcBorders>
                  <w:vAlign w:val="center"/>
                </w:tcPr>
                <w:p w14:paraId="343921F6">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70</w:t>
                  </w:r>
                </w:p>
              </w:tc>
              <w:tc>
                <w:tcPr>
                  <w:tcW w:w="349" w:type="pct"/>
                  <w:vMerge w:val="continue"/>
                  <w:tcBorders>
                    <w:tl2br w:val="nil"/>
                    <w:tr2bl w:val="nil"/>
                  </w:tcBorders>
                  <w:vAlign w:val="center"/>
                </w:tcPr>
                <w:p w14:paraId="3B8C177D">
                  <w:pPr>
                    <w:spacing w:before="48" w:beforeLines="20" w:line="288" w:lineRule="auto"/>
                    <w:jc w:val="center"/>
                    <w:rPr>
                      <w:bCs/>
                      <w:color w:val="000000" w:themeColor="text1"/>
                      <w:kern w:val="0"/>
                      <w:szCs w:val="21"/>
                      <w14:textFill>
                        <w14:solidFill>
                          <w14:schemeClr w14:val="tx1"/>
                        </w14:solidFill>
                      </w14:textFill>
                    </w:rPr>
                  </w:pPr>
                </w:p>
              </w:tc>
              <w:tc>
                <w:tcPr>
                  <w:tcW w:w="479" w:type="pct"/>
                  <w:tcBorders>
                    <w:tl2br w:val="nil"/>
                    <w:tr2bl w:val="nil"/>
                  </w:tcBorders>
                  <w:vAlign w:val="center"/>
                </w:tcPr>
                <w:p w14:paraId="08D3190D">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15</w:t>
                  </w:r>
                </w:p>
              </w:tc>
              <w:tc>
                <w:tcPr>
                  <w:tcW w:w="418" w:type="pct"/>
                  <w:tcBorders>
                    <w:tl2br w:val="nil"/>
                    <w:tr2bl w:val="nil"/>
                  </w:tcBorders>
                  <w:vAlign w:val="center"/>
                </w:tcPr>
                <w:p w14:paraId="0706C0E2">
                  <w:pPr>
                    <w:widowControl/>
                    <w:spacing w:before="48" w:beforeLines="20" w:line="288" w:lineRule="auto"/>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49</w:t>
                  </w:r>
                </w:p>
              </w:tc>
              <w:tc>
                <w:tcPr>
                  <w:tcW w:w="494" w:type="pct"/>
                  <w:tcBorders>
                    <w:tl2br w:val="nil"/>
                    <w:tr2bl w:val="nil"/>
                  </w:tcBorders>
                  <w:vAlign w:val="center"/>
                </w:tcPr>
                <w:p w14:paraId="2F56A36A">
                  <w:pPr>
                    <w:spacing w:before="48" w:beforeLines="20" w:line="288" w:lineRule="auto"/>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w:t>
                  </w:r>
                </w:p>
              </w:tc>
            </w:tr>
            <w:tr w14:paraId="46B28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0" w:type="pct"/>
                  <w:gridSpan w:val="14"/>
                  <w:tcBorders>
                    <w:tl2br w:val="nil"/>
                    <w:tr2bl w:val="nil"/>
                  </w:tcBorders>
                  <w:vAlign w:val="center"/>
                </w:tcPr>
                <w:p w14:paraId="4E544E3D">
                  <w:pPr>
                    <w:adjustRightInd w:val="0"/>
                    <w:snapToGrid w:val="0"/>
                    <w:spacing w:before="48" w:beforeLines="20" w:line="288" w:lineRule="auto"/>
                    <w:rPr>
                      <w:bCs/>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注：表中坐标以锅炉房中心（123.978975°，41.645643°）为坐标原点，正东向为X轴正方向，正北向为Y轴正方向，</w:t>
                  </w:r>
                  <w:r>
                    <w:rPr>
                      <w:bCs/>
                      <w:color w:val="000000" w:themeColor="text1"/>
                      <w:szCs w:val="21"/>
                      <w14:textFill>
                        <w14:solidFill>
                          <w14:schemeClr w14:val="tx1"/>
                        </w14:solidFill>
                      </w14:textFill>
                    </w:rPr>
                    <w:t>企业仅昼间生产，夜间不生产。</w:t>
                  </w:r>
                </w:p>
              </w:tc>
            </w:tr>
          </w:tbl>
          <w:p w14:paraId="7CA8A270">
            <w:pPr>
              <w:adjustRightInd w:val="0"/>
              <w:snapToGrid w:val="0"/>
              <w:spacing w:line="360" w:lineRule="auto"/>
              <w:rPr>
                <w:color w:val="000000" w:themeColor="text1"/>
                <w:sz w:val="24"/>
                <w:szCs w:val="32"/>
                <w14:textFill>
                  <w14:solidFill>
                    <w14:schemeClr w14:val="tx1"/>
                  </w14:solidFill>
                </w14:textFill>
              </w:rPr>
            </w:pPr>
          </w:p>
        </w:tc>
      </w:tr>
      <w:tr w14:paraId="3AB1BD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686" w:type="dxa"/>
            <w:vMerge w:val="continue"/>
            <w:tcMar>
              <w:left w:w="28" w:type="dxa"/>
              <w:right w:w="28" w:type="dxa"/>
            </w:tcMar>
            <w:vAlign w:val="center"/>
          </w:tcPr>
          <w:p w14:paraId="7C0559CD">
            <w:pPr>
              <w:adjustRightInd w:val="0"/>
              <w:snapToGrid w:val="0"/>
              <w:jc w:val="center"/>
              <w:rPr>
                <w:bCs/>
                <w:color w:val="000000" w:themeColor="text1"/>
                <w:szCs w:val="21"/>
                <w14:textFill>
                  <w14:solidFill>
                    <w14:schemeClr w14:val="tx1"/>
                  </w14:solidFill>
                </w14:textFill>
              </w:rPr>
            </w:pPr>
          </w:p>
        </w:tc>
        <w:tc>
          <w:tcPr>
            <w:tcW w:w="8523" w:type="dxa"/>
            <w:vAlign w:val="center"/>
          </w:tcPr>
          <w:p w14:paraId="4DFE09F0">
            <w:pPr>
              <w:spacing w:before="120" w:beforeLines="50"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3.2噪声影响及达标分析</w:t>
            </w:r>
          </w:p>
          <w:p w14:paraId="5432328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①评价标准</w:t>
            </w:r>
          </w:p>
          <w:p w14:paraId="2EE7B46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厂界噪声排放执行《工业企业厂界环境噪声排放标准》（GB12348-2008）1类标准。</w:t>
            </w:r>
          </w:p>
          <w:p w14:paraId="13C5DDB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②评价方法及预测模式</w:t>
            </w:r>
          </w:p>
          <w:p w14:paraId="6D12E376">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根据《环境影响评价技术导则 声环境》（HJ2.4-2021）附录B中推荐的工业噪声预测计算模型进行预测。具体预测模式如下：</w:t>
            </w:r>
          </w:p>
          <w:p w14:paraId="2D014920">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1）室外声源在预测点的A声级</w:t>
            </w:r>
          </w:p>
          <w:p w14:paraId="3AF6921E">
            <w:pPr>
              <w:wordWrap w:val="0"/>
              <w:topLinePunct/>
              <w:adjustRightInd w:val="0"/>
              <w:snapToGrid w:val="0"/>
              <w:spacing w:line="360" w:lineRule="auto"/>
              <w:jc w:val="center"/>
              <w:rPr>
                <w:color w:val="000000" w:themeColor="text1"/>
                <w:position w:val="-14"/>
                <w:sz w:val="24"/>
                <w14:textFill>
                  <w14:solidFill>
                    <w14:schemeClr w14:val="tx1"/>
                  </w14:solidFill>
                </w14:textFill>
              </w:rPr>
            </w:pPr>
            <w:r>
              <w:rPr>
                <w:color w:val="000000" w:themeColor="text1"/>
                <w:position w:val="-14"/>
                <w:sz w:val="24"/>
                <w14:textFill>
                  <w14:solidFill>
                    <w14:schemeClr w14:val="tx1"/>
                  </w14:solidFill>
                </w14:textFill>
              </w:rPr>
              <w:object>
                <v:shape id="_x0000_i1029" o:spt="75" type="#_x0000_t75" style="height:19pt;width:232pt;" o:ole="t" filled="f" o:preferrelative="t" stroked="f" coordsize="21600,21600">
                  <v:path/>
                  <v:fill on="f" focussize="0,0"/>
                  <v:stroke on="f" joinstyle="miter"/>
                  <v:imagedata r:id="rId25" o:title=""/>
                  <o:lock v:ext="edit" aspectratio="t"/>
                  <w10:wrap type="none"/>
                  <w10:anchorlock/>
                </v:shape>
                <o:OLEObject Type="Embed" ProgID="Equation.3" ShapeID="_x0000_i1029" DrawAspect="Content" ObjectID="_1468075729" r:id="rId24">
                  <o:LockedField>false</o:LockedField>
                </o:OLEObject>
              </w:object>
            </w:r>
          </w:p>
          <w:p w14:paraId="62F353F7">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p</w:t>
            </w:r>
            <w:r>
              <w:rPr>
                <w:color w:val="000000" w:themeColor="text1"/>
                <w:sz w:val="24"/>
                <w14:textFill>
                  <w14:solidFill>
                    <w14:schemeClr w14:val="tx1"/>
                  </w14:solidFill>
                </w14:textFill>
              </w:rPr>
              <w:t>(r)——预测点处声压级，dB；</w:t>
            </w:r>
          </w:p>
          <w:p w14:paraId="4B30F185">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w</w:t>
            </w:r>
            <w:r>
              <w:rPr>
                <w:color w:val="000000" w:themeColor="text1"/>
                <w:sz w:val="24"/>
                <w14:textFill>
                  <w14:solidFill>
                    <w14:schemeClr w14:val="tx1"/>
                  </w14:solidFill>
                </w14:textFill>
              </w:rPr>
              <w:t>——由点声源产生的声功率级（A计权或倍频带），dB；</w:t>
            </w:r>
          </w:p>
          <w:p w14:paraId="0C0F614A">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D</w:t>
            </w:r>
            <w:r>
              <w:rPr>
                <w:color w:val="000000" w:themeColor="text1"/>
                <w:sz w:val="24"/>
                <w:vertAlign w:val="subscript"/>
                <w14:textFill>
                  <w14:solidFill>
                    <w14:schemeClr w14:val="tx1"/>
                  </w14:solidFill>
                </w14:textFill>
              </w:rPr>
              <w:t>C</w:t>
            </w:r>
            <w:r>
              <w:rPr>
                <w:color w:val="000000" w:themeColor="text1"/>
                <w:sz w:val="24"/>
                <w14:textFill>
                  <w14:solidFill>
                    <w14:schemeClr w14:val="tx1"/>
                  </w14:solidFill>
                </w14:textFill>
              </w:rPr>
              <w:t>——指向性校正，它描述点声源的等效连续声压级与产生声功率级L</w:t>
            </w:r>
            <w:r>
              <w:rPr>
                <w:color w:val="000000" w:themeColor="text1"/>
                <w:sz w:val="24"/>
                <w:vertAlign w:val="subscript"/>
                <w14:textFill>
                  <w14:solidFill>
                    <w14:schemeClr w14:val="tx1"/>
                  </w14:solidFill>
                </w14:textFill>
              </w:rPr>
              <w:t>w</w:t>
            </w:r>
            <w:r>
              <w:rPr>
                <w:color w:val="000000" w:themeColor="text1"/>
                <w:sz w:val="24"/>
                <w14:textFill>
                  <w14:solidFill>
                    <w14:schemeClr w14:val="tx1"/>
                  </w14:solidFill>
                </w14:textFill>
              </w:rPr>
              <w:t>的全向点声源在规定方向的声级的偏差程度，dB；</w:t>
            </w:r>
          </w:p>
          <w:p w14:paraId="2162F391">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div</w:t>
            </w:r>
            <w:r>
              <w:rPr>
                <w:color w:val="000000" w:themeColor="text1"/>
                <w:sz w:val="24"/>
                <w14:textFill>
                  <w14:solidFill>
                    <w14:schemeClr w14:val="tx1"/>
                  </w14:solidFill>
                </w14:textFill>
              </w:rPr>
              <w:t>——几何发散引起的衰减，dB；</w:t>
            </w:r>
          </w:p>
          <w:p w14:paraId="19996B90">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atm</w:t>
            </w:r>
            <w:r>
              <w:rPr>
                <w:color w:val="000000" w:themeColor="text1"/>
                <w:sz w:val="24"/>
                <w14:textFill>
                  <w14:solidFill>
                    <w14:schemeClr w14:val="tx1"/>
                  </w14:solidFill>
                </w14:textFill>
              </w:rPr>
              <w:t>——大气吸收引起的衰减，dB；</w:t>
            </w:r>
          </w:p>
          <w:p w14:paraId="43DC6296">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gr</w:t>
            </w:r>
            <w:r>
              <w:rPr>
                <w:color w:val="000000" w:themeColor="text1"/>
                <w:sz w:val="24"/>
                <w14:textFill>
                  <w14:solidFill>
                    <w14:schemeClr w14:val="tx1"/>
                  </w14:solidFill>
                </w14:textFill>
              </w:rPr>
              <w:t>——地面效应引起的衰减，dB；</w:t>
            </w:r>
          </w:p>
          <w:p w14:paraId="28CECD56">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bar</w:t>
            </w:r>
            <w:r>
              <w:rPr>
                <w:color w:val="000000" w:themeColor="text1"/>
                <w:sz w:val="24"/>
                <w14:textFill>
                  <w14:solidFill>
                    <w14:schemeClr w14:val="tx1"/>
                  </w14:solidFill>
                </w14:textFill>
              </w:rPr>
              <w:t>——空气吸收衰减量，dB(A)；</w:t>
            </w:r>
          </w:p>
          <w:p w14:paraId="3A99ED1B">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color w:val="000000" w:themeColor="text1"/>
                <w:sz w:val="24"/>
                <w:vertAlign w:val="subscript"/>
                <w14:textFill>
                  <w14:solidFill>
                    <w14:schemeClr w14:val="tx1"/>
                  </w14:solidFill>
                </w14:textFill>
              </w:rPr>
              <w:t>misc</w:t>
            </w:r>
            <w:r>
              <w:rPr>
                <w:color w:val="000000" w:themeColor="text1"/>
                <w:sz w:val="24"/>
                <w14:textFill>
                  <w14:solidFill>
                    <w14:schemeClr w14:val="tx1"/>
                  </w14:solidFill>
                </w14:textFill>
              </w:rPr>
              <w:t>——其他多方面效应引起的衰减，dB；</w:t>
            </w:r>
          </w:p>
          <w:p w14:paraId="4E98B283">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2）室内声源在预测点的A声级计算 </w:t>
            </w:r>
          </w:p>
          <w:p w14:paraId="06382F9E">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a.声源位于室内，室内声源可采用等效室外声源声功率级法进行计算。设靠近开口处（或窗户）室内、室外某倍频带的声压级或A声级分别为L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和L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。若声源所在室内声场为i近似扩散声场，则室外的倍频带声压级可按下式近似求出：</w:t>
            </w:r>
          </w:p>
          <w:p w14:paraId="7B94A615">
            <w:pPr>
              <w:wordWrap w:val="0"/>
              <w:topLinePunct/>
              <w:adjustRightInd w:val="0"/>
              <w:snapToGrid w:val="0"/>
              <w:spacing w:line="360" w:lineRule="auto"/>
              <w:jc w:val="center"/>
              <w:rPr>
                <w:color w:val="000000" w:themeColor="text1"/>
                <w:position w:val="-10"/>
                <w:sz w:val="24"/>
                <w14:textFill>
                  <w14:solidFill>
                    <w14:schemeClr w14:val="tx1"/>
                  </w14:solidFill>
                </w14:textFill>
              </w:rPr>
            </w:pPr>
            <w:r>
              <w:rPr>
                <w:color w:val="000000" w:themeColor="text1"/>
                <w:position w:val="-10"/>
                <w:sz w:val="24"/>
                <w14:textFill>
                  <w14:solidFill>
                    <w14:schemeClr w14:val="tx1"/>
                  </w14:solidFill>
                </w14:textFill>
              </w:rPr>
              <w:object>
                <v:shape id="_x0000_i1030" o:spt="75" type="#_x0000_t75" style="height:17pt;width:95pt;" o:ole="t" filled="f" o:preferrelative="t" stroked="f" coordsize="21600,21600">
                  <v:path/>
                  <v:fill on="f" focussize="0,0"/>
                  <v:stroke on="f" joinstyle="miter"/>
                  <v:imagedata r:id="rId27" o:title=""/>
                  <o:lock v:ext="edit" aspectratio="t"/>
                  <w10:wrap type="none"/>
                  <w10:anchorlock/>
                </v:shape>
                <o:OLEObject Type="Embed" ProgID="Equation.3" ShapeID="_x0000_i1030" DrawAspect="Content" ObjectID="_1468075730" r:id="rId26">
                  <o:LockedField>false</o:LockedField>
                </o:OLEObject>
              </w:object>
            </w:r>
          </w:p>
          <w:p w14:paraId="3D7EDB05">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——靠近开口处(或窗户)室内某倍频带的声压级或A声级，dB；</w:t>
            </w:r>
          </w:p>
          <w:p w14:paraId="4886419F">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——靠近开口处(或窗户)室外某倍频带的声压级或A声级，dB；</w:t>
            </w:r>
          </w:p>
          <w:p w14:paraId="55AEE925">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TL——隔墙(或窗户)倍频带或A声级的隔声量，dB。</w:t>
            </w:r>
          </w:p>
          <w:p w14:paraId="22A52732">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b.也可按下式计算某一室内声源靠近围护结构处产生的倍频带声压级或A声级：</w:t>
            </w:r>
          </w:p>
          <w:p w14:paraId="430E7A2E">
            <w:pPr>
              <w:wordWrap w:val="0"/>
              <w:topLinePunct/>
              <w:adjustRightInd w:val="0"/>
              <w:snapToGrid w:val="0"/>
              <w:spacing w:line="360" w:lineRule="auto"/>
              <w:jc w:val="center"/>
              <w:rPr>
                <w:color w:val="000000" w:themeColor="text1"/>
                <w:sz w:val="24"/>
                <w14:textFill>
                  <w14:solidFill>
                    <w14:schemeClr w14:val="tx1"/>
                  </w14:solidFill>
                </w14:textFill>
              </w:rPr>
            </w:pPr>
            <w:r>
              <w:rPr>
                <w:color w:val="000000" w:themeColor="text1"/>
                <w:position w:val="-28"/>
                <w:sz w:val="24"/>
                <w14:textFill>
                  <w14:solidFill>
                    <w14:schemeClr w14:val="tx1"/>
                  </w14:solidFill>
                </w14:textFill>
              </w:rPr>
              <w:object>
                <v:shape id="_x0000_i1031" o:spt="75" type="#_x0000_t75" style="height:34pt;width:134pt;" o:ole="t" filled="f" o:preferrelative="t" stroked="f" coordsize="21600,21600">
                  <v:path/>
                  <v:fill on="f" focussize="0,0"/>
                  <v:stroke on="f" joinstyle="miter"/>
                  <v:imagedata r:id="rId29" o:title=""/>
                  <o:lock v:ext="edit" aspectratio="t"/>
                  <w10:wrap type="none"/>
                  <w10:anchorlock/>
                </v:shape>
                <o:OLEObject Type="Embed" ProgID="Equation.3" ShapeID="_x0000_i1031" DrawAspect="Content" ObjectID="_1468075731" r:id="rId28">
                  <o:LockedField>false</o:LockedField>
                </o:OLEObject>
              </w:object>
            </w:r>
          </w:p>
          <w:p w14:paraId="45BE4ED8">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——靠近开口处(或窗户)室内某倍频带的声压级或A声级，dB；</w:t>
            </w:r>
          </w:p>
          <w:p w14:paraId="5D6AB1CE">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w</w:t>
            </w:r>
            <w:r>
              <w:rPr>
                <w:color w:val="000000" w:themeColor="text1"/>
                <w:sz w:val="24"/>
                <w14:textFill>
                  <w14:solidFill>
                    <w14:schemeClr w14:val="tx1"/>
                  </w14:solidFill>
                </w14:textFill>
              </w:rPr>
              <w:t>——点声源声功率级(A计权或倍频带)，dB；</w:t>
            </w:r>
          </w:p>
          <w:p w14:paraId="5B591C12">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Q——指向性因数；通常对无指向性声源，当声源放在房间中心时，Q=1；当放在一面墙的中心时，Q=2；当放在两面墙夹角处时，Q=4；当放在三面墙夹角处时，Q=8；</w:t>
            </w:r>
          </w:p>
          <w:p w14:paraId="0820225A">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R——房间常数；</w:t>
            </w:r>
            <w:r>
              <w:rPr>
                <w:color w:val="000000" w:themeColor="text1"/>
                <w:position w:val="-10"/>
                <w:sz w:val="24"/>
                <w14:textFill>
                  <w14:solidFill>
                    <w14:schemeClr w14:val="tx1"/>
                  </w14:solidFill>
                </w14:textFill>
              </w:rPr>
              <w:object>
                <v:shape id="_x0000_i1032" o:spt="75" type="#_x0000_t75" style="height:17pt;width:74pt;" o:ole="t" filled="f" o:preferrelative="t" stroked="f" coordsize="21600,21600">
                  <v:path/>
                  <v:fill on="f" focussize="0,0"/>
                  <v:stroke on="f" joinstyle="miter"/>
                  <v:imagedata r:id="rId31" o:title=""/>
                  <o:lock v:ext="edit" aspectratio="t"/>
                  <w10:wrap type="none"/>
                  <w10:anchorlock/>
                </v:shape>
                <o:OLEObject Type="Embed" ProgID="Equation.3" ShapeID="_x0000_i1032" DrawAspect="Content" ObjectID="_1468075732" r:id="rId30">
                  <o:LockedField>false</o:LockedField>
                </o:OLEObject>
              </w:object>
            </w:r>
            <w:r>
              <w:rPr>
                <w:color w:val="000000" w:themeColor="text1"/>
                <w:position w:val="-10"/>
                <w:sz w:val="24"/>
                <w14:textFill>
                  <w14:solidFill>
                    <w14:schemeClr w14:val="tx1"/>
                  </w14:solidFill>
                </w14:textFill>
              </w:rPr>
              <w:t>，</w:t>
            </w:r>
            <w:r>
              <w:rPr>
                <w:color w:val="000000" w:themeColor="text1"/>
                <w:sz w:val="24"/>
                <w14:textFill>
                  <w14:solidFill>
                    <w14:schemeClr w14:val="tx1"/>
                  </w14:solidFill>
                </w14:textFill>
              </w:rPr>
              <w:t>S为房间内表面面积，m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；α为平均吸声系数；</w:t>
            </w:r>
          </w:p>
          <w:p w14:paraId="721A9BDC">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r——声源到靠近围护结构某点处的距离，m。</w:t>
            </w:r>
          </w:p>
          <w:p w14:paraId="236B888C">
            <w:pPr>
              <w:wordWrap w:val="0"/>
              <w:topLinePunct/>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c.然后按下式计算出所有室内声源在围护结构处产生的i倍频带叠加声压级：</w:t>
            </w:r>
          </w:p>
          <w:p w14:paraId="4EBFCBB7">
            <w:pPr>
              <w:wordWrap w:val="0"/>
              <w:topLinePunct/>
              <w:adjustRightInd w:val="0"/>
              <w:snapToGrid w:val="0"/>
              <w:spacing w:line="360" w:lineRule="auto"/>
              <w:ind w:firstLine="480" w:firstLineChars="200"/>
              <w:jc w:val="center"/>
              <w:rPr>
                <w:color w:val="000000" w:themeColor="text1"/>
                <w:sz w:val="24"/>
                <w14:textFill>
                  <w14:solidFill>
                    <w14:schemeClr w14:val="tx1"/>
                  </w14:solidFill>
                </w14:textFill>
              </w:rPr>
            </w:pPr>
            <w:r>
              <w:rPr>
                <w:color w:val="000000" w:themeColor="text1"/>
                <w:position w:val="-32"/>
                <w:sz w:val="24"/>
                <w14:textFill>
                  <w14:solidFill>
                    <w14:schemeClr w14:val="tx1"/>
                  </w14:solidFill>
                </w14:textFill>
              </w:rPr>
              <w:object>
                <v:shape id="_x0000_i1033" o:spt="75" type="#_x0000_t75" style="height:38pt;width:130pt;" o:ole="t" filled="f" o:preferrelative="t" stroked="f" coordsize="21600,21600">
                  <v:path/>
                  <v:fill on="f" focussize="0,0"/>
                  <v:stroke on="f" joinstyle="miter"/>
                  <v:imagedata r:id="rId33" o:title=""/>
                  <o:lock v:ext="edit" aspectratio="t"/>
                  <w10:wrap type="none"/>
                  <w10:anchorlock/>
                </v:shape>
                <o:OLEObject Type="Embed" ProgID="Equation.3" ShapeID="_x0000_i1033" DrawAspect="Content" ObjectID="_1468075733" r:id="rId32">
                  <o:LockedField>false</o:LockedField>
                </o:OLEObject>
              </w:object>
            </w:r>
          </w:p>
          <w:p w14:paraId="5E99C9B6">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p1i</w:t>
            </w:r>
            <w:r>
              <w:rPr>
                <w:color w:val="000000" w:themeColor="text1"/>
                <w:sz w:val="24"/>
                <w14:textFill>
                  <w14:solidFill>
                    <w14:schemeClr w14:val="tx1"/>
                  </w14:solidFill>
                </w14:textFill>
              </w:rPr>
              <w:t>（T）——靠近围护结构处室内N个声源i倍频带的叠加声压级，dB；</w:t>
            </w:r>
          </w:p>
          <w:p w14:paraId="1A23B9BC">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p1ij</w:t>
            </w:r>
            <w:r>
              <w:rPr>
                <w:color w:val="000000" w:themeColor="text1"/>
                <w:sz w:val="24"/>
                <w14:textFill>
                  <w14:solidFill>
                    <w14:schemeClr w14:val="tx1"/>
                  </w14:solidFill>
                </w14:textFill>
              </w:rPr>
              <w:t>——室内j声源i倍频带的声压级，dB；</w:t>
            </w:r>
          </w:p>
          <w:p w14:paraId="47A3B5D8">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N——室内声源总数。</w:t>
            </w:r>
          </w:p>
          <w:p w14:paraId="0E67D11A">
            <w:pPr>
              <w:wordWrap w:val="0"/>
              <w:topLinePunct/>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d.在室内近似为扩散声场时，按式(B.4) 计算出靠近室外围护结构处的声压级：</w:t>
            </w:r>
          </w:p>
          <w:p w14:paraId="3A80AE29">
            <w:pPr>
              <w:wordWrap w:val="0"/>
              <w:topLinePunct/>
              <w:adjustRightInd w:val="0"/>
              <w:snapToGrid w:val="0"/>
              <w:spacing w:line="360" w:lineRule="auto"/>
              <w:ind w:firstLine="480" w:firstLineChars="200"/>
              <w:jc w:val="center"/>
              <w:rPr>
                <w:color w:val="000000" w:themeColor="text1"/>
                <w:sz w:val="24"/>
                <w14:textFill>
                  <w14:solidFill>
                    <w14:schemeClr w14:val="tx1"/>
                  </w14:solidFill>
                </w14:textFill>
              </w:rPr>
            </w:pPr>
            <w:r>
              <w:rPr>
                <w:color w:val="000000" w:themeColor="text1"/>
                <w:position w:val="-12"/>
                <w:sz w:val="24"/>
                <w14:textFill>
                  <w14:solidFill>
                    <w14:schemeClr w14:val="tx1"/>
                  </w14:solidFill>
                </w14:textFill>
              </w:rPr>
              <w:object>
                <v:shape id="_x0000_i1034" o:spt="75" type="#_x0000_t75" style="height:18pt;width:139.45pt;" o:ole="t" filled="f" o:preferrelative="t" stroked="f" coordsize="21600,21600">
                  <v:path/>
                  <v:fill on="f" focussize="0,0"/>
                  <v:stroke on="f" joinstyle="miter"/>
                  <v:imagedata r:id="rId35" o:title=""/>
                  <o:lock v:ext="edit" aspectratio="t"/>
                  <w10:wrap type="none"/>
                  <w10:anchorlock/>
                </v:shape>
                <o:OLEObject Type="Embed" ProgID="Equation.3" ShapeID="_x0000_i1034" DrawAspect="Content" ObjectID="_1468075734" r:id="rId34">
                  <o:LockedField>false</o:LockedField>
                </o:OLEObject>
              </w:object>
            </w:r>
          </w:p>
          <w:p w14:paraId="735CA4EA">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式中：Lp</w:t>
            </w:r>
            <w:r>
              <w:rPr>
                <w:color w:val="000000" w:themeColor="text1"/>
                <w:sz w:val="24"/>
                <w:vertAlign w:val="subscript"/>
                <w14:textFill>
                  <w14:solidFill>
                    <w14:schemeClr w14:val="tx1"/>
                  </w14:solidFill>
                </w14:textFill>
              </w:rPr>
              <w:t>2i</w:t>
            </w:r>
            <w:r>
              <w:rPr>
                <w:color w:val="000000" w:themeColor="text1"/>
                <w:sz w:val="24"/>
                <w14:textFill>
                  <w14:solidFill>
                    <w14:schemeClr w14:val="tx1"/>
                  </w14:solidFill>
                </w14:textFill>
              </w:rPr>
              <w:t>（T)——靠近围护结构处室外N个声源i倍频带的叠加声压级，dB；</w:t>
            </w:r>
          </w:p>
          <w:p w14:paraId="4B9A0A4D">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Lp</w:t>
            </w:r>
            <w:r>
              <w:rPr>
                <w:color w:val="000000" w:themeColor="text1"/>
                <w:sz w:val="24"/>
                <w:vertAlign w:val="subscript"/>
                <w14:textFill>
                  <w14:solidFill>
                    <w14:schemeClr w14:val="tx1"/>
                  </w14:solidFill>
                </w14:textFill>
              </w:rPr>
              <w:t>1i</w:t>
            </w:r>
            <w:r>
              <w:rPr>
                <w:color w:val="000000" w:themeColor="text1"/>
                <w:sz w:val="24"/>
                <w14:textFill>
                  <w14:solidFill>
                    <w14:schemeClr w14:val="tx1"/>
                  </w14:solidFill>
                </w14:textFill>
              </w:rPr>
              <w:t>（T）——靠近围护结构处室内N个声源i倍频带的叠加声压级，dB；</w:t>
            </w:r>
          </w:p>
          <w:p w14:paraId="351A1745">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TL</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——围护结构i倍频带的隔声量，dB。</w:t>
            </w:r>
          </w:p>
          <w:p w14:paraId="61AA39F6">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e.然后按下式将室外声源的声压级和透过面积换算成等效的室外声源，计算出中心位置位于透声面积(S)处的等效声源的倍频带声功率级。</w:t>
            </w:r>
          </w:p>
          <w:p w14:paraId="5BE7F68B">
            <w:pPr>
              <w:wordWrap w:val="0"/>
              <w:topLinePunct/>
              <w:adjustRightInd w:val="0"/>
              <w:snapToGrid w:val="0"/>
              <w:spacing w:line="360" w:lineRule="auto"/>
              <w:ind w:firstLine="480" w:firstLineChars="200"/>
              <w:jc w:val="center"/>
              <w:rPr>
                <w:color w:val="000000" w:themeColor="text1"/>
                <w:position w:val="-14"/>
                <w:sz w:val="24"/>
                <w14:textFill>
                  <w14:solidFill>
                    <w14:schemeClr w14:val="tx1"/>
                  </w14:solidFill>
                </w14:textFill>
              </w:rPr>
            </w:pPr>
            <w:r>
              <w:rPr>
                <w:color w:val="000000" w:themeColor="text1"/>
                <w:position w:val="-14"/>
                <w:sz w:val="24"/>
                <w14:textFill>
                  <w14:solidFill>
                    <w14:schemeClr w14:val="tx1"/>
                  </w14:solidFill>
                </w14:textFill>
              </w:rPr>
              <w:object>
                <v:shape id="_x0000_i1035" o:spt="75" type="#_x0000_t75" style="height:19pt;width:101pt;" o:ole="t" filled="f" o:preferrelative="t" stroked="f" coordsize="21600,21600">
                  <v:path/>
                  <v:fill on="f" focussize="0,0"/>
                  <v:stroke on="f" joinstyle="miter"/>
                  <v:imagedata r:id="rId37" o:title=""/>
                  <o:lock v:ext="edit" aspectratio="t"/>
                  <w10:wrap type="none"/>
                  <w10:anchorlock/>
                </v:shape>
                <o:OLEObject Type="Embed" ProgID="Equation.3" ShapeID="_x0000_i1035" DrawAspect="Content" ObjectID="_1468075735" r:id="rId36">
                  <o:LockedField>false</o:LockedField>
                </o:OLEObject>
              </w:object>
            </w:r>
          </w:p>
          <w:p w14:paraId="35703DDA">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式中：Lw ——中心位置位于透声面积(S)处的等效声源的倍频带声功率级，dB；</w:t>
            </w:r>
          </w:p>
          <w:p w14:paraId="4E78F6B9">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(T)——靠近围护结构处室外声源的声压级，dB；</w:t>
            </w:r>
          </w:p>
          <w:p w14:paraId="3D2277C5">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S——透声面积，m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w:t>
            </w:r>
          </w:p>
          <w:p w14:paraId="7F8FE9D6">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f.然后按室外声源预测方法计算预测点处的A声级。</w:t>
            </w:r>
          </w:p>
          <w:p w14:paraId="0E182AB4">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3）总声级的计算</w:t>
            </w:r>
          </w:p>
          <w:p w14:paraId="7C8DBCE1">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a.设第i个室外声源在预测点产生的A声级为L</w:t>
            </w:r>
            <w:r>
              <w:rPr>
                <w:color w:val="000000" w:themeColor="text1"/>
                <w:sz w:val="24"/>
                <w:vertAlign w:val="subscript"/>
                <w14:textFill>
                  <w14:solidFill>
                    <w14:schemeClr w14:val="tx1"/>
                  </w14:solidFill>
                </w14:textFill>
              </w:rPr>
              <w:t>Ai</w:t>
            </w:r>
            <w:r>
              <w:rPr>
                <w:color w:val="000000" w:themeColor="text1"/>
                <w:sz w:val="24"/>
                <w14:textFill>
                  <w14:solidFill>
                    <w14:schemeClr w14:val="tx1"/>
                  </w14:solidFill>
                </w14:textFill>
              </w:rPr>
              <w:t>，在T时间内该声源工作时间为t</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；第j个等效室外声源在预测点产生的A声级为L</w:t>
            </w:r>
            <w:r>
              <w:rPr>
                <w:color w:val="000000" w:themeColor="text1"/>
                <w:sz w:val="24"/>
                <w:vertAlign w:val="subscript"/>
                <w14:textFill>
                  <w14:solidFill>
                    <w14:schemeClr w14:val="tx1"/>
                  </w14:solidFill>
                </w14:textFill>
              </w:rPr>
              <w:t>Aj</w:t>
            </w:r>
            <w:r>
              <w:rPr>
                <w:color w:val="000000" w:themeColor="text1"/>
                <w:sz w:val="24"/>
                <w14:textFill>
                  <w14:solidFill>
                    <w14:schemeClr w14:val="tx1"/>
                  </w14:solidFill>
                </w14:textFill>
              </w:rPr>
              <w:t>，在T时间内该声源工作时间为t</w:t>
            </w:r>
            <w:r>
              <w:rPr>
                <w:color w:val="000000" w:themeColor="text1"/>
                <w:sz w:val="24"/>
                <w:vertAlign w:val="subscript"/>
                <w14:textFill>
                  <w14:solidFill>
                    <w14:schemeClr w14:val="tx1"/>
                  </w14:solidFill>
                </w14:textFill>
              </w:rPr>
              <w:t>j</w:t>
            </w:r>
            <w:r>
              <w:rPr>
                <w:color w:val="000000" w:themeColor="text1"/>
                <w:sz w:val="24"/>
                <w14:textFill>
                  <w14:solidFill>
                    <w14:schemeClr w14:val="tx1"/>
                  </w14:solidFill>
                </w14:textFill>
              </w:rPr>
              <w:t>，则拟建工程声源对预测点产生的贡献值（L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）为：</w:t>
            </w:r>
          </w:p>
          <w:p w14:paraId="50623808">
            <w:pPr>
              <w:wordWrap w:val="0"/>
              <w:topLinePunct/>
              <w:adjustRightInd w:val="0"/>
              <w:snapToGrid w:val="0"/>
              <w:spacing w:line="360" w:lineRule="auto"/>
              <w:jc w:val="center"/>
              <w:rPr>
                <w:color w:val="000000" w:themeColor="text1"/>
                <w:sz w:val="24"/>
                <w14:textFill>
                  <w14:solidFill>
                    <w14:schemeClr w14:val="tx1"/>
                  </w14:solidFill>
                </w14:textFill>
              </w:rPr>
            </w:pPr>
            <w:r>
              <w:rPr>
                <w:color w:val="000000" w:themeColor="text1"/>
                <w:position w:val="-34"/>
                <w:sz w:val="24"/>
                <w14:textFill>
                  <w14:solidFill>
                    <w14:schemeClr w14:val="tx1"/>
                  </w14:solidFill>
                </w14:textFill>
              </w:rPr>
              <w:object>
                <v:shape id="_x0000_i1036" o:spt="75" type="#_x0000_t75" style="height:40pt;width:210pt;" o:ole="t" filled="f" o:preferrelative="t" stroked="f" coordsize="21600,21600">
                  <v:path/>
                  <v:fill on="f" focussize="0,0"/>
                  <v:stroke on="f" joinstyle="miter"/>
                  <v:imagedata r:id="rId39" o:title=""/>
                  <o:lock v:ext="edit" aspectratio="t"/>
                  <w10:wrap type="none"/>
                  <w10:anchorlock/>
                </v:shape>
                <o:OLEObject Type="Embed" ProgID="Equation.3" ShapeID="_x0000_i1036" DrawAspect="Content" ObjectID="_1468075736" r:id="rId38">
                  <o:LockedField>false</o:LockedField>
                </o:OLEObject>
              </w:object>
            </w:r>
          </w:p>
          <w:p w14:paraId="7D6FB4F2">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1BAAB6FF">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T——用于计算等效声级的时间，s；</w:t>
            </w:r>
          </w:p>
          <w:p w14:paraId="5A63DFA7">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N——室外声源个数；</w:t>
            </w:r>
          </w:p>
          <w:p w14:paraId="431D3606">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——在T时间内i声源工作时间，s；</w:t>
            </w:r>
          </w:p>
          <w:p w14:paraId="54039AFB">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M——等效室外声源个数；</w:t>
            </w:r>
          </w:p>
          <w:p w14:paraId="57DC7DD2">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j</w:t>
            </w:r>
            <w:r>
              <w:rPr>
                <w:color w:val="000000" w:themeColor="text1"/>
                <w:sz w:val="24"/>
                <w14:textFill>
                  <w14:solidFill>
                    <w14:schemeClr w14:val="tx1"/>
                  </w14:solidFill>
                </w14:textFill>
              </w:rPr>
              <w:t>——在T时间内j声源工作时间，s。</w:t>
            </w:r>
          </w:p>
          <w:p w14:paraId="17C53D9D">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b.预测值计算</w:t>
            </w:r>
          </w:p>
          <w:p w14:paraId="1BEC5E2B">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预测点的贡献值和背景值按能量叠加方法计算得到的声级。</w:t>
            </w:r>
          </w:p>
          <w:p w14:paraId="1EE4462F">
            <w:pPr>
              <w:wordWrap w:val="0"/>
              <w:topLinePunct/>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噪声预测值（L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）计算公式为：</w:t>
            </w:r>
          </w:p>
          <w:p w14:paraId="37EF7D39">
            <w:pPr>
              <w:wordWrap w:val="0"/>
              <w:topLinePunct/>
              <w:adjustRightInd w:val="0"/>
              <w:snapToGrid w:val="0"/>
              <w:spacing w:line="360" w:lineRule="auto"/>
              <w:ind w:firstLine="480" w:firstLineChars="200"/>
              <w:jc w:val="center"/>
              <w:rPr>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37" o:spt="75" type="#_x0000_t75" style="height:21pt;width:139.95pt;" o:ole="t" filled="f" o:preferrelative="t" stroked="f" coordsize="21600,21600">
                  <v:path/>
                  <v:fill on="f" focussize="0,0"/>
                  <v:stroke on="f" joinstyle="miter"/>
                  <v:imagedata r:id="rId41" o:title=""/>
                  <o:lock v:ext="edit" aspectratio="t"/>
                  <w10:wrap type="none"/>
                  <w10:anchorlock/>
                </v:shape>
                <o:OLEObject Type="Embed" ProgID="Equation.3" ShapeID="_x0000_i1037" DrawAspect="Content" ObjectID="_1468075737" r:id="rId40">
                  <o:LockedField>false</o:LockedField>
                </o:OLEObject>
              </w:object>
            </w:r>
          </w:p>
          <w:p w14:paraId="5DEBD03F">
            <w:pPr>
              <w:wordWrap w:val="0"/>
              <w:topLinePunct/>
              <w:adjustRightInd w:val="0"/>
              <w:snapToGrid w:val="0"/>
              <w:spacing w:line="360" w:lineRule="auto"/>
              <w:ind w:firstLine="720" w:firstLineChars="3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eq</w:t>
            </w:r>
            <w:r>
              <w:rPr>
                <w:color w:val="000000" w:themeColor="text1"/>
                <w:sz w:val="24"/>
                <w14:textFill>
                  <w14:solidFill>
                    <w14:schemeClr w14:val="tx1"/>
                  </w14:solidFill>
                </w14:textFill>
              </w:rPr>
              <w:t>——预测点的噪声预测值，dB；</w:t>
            </w:r>
          </w:p>
          <w:p w14:paraId="2E2209CB">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5756D2CC">
            <w:pPr>
              <w:wordWrap w:val="0"/>
              <w:topLinePunct/>
              <w:adjustRightInd w:val="0"/>
              <w:snapToGrid w:val="0"/>
              <w:spacing w:line="360" w:lineRule="auto"/>
              <w:ind w:firstLine="1200" w:firstLineChars="5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eqb</w:t>
            </w:r>
            <w:r>
              <w:rPr>
                <w:color w:val="000000" w:themeColor="text1"/>
                <w:sz w:val="24"/>
                <w14:textFill>
                  <w14:solidFill>
                    <w14:schemeClr w14:val="tx1"/>
                  </w14:solidFill>
                </w14:textFill>
              </w:rPr>
              <w:t>——预测点的背景噪声值，dB。</w:t>
            </w:r>
          </w:p>
          <w:p w14:paraId="688439A8">
            <w:pPr>
              <w:tabs>
                <w:tab w:val="left" w:pos="7350"/>
              </w:tabs>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本项目无室外声源，厂界外50米范围内声环境保护目标为东、西、北侧峡河村和南侧峡河乡九年一贯制学校，本次评价可按照导则公式计算</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在厂界四周以现状监测点位为预测点位。</w:t>
            </w:r>
            <w:r>
              <w:rPr>
                <w:rFonts w:hint="eastAsia"/>
                <w:color w:val="000000" w:themeColor="text1"/>
                <w:sz w:val="24"/>
                <w14:textFill>
                  <w14:solidFill>
                    <w14:schemeClr w14:val="tx1"/>
                  </w14:solidFill>
                </w14:textFill>
              </w:rPr>
              <w:t>由于</w:t>
            </w:r>
            <w:r>
              <w:rPr>
                <w:rFonts w:ascii="Segoe UI" w:hAnsi="Segoe UI" w:eastAsia="Segoe UI" w:cs="Segoe UI"/>
                <w:color w:val="000000" w:themeColor="text1"/>
                <w:sz w:val="24"/>
                <w:shd w:val="clear" w:color="auto" w:fill="FFFFFF"/>
                <w14:textFill>
                  <w14:solidFill>
                    <w14:schemeClr w14:val="tx1"/>
                  </w14:solidFill>
                </w14:textFill>
              </w:rPr>
              <w:t>现有项目无需办理环评手续，但项目现场存在噪声设备。本次评价将现有噪声设备源强与本次新增噪声源强进行叠加预测。</w:t>
            </w:r>
          </w:p>
          <w:p w14:paraId="123D05D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14:textFill>
                  <w14:solidFill>
                    <w14:schemeClr w14:val="tx1"/>
                  </w14:solidFill>
                </w14:textFill>
              </w:rPr>
              <w:t>仅昼间运行，夜间不生产，</w:t>
            </w:r>
            <w:r>
              <w:rPr>
                <w:color w:val="000000" w:themeColor="text1"/>
                <w:sz w:val="24"/>
                <w14:textFill>
                  <w14:solidFill>
                    <w14:schemeClr w14:val="tx1"/>
                  </w14:solidFill>
                </w14:textFill>
              </w:rPr>
              <w:t>运营期噪声源在厂界贡献值结果见下表。</w:t>
            </w:r>
          </w:p>
          <w:p w14:paraId="5305EC1A">
            <w:pPr>
              <w:spacing w:line="360" w:lineRule="exact"/>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表4-14  噪声预测结果</w:t>
            </w:r>
          </w:p>
          <w:tbl>
            <w:tblPr>
              <w:tblStyle w:val="31"/>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715"/>
              <w:gridCol w:w="740"/>
              <w:gridCol w:w="1365"/>
              <w:gridCol w:w="1333"/>
              <w:gridCol w:w="1146"/>
              <w:gridCol w:w="1146"/>
              <w:gridCol w:w="1146"/>
              <w:gridCol w:w="711"/>
            </w:tblGrid>
            <w:tr w14:paraId="017842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431" w:type="pct"/>
                  <w:tcBorders>
                    <w:tl2br w:val="nil"/>
                    <w:tr2bl w:val="nil"/>
                  </w:tcBorders>
                  <w:vAlign w:val="center"/>
                </w:tcPr>
                <w:p w14:paraId="71AFD42F">
                  <w:pPr>
                    <w:widowControl/>
                    <w:jc w:val="center"/>
                    <w:textAlignment w:val="bottom"/>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预测点位</w:t>
                  </w:r>
                </w:p>
              </w:tc>
              <w:tc>
                <w:tcPr>
                  <w:tcW w:w="446" w:type="pct"/>
                  <w:tcBorders>
                    <w:tl2br w:val="nil"/>
                    <w:tr2bl w:val="nil"/>
                  </w:tcBorders>
                  <w:vAlign w:val="center"/>
                </w:tcPr>
                <w:p w14:paraId="5F126D93">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源强</w:t>
                  </w:r>
                </w:p>
              </w:tc>
              <w:tc>
                <w:tcPr>
                  <w:tcW w:w="821" w:type="pct"/>
                  <w:tcBorders>
                    <w:tl2br w:val="nil"/>
                    <w:tr2bl w:val="nil"/>
                  </w:tcBorders>
                  <w:vAlign w:val="center"/>
                </w:tcPr>
                <w:p w14:paraId="20047F3B">
                  <w:pPr>
                    <w:widowControl/>
                    <w:jc w:val="center"/>
                    <w:textAlignment w:val="bottom"/>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噪声源到厂界距离（m）</w:t>
                  </w:r>
                </w:p>
              </w:tc>
              <w:tc>
                <w:tcPr>
                  <w:tcW w:w="802" w:type="pct"/>
                  <w:tcBorders>
                    <w:tl2br w:val="nil"/>
                    <w:tr2bl w:val="nil"/>
                  </w:tcBorders>
                  <w:vAlign w:val="center"/>
                </w:tcPr>
                <w:p w14:paraId="119E3A30">
                  <w:pPr>
                    <w:widowControl/>
                    <w:jc w:val="center"/>
                    <w:textAlignment w:val="bottom"/>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本项目贡献值</w:t>
                  </w:r>
                  <w:r>
                    <w:rPr>
                      <w:bCs/>
                      <w:color w:val="000000" w:themeColor="text1"/>
                      <w:szCs w:val="21"/>
                      <w14:textFill>
                        <w14:solidFill>
                          <w14:schemeClr w14:val="tx1"/>
                        </w14:solidFill>
                      </w14:textFill>
                    </w:rPr>
                    <w:t>（dB(A)</w:t>
                  </w:r>
                </w:p>
              </w:tc>
              <w:tc>
                <w:tcPr>
                  <w:tcW w:w="689" w:type="pct"/>
                  <w:tcBorders>
                    <w:tl2br w:val="nil"/>
                    <w:tr2bl w:val="nil"/>
                  </w:tcBorders>
                  <w:vAlign w:val="center"/>
                </w:tcPr>
                <w:p w14:paraId="64C25669">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现有项目贡献值</w:t>
                  </w:r>
                  <w:r>
                    <w:rPr>
                      <w:bCs/>
                      <w:color w:val="000000" w:themeColor="text1"/>
                      <w:szCs w:val="21"/>
                      <w14:textFill>
                        <w14:solidFill>
                          <w14:schemeClr w14:val="tx1"/>
                        </w14:solidFill>
                      </w14:textFill>
                    </w:rPr>
                    <w:t>（dB(A)</w:t>
                  </w:r>
                </w:p>
              </w:tc>
              <w:tc>
                <w:tcPr>
                  <w:tcW w:w="689" w:type="pct"/>
                  <w:tcBorders>
                    <w:tl2br w:val="nil"/>
                    <w:tr2bl w:val="nil"/>
                  </w:tcBorders>
                  <w:vAlign w:val="center"/>
                </w:tcPr>
                <w:p w14:paraId="6C12BFDF">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建成后全厂预测值</w:t>
                  </w:r>
                </w:p>
              </w:tc>
              <w:tc>
                <w:tcPr>
                  <w:tcW w:w="689" w:type="pct"/>
                  <w:tcBorders>
                    <w:tl2br w:val="nil"/>
                    <w:tr2bl w:val="nil"/>
                  </w:tcBorders>
                  <w:vAlign w:val="center"/>
                </w:tcPr>
                <w:p w14:paraId="3CF96300">
                  <w:pPr>
                    <w:widowControl/>
                    <w:jc w:val="center"/>
                    <w:textAlignment w:val="bottom"/>
                    <w:rPr>
                      <w:color w:val="000000" w:themeColor="text1"/>
                      <w:szCs w:val="21"/>
                      <w14:textFill>
                        <w14:solidFill>
                          <w14:schemeClr w14:val="tx1"/>
                        </w14:solidFill>
                      </w14:textFill>
                    </w:rPr>
                  </w:pPr>
                  <w:r>
                    <w:rPr>
                      <w:color w:val="000000" w:themeColor="text1"/>
                      <w:szCs w:val="21"/>
                      <w14:textFill>
                        <w14:solidFill>
                          <w14:schemeClr w14:val="tx1"/>
                        </w14:solidFill>
                      </w14:textFill>
                    </w:rPr>
                    <w:t>标准值</w:t>
                  </w:r>
                </w:p>
              </w:tc>
              <w:tc>
                <w:tcPr>
                  <w:tcW w:w="428" w:type="pct"/>
                  <w:tcBorders>
                    <w:tl2br w:val="nil"/>
                    <w:tr2bl w:val="nil"/>
                  </w:tcBorders>
                  <w:vAlign w:val="center"/>
                </w:tcPr>
                <w:p w14:paraId="00555229">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u w:color="000000"/>
                      <w14:textFill>
                        <w14:solidFill>
                          <w14:schemeClr w14:val="tx1"/>
                        </w14:solidFill>
                      </w14:textFill>
                    </w:rPr>
                    <w:t>达标情况</w:t>
                  </w:r>
                </w:p>
              </w:tc>
            </w:tr>
            <w:tr w14:paraId="3F6147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431" w:type="pct"/>
                  <w:tcBorders>
                    <w:tl2br w:val="nil"/>
                    <w:tr2bl w:val="nil"/>
                  </w:tcBorders>
                  <w:vAlign w:val="center"/>
                </w:tcPr>
                <w:p w14:paraId="4E8683FC">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东</w:t>
                  </w:r>
                </w:p>
              </w:tc>
              <w:tc>
                <w:tcPr>
                  <w:tcW w:w="446" w:type="pct"/>
                  <w:vMerge w:val="restart"/>
                  <w:tcBorders>
                    <w:tl2br w:val="nil"/>
                    <w:tr2bl w:val="nil"/>
                  </w:tcBorders>
                  <w:vAlign w:val="center"/>
                </w:tcPr>
                <w:p w14:paraId="7A5D127F">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57</w:t>
                  </w:r>
                </w:p>
              </w:tc>
              <w:tc>
                <w:tcPr>
                  <w:tcW w:w="821" w:type="pct"/>
                  <w:tcBorders>
                    <w:tl2br w:val="nil"/>
                    <w:tr2bl w:val="nil"/>
                  </w:tcBorders>
                  <w:vAlign w:val="center"/>
                </w:tcPr>
                <w:p w14:paraId="678A39DC">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68</w:t>
                  </w:r>
                </w:p>
              </w:tc>
              <w:tc>
                <w:tcPr>
                  <w:tcW w:w="802" w:type="pct"/>
                  <w:tcBorders>
                    <w:tl2br w:val="nil"/>
                    <w:tr2bl w:val="nil"/>
                  </w:tcBorders>
                  <w:vAlign w:val="center"/>
                </w:tcPr>
                <w:p w14:paraId="02501FED">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20</w:t>
                  </w:r>
                </w:p>
              </w:tc>
              <w:tc>
                <w:tcPr>
                  <w:tcW w:w="689" w:type="pct"/>
                  <w:tcBorders>
                    <w:tl2br w:val="nil"/>
                    <w:tr2bl w:val="nil"/>
                  </w:tcBorders>
                  <w:vAlign w:val="center"/>
                </w:tcPr>
                <w:p w14:paraId="33E99B30">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48</w:t>
                  </w:r>
                </w:p>
              </w:tc>
              <w:tc>
                <w:tcPr>
                  <w:tcW w:w="689" w:type="pct"/>
                  <w:tcBorders>
                    <w:tl2br w:val="nil"/>
                    <w:tr2bl w:val="nil"/>
                  </w:tcBorders>
                  <w:vAlign w:val="center"/>
                </w:tcPr>
                <w:p w14:paraId="4A5C134D">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48</w:t>
                  </w:r>
                </w:p>
              </w:tc>
              <w:tc>
                <w:tcPr>
                  <w:tcW w:w="689" w:type="pct"/>
                  <w:vMerge w:val="restart"/>
                  <w:tcBorders>
                    <w:tl2br w:val="nil"/>
                    <w:tr2bl w:val="nil"/>
                  </w:tcBorders>
                  <w:vAlign w:val="center"/>
                </w:tcPr>
                <w:p w14:paraId="292F6FA7">
                  <w:pPr>
                    <w:widowControl/>
                    <w:jc w:val="center"/>
                    <w:textAlignment w:val="bottom"/>
                    <w:rPr>
                      <w:color w:val="000000" w:themeColor="text1"/>
                      <w:szCs w:val="21"/>
                      <w14:textFill>
                        <w14:solidFill>
                          <w14:schemeClr w14:val="tx1"/>
                        </w14:solidFill>
                      </w14:textFill>
                    </w:rPr>
                  </w:pPr>
                  <w:r>
                    <w:rPr>
                      <w:color w:val="000000" w:themeColor="text1"/>
                      <w:szCs w:val="21"/>
                      <w14:textFill>
                        <w14:solidFill>
                          <w14:schemeClr w14:val="tx1"/>
                        </w14:solidFill>
                      </w14:textFill>
                    </w:rPr>
                    <w:t>昼间≦55dB(A)</w:t>
                  </w:r>
                </w:p>
              </w:tc>
              <w:tc>
                <w:tcPr>
                  <w:tcW w:w="428" w:type="pct"/>
                  <w:vMerge w:val="restart"/>
                  <w:tcBorders>
                    <w:tl2br w:val="nil"/>
                    <w:tr2bl w:val="nil"/>
                  </w:tcBorders>
                  <w:vAlign w:val="center"/>
                </w:tcPr>
                <w:p w14:paraId="32C86AA5">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达标</w:t>
                  </w:r>
                </w:p>
              </w:tc>
            </w:tr>
            <w:tr w14:paraId="1DE462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431" w:type="pct"/>
                  <w:tcBorders>
                    <w:tl2br w:val="nil"/>
                    <w:tr2bl w:val="nil"/>
                  </w:tcBorders>
                  <w:vAlign w:val="center"/>
                </w:tcPr>
                <w:p w14:paraId="18E2C816">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南</w:t>
                  </w:r>
                </w:p>
              </w:tc>
              <w:tc>
                <w:tcPr>
                  <w:tcW w:w="446" w:type="pct"/>
                  <w:vMerge w:val="continue"/>
                  <w:tcBorders>
                    <w:tl2br w:val="nil"/>
                    <w:tr2bl w:val="nil"/>
                  </w:tcBorders>
                  <w:vAlign w:val="center"/>
                </w:tcPr>
                <w:p w14:paraId="578D204F">
                  <w:pPr>
                    <w:widowControl/>
                    <w:jc w:val="center"/>
                    <w:textAlignment w:val="bottom"/>
                    <w:rPr>
                      <w:color w:val="000000" w:themeColor="text1"/>
                      <w:kern w:val="0"/>
                      <w:szCs w:val="21"/>
                      <w:lang w:bidi="ar"/>
                      <w14:textFill>
                        <w14:solidFill>
                          <w14:schemeClr w14:val="tx1"/>
                        </w14:solidFill>
                      </w14:textFill>
                    </w:rPr>
                  </w:pPr>
                </w:p>
              </w:tc>
              <w:tc>
                <w:tcPr>
                  <w:tcW w:w="821" w:type="pct"/>
                  <w:tcBorders>
                    <w:tl2br w:val="nil"/>
                    <w:tr2bl w:val="nil"/>
                  </w:tcBorders>
                  <w:vAlign w:val="center"/>
                </w:tcPr>
                <w:p w14:paraId="4F000DAE">
                  <w:pPr>
                    <w:widowControl/>
                    <w:jc w:val="center"/>
                    <w:textAlignment w:val="bottom"/>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2</w:t>
                  </w:r>
                </w:p>
              </w:tc>
              <w:tc>
                <w:tcPr>
                  <w:tcW w:w="802" w:type="pct"/>
                  <w:tcBorders>
                    <w:tl2br w:val="nil"/>
                    <w:tr2bl w:val="nil"/>
                  </w:tcBorders>
                  <w:vAlign w:val="center"/>
                </w:tcPr>
                <w:p w14:paraId="5D24B6E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51</w:t>
                  </w:r>
                </w:p>
              </w:tc>
              <w:tc>
                <w:tcPr>
                  <w:tcW w:w="689" w:type="pct"/>
                  <w:tcBorders>
                    <w:tl2br w:val="nil"/>
                    <w:tr2bl w:val="nil"/>
                  </w:tcBorders>
                  <w:vAlign w:val="center"/>
                </w:tcPr>
                <w:p w14:paraId="3F296D99">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47</w:t>
                  </w:r>
                </w:p>
              </w:tc>
              <w:tc>
                <w:tcPr>
                  <w:tcW w:w="689" w:type="pct"/>
                  <w:tcBorders>
                    <w:tl2br w:val="nil"/>
                    <w:tr2bl w:val="nil"/>
                  </w:tcBorders>
                  <w:vAlign w:val="center"/>
                </w:tcPr>
                <w:p w14:paraId="27B481C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52</w:t>
                  </w:r>
                </w:p>
              </w:tc>
              <w:tc>
                <w:tcPr>
                  <w:tcW w:w="689" w:type="pct"/>
                  <w:vMerge w:val="continue"/>
                  <w:tcBorders>
                    <w:tl2br w:val="nil"/>
                    <w:tr2bl w:val="nil"/>
                  </w:tcBorders>
                  <w:vAlign w:val="center"/>
                </w:tcPr>
                <w:p w14:paraId="0747979E">
                  <w:pPr>
                    <w:widowControl/>
                    <w:jc w:val="center"/>
                    <w:textAlignment w:val="center"/>
                    <w:rPr>
                      <w:color w:val="000000" w:themeColor="text1"/>
                      <w:szCs w:val="21"/>
                      <w14:textFill>
                        <w14:solidFill>
                          <w14:schemeClr w14:val="tx1"/>
                        </w14:solidFill>
                      </w14:textFill>
                    </w:rPr>
                  </w:pPr>
                </w:p>
              </w:tc>
              <w:tc>
                <w:tcPr>
                  <w:tcW w:w="428" w:type="pct"/>
                  <w:vMerge w:val="continue"/>
                  <w:tcBorders>
                    <w:tl2br w:val="nil"/>
                    <w:tr2bl w:val="nil"/>
                  </w:tcBorders>
                  <w:vAlign w:val="center"/>
                </w:tcPr>
                <w:p w14:paraId="3E039896">
                  <w:pPr>
                    <w:widowControl/>
                    <w:jc w:val="center"/>
                    <w:textAlignment w:val="bottom"/>
                    <w:rPr>
                      <w:color w:val="000000" w:themeColor="text1"/>
                      <w:kern w:val="0"/>
                      <w:szCs w:val="21"/>
                      <w:lang w:bidi="ar"/>
                      <w14:textFill>
                        <w14:solidFill>
                          <w14:schemeClr w14:val="tx1"/>
                        </w14:solidFill>
                      </w14:textFill>
                    </w:rPr>
                  </w:pPr>
                </w:p>
              </w:tc>
            </w:tr>
            <w:tr w14:paraId="688999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431" w:type="pct"/>
                  <w:tcBorders>
                    <w:tl2br w:val="nil"/>
                    <w:tr2bl w:val="nil"/>
                  </w:tcBorders>
                  <w:vAlign w:val="center"/>
                </w:tcPr>
                <w:p w14:paraId="218F1587">
                  <w:pPr>
                    <w:widowControl/>
                    <w:jc w:val="center"/>
                    <w:textAlignment w:val="bottom"/>
                    <w:rPr>
                      <w:color w:val="000000" w:themeColor="text1"/>
                      <w:szCs w:val="21"/>
                      <w14:textFill>
                        <w14:solidFill>
                          <w14:schemeClr w14:val="tx1"/>
                        </w14:solidFill>
                      </w14:textFill>
                    </w:rPr>
                  </w:pPr>
                  <w:r>
                    <w:rPr>
                      <w:color w:val="000000" w:themeColor="text1"/>
                      <w:szCs w:val="21"/>
                      <w14:textFill>
                        <w14:solidFill>
                          <w14:schemeClr w14:val="tx1"/>
                        </w14:solidFill>
                      </w14:textFill>
                    </w:rPr>
                    <w:t>西</w:t>
                  </w:r>
                </w:p>
              </w:tc>
              <w:tc>
                <w:tcPr>
                  <w:tcW w:w="446" w:type="pct"/>
                  <w:vMerge w:val="continue"/>
                  <w:tcBorders>
                    <w:tl2br w:val="nil"/>
                    <w:tr2bl w:val="nil"/>
                  </w:tcBorders>
                  <w:vAlign w:val="center"/>
                </w:tcPr>
                <w:p w14:paraId="7D594D6E">
                  <w:pPr>
                    <w:widowControl/>
                    <w:jc w:val="center"/>
                    <w:textAlignment w:val="bottom"/>
                    <w:rPr>
                      <w:color w:val="000000" w:themeColor="text1"/>
                      <w:kern w:val="0"/>
                      <w:szCs w:val="21"/>
                      <w:lang w:bidi="ar"/>
                      <w14:textFill>
                        <w14:solidFill>
                          <w14:schemeClr w14:val="tx1"/>
                        </w14:solidFill>
                      </w14:textFill>
                    </w:rPr>
                  </w:pPr>
                </w:p>
              </w:tc>
              <w:tc>
                <w:tcPr>
                  <w:tcW w:w="821" w:type="pct"/>
                  <w:tcBorders>
                    <w:tl2br w:val="nil"/>
                    <w:tr2bl w:val="nil"/>
                  </w:tcBorders>
                  <w:vAlign w:val="center"/>
                </w:tcPr>
                <w:p w14:paraId="5CDC7E0B">
                  <w:pPr>
                    <w:widowControl/>
                    <w:jc w:val="center"/>
                    <w:textAlignment w:val="bottom"/>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802" w:type="pct"/>
                  <w:tcBorders>
                    <w:tl2br w:val="nil"/>
                    <w:tr2bl w:val="nil"/>
                  </w:tcBorders>
                  <w:vAlign w:val="center"/>
                </w:tcPr>
                <w:p w14:paraId="1CA6B021">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51</w:t>
                  </w:r>
                </w:p>
              </w:tc>
              <w:tc>
                <w:tcPr>
                  <w:tcW w:w="689" w:type="pct"/>
                  <w:tcBorders>
                    <w:tl2br w:val="nil"/>
                    <w:tr2bl w:val="nil"/>
                  </w:tcBorders>
                  <w:vAlign w:val="center"/>
                </w:tcPr>
                <w:p w14:paraId="5F148271">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44</w:t>
                  </w:r>
                </w:p>
              </w:tc>
              <w:tc>
                <w:tcPr>
                  <w:tcW w:w="689" w:type="pct"/>
                  <w:tcBorders>
                    <w:tl2br w:val="nil"/>
                    <w:tr2bl w:val="nil"/>
                  </w:tcBorders>
                  <w:vAlign w:val="center"/>
                </w:tcPr>
                <w:p w14:paraId="73FFF96F">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52</w:t>
                  </w:r>
                </w:p>
              </w:tc>
              <w:tc>
                <w:tcPr>
                  <w:tcW w:w="689" w:type="pct"/>
                  <w:vMerge w:val="continue"/>
                  <w:tcBorders>
                    <w:tl2br w:val="nil"/>
                    <w:tr2bl w:val="nil"/>
                  </w:tcBorders>
                  <w:vAlign w:val="center"/>
                </w:tcPr>
                <w:p w14:paraId="76B1EE64">
                  <w:pPr>
                    <w:widowControl/>
                    <w:jc w:val="center"/>
                    <w:textAlignment w:val="bottom"/>
                    <w:rPr>
                      <w:color w:val="000000" w:themeColor="text1"/>
                      <w:szCs w:val="21"/>
                      <w14:textFill>
                        <w14:solidFill>
                          <w14:schemeClr w14:val="tx1"/>
                        </w14:solidFill>
                      </w14:textFill>
                    </w:rPr>
                  </w:pPr>
                </w:p>
              </w:tc>
              <w:tc>
                <w:tcPr>
                  <w:tcW w:w="428" w:type="pct"/>
                  <w:vMerge w:val="continue"/>
                  <w:tcBorders>
                    <w:tl2br w:val="nil"/>
                    <w:tr2bl w:val="nil"/>
                  </w:tcBorders>
                  <w:vAlign w:val="center"/>
                </w:tcPr>
                <w:p w14:paraId="46935273">
                  <w:pPr>
                    <w:widowControl/>
                    <w:jc w:val="center"/>
                    <w:textAlignment w:val="bottom"/>
                    <w:rPr>
                      <w:color w:val="000000" w:themeColor="text1"/>
                      <w:kern w:val="0"/>
                      <w:szCs w:val="21"/>
                      <w:lang w:bidi="ar"/>
                      <w14:textFill>
                        <w14:solidFill>
                          <w14:schemeClr w14:val="tx1"/>
                        </w14:solidFill>
                      </w14:textFill>
                    </w:rPr>
                  </w:pPr>
                </w:p>
              </w:tc>
            </w:tr>
            <w:tr w14:paraId="1AD440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431" w:type="pct"/>
                  <w:tcBorders>
                    <w:tl2br w:val="nil"/>
                    <w:tr2bl w:val="nil"/>
                  </w:tcBorders>
                  <w:vAlign w:val="center"/>
                </w:tcPr>
                <w:p w14:paraId="593210B1">
                  <w:pPr>
                    <w:widowControl/>
                    <w:jc w:val="center"/>
                    <w:textAlignment w:val="bottom"/>
                    <w:rPr>
                      <w:color w:val="000000" w:themeColor="text1"/>
                      <w:szCs w:val="21"/>
                      <w14:textFill>
                        <w14:solidFill>
                          <w14:schemeClr w14:val="tx1"/>
                        </w14:solidFill>
                      </w14:textFill>
                    </w:rPr>
                  </w:pPr>
                  <w:r>
                    <w:rPr>
                      <w:color w:val="000000" w:themeColor="text1"/>
                      <w:szCs w:val="21"/>
                      <w14:textFill>
                        <w14:solidFill>
                          <w14:schemeClr w14:val="tx1"/>
                        </w14:solidFill>
                      </w14:textFill>
                    </w:rPr>
                    <w:t>北</w:t>
                  </w:r>
                </w:p>
              </w:tc>
              <w:tc>
                <w:tcPr>
                  <w:tcW w:w="446" w:type="pct"/>
                  <w:vMerge w:val="continue"/>
                  <w:tcBorders>
                    <w:tl2br w:val="nil"/>
                    <w:tr2bl w:val="nil"/>
                  </w:tcBorders>
                  <w:vAlign w:val="center"/>
                </w:tcPr>
                <w:p w14:paraId="3AA8E1DF">
                  <w:pPr>
                    <w:widowControl/>
                    <w:jc w:val="center"/>
                    <w:textAlignment w:val="bottom"/>
                    <w:rPr>
                      <w:color w:val="000000" w:themeColor="text1"/>
                      <w:kern w:val="0"/>
                      <w:szCs w:val="21"/>
                      <w:lang w:bidi="ar"/>
                      <w14:textFill>
                        <w14:solidFill>
                          <w14:schemeClr w14:val="tx1"/>
                        </w14:solidFill>
                      </w14:textFill>
                    </w:rPr>
                  </w:pPr>
                </w:p>
              </w:tc>
              <w:tc>
                <w:tcPr>
                  <w:tcW w:w="821" w:type="pct"/>
                  <w:tcBorders>
                    <w:tl2br w:val="nil"/>
                    <w:tr2bl w:val="nil"/>
                  </w:tcBorders>
                  <w:vAlign w:val="center"/>
                </w:tcPr>
                <w:p w14:paraId="005C2CC9">
                  <w:pPr>
                    <w:widowControl/>
                    <w:jc w:val="center"/>
                    <w:textAlignment w:val="bottom"/>
                    <w:rPr>
                      <w:color w:val="000000" w:themeColor="text1"/>
                      <w:szCs w:val="21"/>
                      <w14:textFill>
                        <w14:solidFill>
                          <w14:schemeClr w14:val="tx1"/>
                        </w14:solidFill>
                      </w14:textFill>
                    </w:rPr>
                  </w:pPr>
                  <w:r>
                    <w:rPr>
                      <w:color w:val="000000" w:themeColor="text1"/>
                      <w:szCs w:val="21"/>
                      <w14:textFill>
                        <w14:solidFill>
                          <w14:schemeClr w14:val="tx1"/>
                        </w14:solidFill>
                      </w14:textFill>
                    </w:rPr>
                    <w:t>53</w:t>
                  </w:r>
                </w:p>
              </w:tc>
              <w:tc>
                <w:tcPr>
                  <w:tcW w:w="802" w:type="pct"/>
                  <w:tcBorders>
                    <w:tl2br w:val="nil"/>
                    <w:tr2bl w:val="nil"/>
                  </w:tcBorders>
                  <w:vAlign w:val="center"/>
                </w:tcPr>
                <w:p w14:paraId="319A8E12">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23</w:t>
                  </w:r>
                </w:p>
              </w:tc>
              <w:tc>
                <w:tcPr>
                  <w:tcW w:w="689" w:type="pct"/>
                  <w:tcBorders>
                    <w:tl2br w:val="nil"/>
                    <w:tr2bl w:val="nil"/>
                  </w:tcBorders>
                  <w:vAlign w:val="center"/>
                </w:tcPr>
                <w:p w14:paraId="0B99F70C">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32</w:t>
                  </w:r>
                </w:p>
              </w:tc>
              <w:tc>
                <w:tcPr>
                  <w:tcW w:w="689" w:type="pct"/>
                  <w:tcBorders>
                    <w:tl2br w:val="nil"/>
                    <w:tr2bl w:val="nil"/>
                  </w:tcBorders>
                  <w:vAlign w:val="center"/>
                </w:tcPr>
                <w:p w14:paraId="378C70BB">
                  <w:pPr>
                    <w:widowControl/>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33</w:t>
                  </w:r>
                </w:p>
              </w:tc>
              <w:tc>
                <w:tcPr>
                  <w:tcW w:w="689" w:type="pct"/>
                  <w:vMerge w:val="continue"/>
                  <w:tcBorders>
                    <w:tl2br w:val="nil"/>
                    <w:tr2bl w:val="nil"/>
                  </w:tcBorders>
                  <w:vAlign w:val="center"/>
                </w:tcPr>
                <w:p w14:paraId="3E7709AA">
                  <w:pPr>
                    <w:widowControl/>
                    <w:jc w:val="center"/>
                    <w:textAlignment w:val="bottom"/>
                    <w:rPr>
                      <w:color w:val="000000" w:themeColor="text1"/>
                      <w:szCs w:val="21"/>
                      <w14:textFill>
                        <w14:solidFill>
                          <w14:schemeClr w14:val="tx1"/>
                        </w14:solidFill>
                      </w14:textFill>
                    </w:rPr>
                  </w:pPr>
                </w:p>
              </w:tc>
              <w:tc>
                <w:tcPr>
                  <w:tcW w:w="428" w:type="pct"/>
                  <w:vMerge w:val="continue"/>
                  <w:tcBorders>
                    <w:tl2br w:val="nil"/>
                    <w:tr2bl w:val="nil"/>
                  </w:tcBorders>
                  <w:vAlign w:val="center"/>
                </w:tcPr>
                <w:p w14:paraId="1E53D7EB">
                  <w:pPr>
                    <w:widowControl/>
                    <w:jc w:val="center"/>
                    <w:textAlignment w:val="bottom"/>
                    <w:rPr>
                      <w:color w:val="000000" w:themeColor="text1"/>
                      <w:kern w:val="0"/>
                      <w:szCs w:val="21"/>
                      <w:lang w:bidi="ar"/>
                      <w14:textFill>
                        <w14:solidFill>
                          <w14:schemeClr w14:val="tx1"/>
                        </w14:solidFill>
                      </w14:textFill>
                    </w:rPr>
                  </w:pPr>
                </w:p>
              </w:tc>
            </w:tr>
          </w:tbl>
          <w:p w14:paraId="4324A6EE">
            <w:pPr>
              <w:spacing w:line="360" w:lineRule="exact"/>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表4-1</w:t>
            </w:r>
            <w:r>
              <w:rPr>
                <w:rFonts w:hint="eastAsia"/>
                <w:b/>
                <w:bCs/>
                <w:color w:val="000000" w:themeColor="text1"/>
                <w:szCs w:val="21"/>
                <w14:textFill>
                  <w14:solidFill>
                    <w14:schemeClr w14:val="tx1"/>
                  </w14:solidFill>
                </w14:textFill>
              </w:rPr>
              <w:t>5</w:t>
            </w:r>
            <w:r>
              <w:rPr>
                <w:b/>
                <w:bCs/>
                <w:color w:val="000000" w:themeColor="text1"/>
                <w:szCs w:val="21"/>
                <w14:textFill>
                  <w14:solidFill>
                    <w14:schemeClr w14:val="tx1"/>
                  </w14:solidFill>
                </w14:textFill>
              </w:rPr>
              <w:t xml:space="preserve">  声环境保护目标噪声预测结果</w:t>
            </w:r>
          </w:p>
          <w:tbl>
            <w:tblPr>
              <w:tblStyle w:val="32"/>
              <w:tblW w:w="8273"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005"/>
              <w:gridCol w:w="1331"/>
              <w:gridCol w:w="1350"/>
              <w:gridCol w:w="1238"/>
              <w:gridCol w:w="1087"/>
              <w:gridCol w:w="1088"/>
            </w:tblGrid>
            <w:tr w14:paraId="0E5F8C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tcBorders>
                    <w:tl2br w:val="nil"/>
                    <w:tr2bl w:val="nil"/>
                  </w:tcBorders>
                  <w:vAlign w:val="center"/>
                </w:tcPr>
                <w:p w14:paraId="6B429B34">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保护目标名称</w:t>
                  </w:r>
                </w:p>
              </w:tc>
              <w:tc>
                <w:tcPr>
                  <w:tcW w:w="1005" w:type="dxa"/>
                  <w:tcBorders>
                    <w:tl2br w:val="nil"/>
                    <w:tr2bl w:val="nil"/>
                  </w:tcBorders>
                  <w:vAlign w:val="center"/>
                </w:tcPr>
                <w:p w14:paraId="7CA60B00">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时段</w:t>
                  </w:r>
                </w:p>
              </w:tc>
              <w:tc>
                <w:tcPr>
                  <w:tcW w:w="1331" w:type="dxa"/>
                  <w:tcBorders>
                    <w:tl2br w:val="nil"/>
                    <w:tr2bl w:val="nil"/>
                  </w:tcBorders>
                  <w:vAlign w:val="center"/>
                </w:tcPr>
                <w:p w14:paraId="04ACE097">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噪声背景值/（dB(A)）</w:t>
                  </w:r>
                </w:p>
              </w:tc>
              <w:tc>
                <w:tcPr>
                  <w:tcW w:w="1350" w:type="dxa"/>
                  <w:tcBorders>
                    <w:tl2br w:val="nil"/>
                    <w:tr2bl w:val="nil"/>
                  </w:tcBorders>
                  <w:vAlign w:val="center"/>
                </w:tcPr>
                <w:p w14:paraId="73B5ACDC">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噪声贡献值/（dB(A)</w:t>
                  </w:r>
                </w:p>
              </w:tc>
              <w:tc>
                <w:tcPr>
                  <w:tcW w:w="1238" w:type="dxa"/>
                  <w:tcBorders>
                    <w:tl2br w:val="nil"/>
                    <w:tr2bl w:val="nil"/>
                  </w:tcBorders>
                  <w:vAlign w:val="center"/>
                </w:tcPr>
                <w:p w14:paraId="63FB8B4A">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噪声预测值/（dB(A)</w:t>
                  </w:r>
                </w:p>
              </w:tc>
              <w:tc>
                <w:tcPr>
                  <w:tcW w:w="1087" w:type="dxa"/>
                  <w:tcBorders>
                    <w:tl2br w:val="nil"/>
                    <w:tr2bl w:val="nil"/>
                  </w:tcBorders>
                  <w:vAlign w:val="center"/>
                </w:tcPr>
                <w:p w14:paraId="0F7869EB">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标准值</w:t>
                  </w:r>
                </w:p>
              </w:tc>
              <w:tc>
                <w:tcPr>
                  <w:tcW w:w="1088" w:type="dxa"/>
                  <w:tcBorders>
                    <w:tl2br w:val="nil"/>
                    <w:tr2bl w:val="nil"/>
                  </w:tcBorders>
                  <w:vAlign w:val="center"/>
                </w:tcPr>
                <w:p w14:paraId="53917785">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达标情况</w:t>
                  </w:r>
                </w:p>
              </w:tc>
            </w:tr>
            <w:tr w14:paraId="536F1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restart"/>
                  <w:tcBorders>
                    <w:tl2br w:val="nil"/>
                    <w:tr2bl w:val="nil"/>
                  </w:tcBorders>
                  <w:vAlign w:val="center"/>
                </w:tcPr>
                <w:p w14:paraId="40BE10B7">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峡河村项目东侧）</w:t>
                  </w:r>
                </w:p>
              </w:tc>
              <w:tc>
                <w:tcPr>
                  <w:tcW w:w="1005" w:type="dxa"/>
                  <w:tcBorders>
                    <w:tl2br w:val="nil"/>
                    <w:tr2bl w:val="nil"/>
                  </w:tcBorders>
                  <w:vAlign w:val="center"/>
                </w:tcPr>
                <w:p w14:paraId="38A404E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1331" w:type="dxa"/>
                  <w:tcBorders>
                    <w:tl2br w:val="nil"/>
                    <w:tr2bl w:val="nil"/>
                  </w:tcBorders>
                  <w:vAlign w:val="center"/>
                </w:tcPr>
                <w:p w14:paraId="495B73A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w:t>
                  </w:r>
                </w:p>
              </w:tc>
              <w:tc>
                <w:tcPr>
                  <w:tcW w:w="1350" w:type="dxa"/>
                  <w:tcBorders>
                    <w:tl2br w:val="nil"/>
                    <w:tr2bl w:val="nil"/>
                  </w:tcBorders>
                  <w:vAlign w:val="center"/>
                </w:tcPr>
                <w:p w14:paraId="19444D4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48</w:t>
                  </w:r>
                </w:p>
              </w:tc>
              <w:tc>
                <w:tcPr>
                  <w:tcW w:w="1238" w:type="dxa"/>
                  <w:tcBorders>
                    <w:tl2br w:val="nil"/>
                    <w:tr2bl w:val="nil"/>
                  </w:tcBorders>
                  <w:vAlign w:val="center"/>
                </w:tcPr>
                <w:p w14:paraId="39B9733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51</w:t>
                  </w:r>
                </w:p>
              </w:tc>
              <w:tc>
                <w:tcPr>
                  <w:tcW w:w="1087" w:type="dxa"/>
                  <w:vMerge w:val="restart"/>
                  <w:tcBorders>
                    <w:tl2br w:val="nil"/>
                    <w:tr2bl w:val="nil"/>
                  </w:tcBorders>
                  <w:vAlign w:val="center"/>
                </w:tcPr>
                <w:p w14:paraId="1EE15485">
                  <w:pPr>
                    <w:widowControl/>
                    <w:jc w:val="center"/>
                    <w:textAlignment w:val="bottom"/>
                    <w:rPr>
                      <w:b/>
                      <w:bCs/>
                      <w:color w:val="000000" w:themeColor="text1"/>
                      <w:szCs w:val="21"/>
                      <w14:textFill>
                        <w14:solidFill>
                          <w14:schemeClr w14:val="tx1"/>
                        </w14:solidFill>
                      </w14:textFill>
                    </w:rPr>
                  </w:pPr>
                  <w:r>
                    <w:rPr>
                      <w:color w:val="000000" w:themeColor="text1"/>
                      <w:szCs w:val="21"/>
                      <w14:textFill>
                        <w14:solidFill>
                          <w14:schemeClr w14:val="tx1"/>
                        </w14:solidFill>
                      </w14:textFill>
                    </w:rPr>
                    <w:t>昼间≦55dB</w:t>
                  </w:r>
                </w:p>
              </w:tc>
              <w:tc>
                <w:tcPr>
                  <w:tcW w:w="1088" w:type="dxa"/>
                  <w:vMerge w:val="restart"/>
                  <w:tcBorders>
                    <w:tl2br w:val="nil"/>
                    <w:tr2bl w:val="nil"/>
                  </w:tcBorders>
                  <w:vAlign w:val="center"/>
                </w:tcPr>
                <w:p w14:paraId="53F15CB8">
                  <w:pPr>
                    <w:jc w:val="center"/>
                    <w:rPr>
                      <w:b/>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达标</w:t>
                  </w:r>
                </w:p>
              </w:tc>
            </w:tr>
            <w:tr w14:paraId="5E980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continue"/>
                  <w:tcBorders>
                    <w:tl2br w:val="nil"/>
                    <w:tr2bl w:val="nil"/>
                  </w:tcBorders>
                  <w:vAlign w:val="center"/>
                </w:tcPr>
                <w:p w14:paraId="71608218">
                  <w:pPr>
                    <w:jc w:val="center"/>
                    <w:rPr>
                      <w:color w:val="000000" w:themeColor="text1"/>
                      <w:kern w:val="0"/>
                      <w:szCs w:val="21"/>
                      <w:lang w:bidi="ar"/>
                      <w14:textFill>
                        <w14:solidFill>
                          <w14:schemeClr w14:val="tx1"/>
                        </w14:solidFill>
                      </w14:textFill>
                    </w:rPr>
                  </w:pPr>
                </w:p>
              </w:tc>
              <w:tc>
                <w:tcPr>
                  <w:tcW w:w="1005" w:type="dxa"/>
                  <w:tcBorders>
                    <w:tl2br w:val="nil"/>
                    <w:tr2bl w:val="nil"/>
                  </w:tcBorders>
                  <w:vAlign w:val="center"/>
                </w:tcPr>
                <w:p w14:paraId="174BD95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1331" w:type="dxa"/>
                  <w:tcBorders>
                    <w:tl2br w:val="nil"/>
                    <w:tr2bl w:val="nil"/>
                  </w:tcBorders>
                  <w:vAlign w:val="center"/>
                </w:tcPr>
                <w:p w14:paraId="7F87AED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c>
                <w:tcPr>
                  <w:tcW w:w="1350" w:type="dxa"/>
                  <w:tcBorders>
                    <w:tl2br w:val="nil"/>
                    <w:tr2bl w:val="nil"/>
                  </w:tcBorders>
                  <w:vAlign w:val="center"/>
                </w:tcPr>
                <w:p w14:paraId="633DEC5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238" w:type="dxa"/>
                  <w:tcBorders>
                    <w:tl2br w:val="nil"/>
                    <w:tr2bl w:val="nil"/>
                  </w:tcBorders>
                  <w:vAlign w:val="center"/>
                </w:tcPr>
                <w:p w14:paraId="63CE48B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c>
                <w:tcPr>
                  <w:tcW w:w="1087" w:type="dxa"/>
                  <w:vMerge w:val="continue"/>
                  <w:tcBorders>
                    <w:tl2br w:val="nil"/>
                    <w:tr2bl w:val="nil"/>
                  </w:tcBorders>
                  <w:vAlign w:val="center"/>
                </w:tcPr>
                <w:p w14:paraId="703FEAB4">
                  <w:pPr>
                    <w:jc w:val="center"/>
                    <w:rPr>
                      <w:b/>
                      <w:bCs/>
                      <w:color w:val="000000" w:themeColor="text1"/>
                      <w:szCs w:val="21"/>
                      <w14:textFill>
                        <w14:solidFill>
                          <w14:schemeClr w14:val="tx1"/>
                        </w14:solidFill>
                      </w14:textFill>
                    </w:rPr>
                  </w:pPr>
                </w:p>
              </w:tc>
              <w:tc>
                <w:tcPr>
                  <w:tcW w:w="1088" w:type="dxa"/>
                  <w:vMerge w:val="continue"/>
                  <w:tcBorders>
                    <w:tl2br w:val="nil"/>
                    <w:tr2bl w:val="nil"/>
                  </w:tcBorders>
                  <w:vAlign w:val="center"/>
                </w:tcPr>
                <w:p w14:paraId="762903A4">
                  <w:pPr>
                    <w:jc w:val="center"/>
                    <w:rPr>
                      <w:b/>
                      <w:bCs/>
                      <w:color w:val="000000" w:themeColor="text1"/>
                      <w:szCs w:val="21"/>
                      <w14:textFill>
                        <w14:solidFill>
                          <w14:schemeClr w14:val="tx1"/>
                        </w14:solidFill>
                      </w14:textFill>
                    </w:rPr>
                  </w:pPr>
                </w:p>
              </w:tc>
            </w:tr>
            <w:tr w14:paraId="7EC260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restart"/>
                  <w:tcBorders>
                    <w:tl2br w:val="nil"/>
                    <w:tr2bl w:val="nil"/>
                  </w:tcBorders>
                  <w:vAlign w:val="center"/>
                </w:tcPr>
                <w:p w14:paraId="4D5580EC">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峡河乡九年一贯制学校（项目南侧）</w:t>
                  </w:r>
                </w:p>
              </w:tc>
              <w:tc>
                <w:tcPr>
                  <w:tcW w:w="1005" w:type="dxa"/>
                  <w:tcBorders>
                    <w:tl2br w:val="nil"/>
                    <w:tr2bl w:val="nil"/>
                  </w:tcBorders>
                  <w:shd w:val="clear" w:color="auto" w:fill="auto"/>
                  <w:vAlign w:val="center"/>
                </w:tcPr>
                <w:p w14:paraId="54964CD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1331" w:type="dxa"/>
                  <w:tcBorders>
                    <w:tl2br w:val="nil"/>
                    <w:tr2bl w:val="nil"/>
                  </w:tcBorders>
                  <w:vAlign w:val="center"/>
                </w:tcPr>
                <w:p w14:paraId="19580E6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w:t>
                  </w:r>
                </w:p>
              </w:tc>
              <w:tc>
                <w:tcPr>
                  <w:tcW w:w="1350" w:type="dxa"/>
                  <w:tcBorders>
                    <w:tl2br w:val="nil"/>
                    <w:tr2bl w:val="nil"/>
                  </w:tcBorders>
                  <w:vAlign w:val="center"/>
                </w:tcPr>
                <w:p w14:paraId="33F7255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52</w:t>
                  </w:r>
                </w:p>
              </w:tc>
              <w:tc>
                <w:tcPr>
                  <w:tcW w:w="1238" w:type="dxa"/>
                  <w:tcBorders>
                    <w:tl2br w:val="nil"/>
                    <w:tr2bl w:val="nil"/>
                  </w:tcBorders>
                  <w:vAlign w:val="center"/>
                </w:tcPr>
                <w:p w14:paraId="6400BB7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51</w:t>
                  </w:r>
                </w:p>
              </w:tc>
              <w:tc>
                <w:tcPr>
                  <w:tcW w:w="1087" w:type="dxa"/>
                  <w:vMerge w:val="continue"/>
                  <w:tcBorders>
                    <w:tl2br w:val="nil"/>
                    <w:tr2bl w:val="nil"/>
                  </w:tcBorders>
                  <w:vAlign w:val="center"/>
                </w:tcPr>
                <w:p w14:paraId="7144F477">
                  <w:pPr>
                    <w:jc w:val="center"/>
                    <w:rPr>
                      <w:b/>
                      <w:bCs/>
                      <w:color w:val="000000" w:themeColor="text1"/>
                      <w:szCs w:val="21"/>
                      <w14:textFill>
                        <w14:solidFill>
                          <w14:schemeClr w14:val="tx1"/>
                        </w14:solidFill>
                      </w14:textFill>
                    </w:rPr>
                  </w:pPr>
                </w:p>
              </w:tc>
              <w:tc>
                <w:tcPr>
                  <w:tcW w:w="1088" w:type="dxa"/>
                  <w:vMerge w:val="continue"/>
                  <w:tcBorders>
                    <w:tl2br w:val="nil"/>
                    <w:tr2bl w:val="nil"/>
                  </w:tcBorders>
                  <w:vAlign w:val="center"/>
                </w:tcPr>
                <w:p w14:paraId="7DFB3B2F">
                  <w:pPr>
                    <w:jc w:val="center"/>
                    <w:rPr>
                      <w:b/>
                      <w:bCs/>
                      <w:color w:val="000000" w:themeColor="text1"/>
                      <w:szCs w:val="21"/>
                      <w14:textFill>
                        <w14:solidFill>
                          <w14:schemeClr w14:val="tx1"/>
                        </w14:solidFill>
                      </w14:textFill>
                    </w:rPr>
                  </w:pPr>
                </w:p>
              </w:tc>
            </w:tr>
            <w:tr w14:paraId="155A4A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continue"/>
                  <w:tcBorders>
                    <w:tl2br w:val="nil"/>
                    <w:tr2bl w:val="nil"/>
                  </w:tcBorders>
                  <w:vAlign w:val="center"/>
                </w:tcPr>
                <w:p w14:paraId="31F7B670">
                  <w:pPr>
                    <w:jc w:val="center"/>
                    <w:rPr>
                      <w:color w:val="000000" w:themeColor="text1"/>
                      <w:kern w:val="0"/>
                      <w:szCs w:val="21"/>
                      <w:lang w:bidi="ar"/>
                      <w14:textFill>
                        <w14:solidFill>
                          <w14:schemeClr w14:val="tx1"/>
                        </w14:solidFill>
                      </w14:textFill>
                    </w:rPr>
                  </w:pPr>
                </w:p>
              </w:tc>
              <w:tc>
                <w:tcPr>
                  <w:tcW w:w="1005" w:type="dxa"/>
                  <w:tcBorders>
                    <w:tl2br w:val="nil"/>
                    <w:tr2bl w:val="nil"/>
                  </w:tcBorders>
                  <w:shd w:val="clear" w:color="auto" w:fill="auto"/>
                  <w:vAlign w:val="center"/>
                </w:tcPr>
                <w:p w14:paraId="77F2D65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1331" w:type="dxa"/>
                  <w:tcBorders>
                    <w:tl2br w:val="nil"/>
                    <w:tr2bl w:val="nil"/>
                  </w:tcBorders>
                  <w:vAlign w:val="center"/>
                </w:tcPr>
                <w:p w14:paraId="686E37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38</w:t>
                  </w:r>
                </w:p>
              </w:tc>
              <w:tc>
                <w:tcPr>
                  <w:tcW w:w="1350" w:type="dxa"/>
                  <w:tcBorders>
                    <w:tl2br w:val="nil"/>
                    <w:tr2bl w:val="nil"/>
                  </w:tcBorders>
                  <w:vAlign w:val="center"/>
                </w:tcPr>
                <w:p w14:paraId="2A713BE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238" w:type="dxa"/>
                  <w:tcBorders>
                    <w:tl2br w:val="nil"/>
                    <w:tr2bl w:val="nil"/>
                  </w:tcBorders>
                  <w:vAlign w:val="center"/>
                </w:tcPr>
                <w:p w14:paraId="56FDF6E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38</w:t>
                  </w:r>
                </w:p>
              </w:tc>
              <w:tc>
                <w:tcPr>
                  <w:tcW w:w="1087" w:type="dxa"/>
                  <w:vMerge w:val="continue"/>
                  <w:tcBorders>
                    <w:tl2br w:val="nil"/>
                    <w:tr2bl w:val="nil"/>
                  </w:tcBorders>
                  <w:vAlign w:val="center"/>
                </w:tcPr>
                <w:p w14:paraId="2C611019">
                  <w:pPr>
                    <w:jc w:val="center"/>
                    <w:rPr>
                      <w:b/>
                      <w:bCs/>
                      <w:color w:val="000000" w:themeColor="text1"/>
                      <w:szCs w:val="21"/>
                      <w14:textFill>
                        <w14:solidFill>
                          <w14:schemeClr w14:val="tx1"/>
                        </w14:solidFill>
                      </w14:textFill>
                    </w:rPr>
                  </w:pPr>
                </w:p>
              </w:tc>
              <w:tc>
                <w:tcPr>
                  <w:tcW w:w="1088" w:type="dxa"/>
                  <w:vMerge w:val="continue"/>
                  <w:tcBorders>
                    <w:tl2br w:val="nil"/>
                    <w:tr2bl w:val="nil"/>
                  </w:tcBorders>
                  <w:vAlign w:val="center"/>
                </w:tcPr>
                <w:p w14:paraId="39292276">
                  <w:pPr>
                    <w:jc w:val="center"/>
                    <w:rPr>
                      <w:b/>
                      <w:bCs/>
                      <w:color w:val="000000" w:themeColor="text1"/>
                      <w:szCs w:val="21"/>
                      <w14:textFill>
                        <w14:solidFill>
                          <w14:schemeClr w14:val="tx1"/>
                        </w14:solidFill>
                      </w14:textFill>
                    </w:rPr>
                  </w:pPr>
                </w:p>
              </w:tc>
            </w:tr>
            <w:tr w14:paraId="7145A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restart"/>
                  <w:tcBorders>
                    <w:tl2br w:val="nil"/>
                    <w:tr2bl w:val="nil"/>
                  </w:tcBorders>
                  <w:vAlign w:val="center"/>
                </w:tcPr>
                <w:p w14:paraId="355DF564">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峡河村项目西侧）</w:t>
                  </w:r>
                </w:p>
              </w:tc>
              <w:tc>
                <w:tcPr>
                  <w:tcW w:w="1005" w:type="dxa"/>
                  <w:tcBorders>
                    <w:tl2br w:val="nil"/>
                    <w:tr2bl w:val="nil"/>
                  </w:tcBorders>
                  <w:shd w:val="clear" w:color="auto" w:fill="auto"/>
                  <w:vAlign w:val="center"/>
                </w:tcPr>
                <w:p w14:paraId="5AB4795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1331" w:type="dxa"/>
                  <w:tcBorders>
                    <w:tl2br w:val="nil"/>
                    <w:tr2bl w:val="nil"/>
                  </w:tcBorders>
                  <w:vAlign w:val="center"/>
                </w:tcPr>
                <w:p w14:paraId="324FB35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48</w:t>
                  </w:r>
                </w:p>
              </w:tc>
              <w:tc>
                <w:tcPr>
                  <w:tcW w:w="1350" w:type="dxa"/>
                  <w:tcBorders>
                    <w:tl2br w:val="nil"/>
                    <w:tr2bl w:val="nil"/>
                  </w:tcBorders>
                  <w:vAlign w:val="center"/>
                </w:tcPr>
                <w:p w14:paraId="3A027B0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52</w:t>
                  </w:r>
                </w:p>
              </w:tc>
              <w:tc>
                <w:tcPr>
                  <w:tcW w:w="1238" w:type="dxa"/>
                  <w:tcBorders>
                    <w:tl2br w:val="nil"/>
                    <w:tr2bl w:val="nil"/>
                  </w:tcBorders>
                  <w:vAlign w:val="center"/>
                </w:tcPr>
                <w:p w14:paraId="697E85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53</w:t>
                  </w:r>
                </w:p>
              </w:tc>
              <w:tc>
                <w:tcPr>
                  <w:tcW w:w="1087" w:type="dxa"/>
                  <w:vMerge w:val="continue"/>
                  <w:tcBorders>
                    <w:tl2br w:val="nil"/>
                    <w:tr2bl w:val="nil"/>
                  </w:tcBorders>
                  <w:vAlign w:val="center"/>
                </w:tcPr>
                <w:p w14:paraId="14499667">
                  <w:pPr>
                    <w:jc w:val="center"/>
                    <w:rPr>
                      <w:b/>
                      <w:bCs/>
                      <w:color w:val="000000" w:themeColor="text1"/>
                      <w:szCs w:val="21"/>
                      <w14:textFill>
                        <w14:solidFill>
                          <w14:schemeClr w14:val="tx1"/>
                        </w14:solidFill>
                      </w14:textFill>
                    </w:rPr>
                  </w:pPr>
                </w:p>
              </w:tc>
              <w:tc>
                <w:tcPr>
                  <w:tcW w:w="1088" w:type="dxa"/>
                  <w:vMerge w:val="continue"/>
                  <w:tcBorders>
                    <w:tl2br w:val="nil"/>
                    <w:tr2bl w:val="nil"/>
                  </w:tcBorders>
                  <w:vAlign w:val="center"/>
                </w:tcPr>
                <w:p w14:paraId="542AC253">
                  <w:pPr>
                    <w:jc w:val="center"/>
                    <w:rPr>
                      <w:b/>
                      <w:bCs/>
                      <w:color w:val="000000" w:themeColor="text1"/>
                      <w:szCs w:val="21"/>
                      <w14:textFill>
                        <w14:solidFill>
                          <w14:schemeClr w14:val="tx1"/>
                        </w14:solidFill>
                      </w14:textFill>
                    </w:rPr>
                  </w:pPr>
                </w:p>
              </w:tc>
            </w:tr>
            <w:tr w14:paraId="73608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continue"/>
                  <w:tcBorders>
                    <w:tl2br w:val="nil"/>
                    <w:tr2bl w:val="nil"/>
                  </w:tcBorders>
                  <w:vAlign w:val="center"/>
                </w:tcPr>
                <w:p w14:paraId="13626B7D">
                  <w:pPr>
                    <w:jc w:val="center"/>
                    <w:rPr>
                      <w:color w:val="000000" w:themeColor="text1"/>
                      <w:kern w:val="0"/>
                      <w:szCs w:val="21"/>
                      <w:lang w:bidi="ar"/>
                      <w14:textFill>
                        <w14:solidFill>
                          <w14:schemeClr w14:val="tx1"/>
                        </w14:solidFill>
                      </w14:textFill>
                    </w:rPr>
                  </w:pPr>
                </w:p>
              </w:tc>
              <w:tc>
                <w:tcPr>
                  <w:tcW w:w="1005" w:type="dxa"/>
                  <w:tcBorders>
                    <w:tl2br w:val="nil"/>
                    <w:tr2bl w:val="nil"/>
                  </w:tcBorders>
                  <w:shd w:val="clear" w:color="auto" w:fill="auto"/>
                  <w:vAlign w:val="center"/>
                </w:tcPr>
                <w:p w14:paraId="21AD5D9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1331" w:type="dxa"/>
                  <w:tcBorders>
                    <w:tl2br w:val="nil"/>
                    <w:tr2bl w:val="nil"/>
                  </w:tcBorders>
                  <w:vAlign w:val="center"/>
                </w:tcPr>
                <w:p w14:paraId="003D679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c>
                <w:tcPr>
                  <w:tcW w:w="1350" w:type="dxa"/>
                  <w:tcBorders>
                    <w:tl2br w:val="nil"/>
                    <w:tr2bl w:val="nil"/>
                  </w:tcBorders>
                  <w:vAlign w:val="center"/>
                </w:tcPr>
                <w:p w14:paraId="3453134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238" w:type="dxa"/>
                  <w:tcBorders>
                    <w:tl2br w:val="nil"/>
                    <w:tr2bl w:val="nil"/>
                  </w:tcBorders>
                  <w:vAlign w:val="center"/>
                </w:tcPr>
                <w:p w14:paraId="26F070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c>
                <w:tcPr>
                  <w:tcW w:w="1087" w:type="dxa"/>
                  <w:vMerge w:val="continue"/>
                  <w:tcBorders>
                    <w:tl2br w:val="nil"/>
                    <w:tr2bl w:val="nil"/>
                  </w:tcBorders>
                  <w:vAlign w:val="center"/>
                </w:tcPr>
                <w:p w14:paraId="41A4E335">
                  <w:pPr>
                    <w:jc w:val="center"/>
                    <w:rPr>
                      <w:b/>
                      <w:bCs/>
                      <w:color w:val="000000" w:themeColor="text1"/>
                      <w:szCs w:val="21"/>
                      <w14:textFill>
                        <w14:solidFill>
                          <w14:schemeClr w14:val="tx1"/>
                        </w14:solidFill>
                      </w14:textFill>
                    </w:rPr>
                  </w:pPr>
                </w:p>
              </w:tc>
              <w:tc>
                <w:tcPr>
                  <w:tcW w:w="1088" w:type="dxa"/>
                  <w:vMerge w:val="continue"/>
                  <w:tcBorders>
                    <w:tl2br w:val="nil"/>
                    <w:tr2bl w:val="nil"/>
                  </w:tcBorders>
                  <w:vAlign w:val="center"/>
                </w:tcPr>
                <w:p w14:paraId="44D8DBCA">
                  <w:pPr>
                    <w:jc w:val="center"/>
                    <w:rPr>
                      <w:b/>
                      <w:bCs/>
                      <w:color w:val="000000" w:themeColor="text1"/>
                      <w:szCs w:val="21"/>
                      <w14:textFill>
                        <w14:solidFill>
                          <w14:schemeClr w14:val="tx1"/>
                        </w14:solidFill>
                      </w14:textFill>
                    </w:rPr>
                  </w:pPr>
                </w:p>
              </w:tc>
            </w:tr>
            <w:tr w14:paraId="11FFFC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restart"/>
                  <w:tcBorders>
                    <w:tl2br w:val="nil"/>
                    <w:tr2bl w:val="nil"/>
                  </w:tcBorders>
                  <w:vAlign w:val="center"/>
                </w:tcPr>
                <w:p w14:paraId="0D459C67">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峡河村项目北侧）</w:t>
                  </w:r>
                </w:p>
              </w:tc>
              <w:tc>
                <w:tcPr>
                  <w:tcW w:w="1005" w:type="dxa"/>
                  <w:tcBorders>
                    <w:tl2br w:val="nil"/>
                    <w:tr2bl w:val="nil"/>
                  </w:tcBorders>
                  <w:shd w:val="clear" w:color="auto" w:fill="auto"/>
                  <w:vAlign w:val="center"/>
                </w:tcPr>
                <w:p w14:paraId="236B088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1331" w:type="dxa"/>
                  <w:tcBorders>
                    <w:tl2br w:val="nil"/>
                    <w:tr2bl w:val="nil"/>
                  </w:tcBorders>
                  <w:vAlign w:val="center"/>
                </w:tcPr>
                <w:p w14:paraId="03D4C58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46</w:t>
                  </w:r>
                </w:p>
              </w:tc>
              <w:tc>
                <w:tcPr>
                  <w:tcW w:w="1350" w:type="dxa"/>
                  <w:tcBorders>
                    <w:tl2br w:val="nil"/>
                    <w:tr2bl w:val="nil"/>
                  </w:tcBorders>
                  <w:vAlign w:val="center"/>
                </w:tcPr>
                <w:p w14:paraId="2FAE31C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33</w:t>
                  </w:r>
                </w:p>
              </w:tc>
              <w:tc>
                <w:tcPr>
                  <w:tcW w:w="1238" w:type="dxa"/>
                  <w:tcBorders>
                    <w:tl2br w:val="nil"/>
                    <w:tr2bl w:val="nil"/>
                  </w:tcBorders>
                  <w:vAlign w:val="center"/>
                </w:tcPr>
                <w:p w14:paraId="1556300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46</w:t>
                  </w:r>
                </w:p>
              </w:tc>
              <w:tc>
                <w:tcPr>
                  <w:tcW w:w="1087" w:type="dxa"/>
                  <w:vMerge w:val="continue"/>
                  <w:tcBorders>
                    <w:tl2br w:val="nil"/>
                    <w:tr2bl w:val="nil"/>
                  </w:tcBorders>
                  <w:vAlign w:val="center"/>
                </w:tcPr>
                <w:p w14:paraId="278C38DD">
                  <w:pPr>
                    <w:jc w:val="center"/>
                    <w:rPr>
                      <w:b/>
                      <w:bCs/>
                      <w:color w:val="000000" w:themeColor="text1"/>
                      <w:szCs w:val="21"/>
                      <w14:textFill>
                        <w14:solidFill>
                          <w14:schemeClr w14:val="tx1"/>
                        </w14:solidFill>
                      </w14:textFill>
                    </w:rPr>
                  </w:pPr>
                </w:p>
              </w:tc>
              <w:tc>
                <w:tcPr>
                  <w:tcW w:w="1088" w:type="dxa"/>
                  <w:vMerge w:val="continue"/>
                  <w:tcBorders>
                    <w:tl2br w:val="nil"/>
                    <w:tr2bl w:val="nil"/>
                  </w:tcBorders>
                  <w:vAlign w:val="center"/>
                </w:tcPr>
                <w:p w14:paraId="5A0B50C4">
                  <w:pPr>
                    <w:jc w:val="center"/>
                    <w:rPr>
                      <w:b/>
                      <w:bCs/>
                      <w:color w:val="000000" w:themeColor="text1"/>
                      <w:szCs w:val="21"/>
                      <w14:textFill>
                        <w14:solidFill>
                          <w14:schemeClr w14:val="tx1"/>
                        </w14:solidFill>
                      </w14:textFill>
                    </w:rPr>
                  </w:pPr>
                </w:p>
              </w:tc>
            </w:tr>
            <w:tr w14:paraId="381A2D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4" w:type="dxa"/>
                  <w:vMerge w:val="continue"/>
                  <w:tcBorders>
                    <w:tl2br w:val="nil"/>
                    <w:tr2bl w:val="nil"/>
                  </w:tcBorders>
                  <w:vAlign w:val="center"/>
                </w:tcPr>
                <w:p w14:paraId="3DBEC377">
                  <w:pPr>
                    <w:jc w:val="center"/>
                    <w:rPr>
                      <w:color w:val="000000" w:themeColor="text1"/>
                      <w:kern w:val="0"/>
                      <w:szCs w:val="21"/>
                      <w:lang w:bidi="ar"/>
                      <w14:textFill>
                        <w14:solidFill>
                          <w14:schemeClr w14:val="tx1"/>
                        </w14:solidFill>
                      </w14:textFill>
                    </w:rPr>
                  </w:pPr>
                </w:p>
              </w:tc>
              <w:tc>
                <w:tcPr>
                  <w:tcW w:w="1005" w:type="dxa"/>
                  <w:tcBorders>
                    <w:tl2br w:val="nil"/>
                    <w:tr2bl w:val="nil"/>
                  </w:tcBorders>
                  <w:shd w:val="clear" w:color="auto" w:fill="auto"/>
                  <w:vAlign w:val="center"/>
                </w:tcPr>
                <w:p w14:paraId="25EB953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1331" w:type="dxa"/>
                  <w:tcBorders>
                    <w:tl2br w:val="nil"/>
                    <w:tr2bl w:val="nil"/>
                  </w:tcBorders>
                  <w:vAlign w:val="center"/>
                </w:tcPr>
                <w:p w14:paraId="282BBDD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c>
                <w:tcPr>
                  <w:tcW w:w="1350" w:type="dxa"/>
                  <w:tcBorders>
                    <w:tl2br w:val="nil"/>
                    <w:tr2bl w:val="nil"/>
                  </w:tcBorders>
                  <w:vAlign w:val="center"/>
                </w:tcPr>
                <w:p w14:paraId="361202B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238" w:type="dxa"/>
                  <w:tcBorders>
                    <w:tl2br w:val="nil"/>
                    <w:tr2bl w:val="nil"/>
                  </w:tcBorders>
                  <w:vAlign w:val="center"/>
                </w:tcPr>
                <w:p w14:paraId="69708F2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37</w:t>
                  </w:r>
                </w:p>
              </w:tc>
              <w:tc>
                <w:tcPr>
                  <w:tcW w:w="1087" w:type="dxa"/>
                  <w:vMerge w:val="continue"/>
                  <w:tcBorders>
                    <w:tl2br w:val="nil"/>
                    <w:tr2bl w:val="nil"/>
                  </w:tcBorders>
                  <w:vAlign w:val="center"/>
                </w:tcPr>
                <w:p w14:paraId="3EF130E6">
                  <w:pPr>
                    <w:jc w:val="center"/>
                    <w:rPr>
                      <w:b/>
                      <w:bCs/>
                      <w:color w:val="000000" w:themeColor="text1"/>
                      <w:szCs w:val="21"/>
                      <w14:textFill>
                        <w14:solidFill>
                          <w14:schemeClr w14:val="tx1"/>
                        </w14:solidFill>
                      </w14:textFill>
                    </w:rPr>
                  </w:pPr>
                </w:p>
              </w:tc>
              <w:tc>
                <w:tcPr>
                  <w:tcW w:w="1088" w:type="dxa"/>
                  <w:vMerge w:val="continue"/>
                  <w:tcBorders>
                    <w:tl2br w:val="nil"/>
                    <w:tr2bl w:val="nil"/>
                  </w:tcBorders>
                  <w:vAlign w:val="center"/>
                </w:tcPr>
                <w:p w14:paraId="5855C3ED">
                  <w:pPr>
                    <w:jc w:val="center"/>
                    <w:rPr>
                      <w:b/>
                      <w:bCs/>
                      <w:color w:val="000000" w:themeColor="text1"/>
                      <w:szCs w:val="21"/>
                      <w14:textFill>
                        <w14:solidFill>
                          <w14:schemeClr w14:val="tx1"/>
                        </w14:solidFill>
                      </w14:textFill>
                    </w:rPr>
                  </w:pPr>
                </w:p>
              </w:tc>
            </w:tr>
          </w:tbl>
          <w:p w14:paraId="6013EEF9">
            <w:pPr>
              <w:spacing w:before="120" w:beforeLines="50"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本项目仅昼间运行，夜间不生产，</w:t>
            </w:r>
            <w:r>
              <w:rPr>
                <w:color w:val="000000" w:themeColor="text1"/>
                <w:sz w:val="24"/>
                <w14:textFill>
                  <w14:solidFill>
                    <w14:schemeClr w14:val="tx1"/>
                  </w14:solidFill>
                </w14:textFill>
              </w:rPr>
              <w:t>根据预测结果，运营期厂界预测值满足《工业企业厂界环境噪声排放标准》（GB12348-2008）中1类标准（昼间≤55</w:t>
            </w:r>
            <w:r>
              <w:rPr>
                <w:color w:val="000000" w:themeColor="text1"/>
                <w:sz w:val="24"/>
                <w:szCs w:val="21"/>
                <w14:textFill>
                  <w14:solidFill>
                    <w14:schemeClr w14:val="tx1"/>
                  </w14:solidFill>
                </w14:textFill>
              </w:rPr>
              <w:t>dB(A)</w:t>
            </w:r>
            <w:r>
              <w:rPr>
                <w:color w:val="000000" w:themeColor="text1"/>
                <w:sz w:val="24"/>
                <w14:textFill>
                  <w14:solidFill>
                    <w14:schemeClr w14:val="tx1"/>
                  </w14:solidFill>
                </w14:textFill>
              </w:rPr>
              <w:t>），周边敏感点噪声符合</w:t>
            </w:r>
            <w:r>
              <w:rPr>
                <w:color w:val="000000" w:themeColor="text1"/>
                <w:sz w:val="24"/>
                <w:szCs w:val="21"/>
                <w14:textFill>
                  <w14:solidFill>
                    <w14:schemeClr w14:val="tx1"/>
                  </w14:solidFill>
                </w14:textFill>
              </w:rPr>
              <w:t>《声环境质量标准》（GB3096-2008）中1类区</w:t>
            </w:r>
            <w:r>
              <w:rPr>
                <w:color w:val="000000" w:themeColor="text1"/>
                <w:sz w:val="24"/>
                <w14:textFill>
                  <w14:solidFill>
                    <w14:schemeClr w14:val="tx1"/>
                  </w14:solidFill>
                </w14:textFill>
              </w:rPr>
              <w:t>（昼间≤55</w:t>
            </w:r>
            <w:r>
              <w:rPr>
                <w:color w:val="000000" w:themeColor="text1"/>
                <w:sz w:val="24"/>
                <w:szCs w:val="21"/>
                <w14:textFill>
                  <w14:solidFill>
                    <w14:schemeClr w14:val="tx1"/>
                  </w14:solidFill>
                </w14:textFill>
              </w:rPr>
              <w:t>dB(A)</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要求。本项目噪声对周围环境影响较小</w:t>
            </w:r>
            <w:r>
              <w:rPr>
                <w:color w:val="000000" w:themeColor="text1"/>
                <w:sz w:val="24"/>
                <w14:textFill>
                  <w14:solidFill>
                    <w14:schemeClr w14:val="tx1"/>
                  </w14:solidFill>
                </w14:textFill>
              </w:rPr>
              <w:t>。</w:t>
            </w:r>
          </w:p>
          <w:p w14:paraId="72C9A02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③噪声污染防治措施可行性分析</w:t>
            </w:r>
          </w:p>
          <w:p w14:paraId="34B5A21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a.尽量选择低噪声设备，生产设备应及时维修，保证处于正常良好状态，从根本上降低声源噪声强度；</w:t>
            </w:r>
          </w:p>
          <w:p w14:paraId="38C252E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b.在总体布局上，采取闹静分开，合理布局的原则，使高噪声设备远离厂界； </w:t>
            </w:r>
          </w:p>
          <w:p w14:paraId="0F8FD62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c.鼓风机、引风机应布置于封闭锅炉房内，锅炉房门窗在生产期间保持关闭，生产中对于鼓风机、引风机、水泵等，应设减振基础，风机与风管连接处采用软连接，风机出口管道应避免直接朝向厂界或敏感目标方向。</w:t>
            </w:r>
          </w:p>
          <w:p w14:paraId="41F4EB8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d.在总平面布置时利用厂房、声源方向性等因素进行合理布局，采用闹静分开，合理布局的原则，使高噪声设备尽可能布置在厂房中部。</w:t>
            </w:r>
          </w:p>
          <w:p w14:paraId="07F4DAD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e.加强对高噪声的设备的管理和维护。随着设备使用年限的增加，有些设备噪声级可能有所增加，故应在有关环保人员的统一管理下，定期检查、监测，发现噪声超标要及时治理。</w:t>
            </w:r>
          </w:p>
          <w:p w14:paraId="16570A3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综上所述，对于本项目产生的噪声实施以上防治措施可行，对周围环境影响较小，不会产生噪声扰民问题。</w:t>
            </w:r>
          </w:p>
          <w:p w14:paraId="7D2377BF">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3.3噪声监测</w:t>
            </w:r>
          </w:p>
          <w:p w14:paraId="4C87B74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本次环评根据《排污单位自行监测技术指南——总则》（HJ819-2017））及《排污单位自行监测技术指南 火力发电及锅炉》（HJ820-2017）制定噪声监测计划如下：</w:t>
            </w:r>
          </w:p>
          <w:p w14:paraId="1122F643">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表4-1</w:t>
            </w:r>
            <w:r>
              <w:rPr>
                <w:rFonts w:hint="eastAsia"/>
                <w:b/>
                <w:bCs/>
                <w:color w:val="000000" w:themeColor="text1"/>
                <w:szCs w:val="21"/>
                <w14:textFill>
                  <w14:solidFill>
                    <w14:schemeClr w14:val="tx1"/>
                  </w14:solidFill>
                </w14:textFill>
              </w:rPr>
              <w:t>6</w:t>
            </w:r>
            <w:r>
              <w:rPr>
                <w:b/>
                <w:bCs/>
                <w:color w:val="000000" w:themeColor="text1"/>
                <w:szCs w:val="21"/>
                <w14:textFill>
                  <w14:solidFill>
                    <w14:schemeClr w14:val="tx1"/>
                  </w14:solidFill>
                </w14:textFill>
              </w:rPr>
              <w:t xml:space="preserve">  监测计划</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1381"/>
              <w:gridCol w:w="1371"/>
              <w:gridCol w:w="1443"/>
              <w:gridCol w:w="2904"/>
            </w:tblGrid>
            <w:tr w14:paraId="5B8BF6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23" w:type="dxa"/>
                  <w:vAlign w:val="center"/>
                </w:tcPr>
                <w:p w14:paraId="0C001F98">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类别</w:t>
                  </w:r>
                </w:p>
              </w:tc>
              <w:tc>
                <w:tcPr>
                  <w:tcW w:w="1381" w:type="dxa"/>
                  <w:vAlign w:val="center"/>
                </w:tcPr>
                <w:p w14:paraId="146DC8FE">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监测点位</w:t>
                  </w:r>
                </w:p>
              </w:tc>
              <w:tc>
                <w:tcPr>
                  <w:tcW w:w="1371" w:type="dxa"/>
                  <w:vAlign w:val="center"/>
                </w:tcPr>
                <w:p w14:paraId="120A1FFF">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监测因子</w:t>
                  </w:r>
                </w:p>
              </w:tc>
              <w:tc>
                <w:tcPr>
                  <w:tcW w:w="1443" w:type="dxa"/>
                  <w:vAlign w:val="center"/>
                </w:tcPr>
                <w:p w14:paraId="2EE68F88">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监测频次</w:t>
                  </w:r>
                </w:p>
              </w:tc>
              <w:tc>
                <w:tcPr>
                  <w:tcW w:w="2904" w:type="dxa"/>
                  <w:vAlign w:val="center"/>
                </w:tcPr>
                <w:p w14:paraId="766A1C84">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执行标准</w:t>
                  </w:r>
                </w:p>
              </w:tc>
            </w:tr>
            <w:tr w14:paraId="7407A2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23" w:type="dxa"/>
                  <w:vAlign w:val="center"/>
                </w:tcPr>
                <w:p w14:paraId="1F03F23D">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381" w:type="dxa"/>
                  <w:vAlign w:val="center"/>
                </w:tcPr>
                <w:p w14:paraId="26FAD8AD">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厂区边界四周厂界外1m</w:t>
                  </w:r>
                </w:p>
              </w:tc>
              <w:tc>
                <w:tcPr>
                  <w:tcW w:w="1371" w:type="dxa"/>
                  <w:vAlign w:val="center"/>
                </w:tcPr>
                <w:p w14:paraId="3B366B13">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等效声级</w:t>
                  </w:r>
                </w:p>
                <w:p w14:paraId="2E9EB5F1">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Leq（A）</w:t>
                  </w:r>
                </w:p>
              </w:tc>
              <w:tc>
                <w:tcPr>
                  <w:tcW w:w="1443" w:type="dxa"/>
                  <w:vAlign w:val="center"/>
                </w:tcPr>
                <w:p w14:paraId="34C13714">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1次/季度</w:t>
                  </w:r>
                </w:p>
              </w:tc>
              <w:tc>
                <w:tcPr>
                  <w:tcW w:w="2904" w:type="dxa"/>
                  <w:vAlign w:val="center"/>
                </w:tcPr>
                <w:p w14:paraId="0046C62F">
                  <w:pPr>
                    <w:snapToGrid w:val="0"/>
                    <w:spacing w:before="48" w:beforeLines="20" w:line="288"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《工业企业厂界环境噪声排放标准》（GB12348-2008）中1类标准</w:t>
                  </w:r>
                </w:p>
              </w:tc>
            </w:tr>
          </w:tbl>
          <w:p w14:paraId="3D714755">
            <w:pPr>
              <w:pStyle w:val="85"/>
              <w:ind w:firstLine="0" w:firstLineChars="0"/>
              <w:rPr>
                <w:b/>
                <w:bCs/>
                <w:color w:val="000000" w:themeColor="text1"/>
                <w:szCs w:val="24"/>
                <w:lang w:val="en-US"/>
                <w14:textFill>
                  <w14:solidFill>
                    <w14:schemeClr w14:val="tx1"/>
                  </w14:solidFill>
                </w14:textFill>
              </w:rPr>
            </w:pPr>
            <w:r>
              <w:rPr>
                <w:b/>
                <w:bCs/>
                <w:color w:val="000000" w:themeColor="text1"/>
                <w:szCs w:val="24"/>
                <w:lang w:val="en-US"/>
                <w14:textFill>
                  <w14:solidFill>
                    <w14:schemeClr w14:val="tx1"/>
                  </w14:solidFill>
                </w14:textFill>
              </w:rPr>
              <w:t>4、固体废物</w:t>
            </w:r>
          </w:p>
          <w:p w14:paraId="35C8EEB9">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4.1、固体废物产生情况</w:t>
            </w:r>
          </w:p>
          <w:p w14:paraId="61D8861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本项目固体废物主要为除尘灰、废布袋、炉渣、废离子交换树脂，废机油及废机油桶。</w:t>
            </w:r>
          </w:p>
          <w:p w14:paraId="7C7E3E76">
            <w:pPr>
              <w:spacing w:line="360" w:lineRule="auto"/>
              <w:ind w:left="420" w:left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①除尘灰</w:t>
            </w:r>
          </w:p>
          <w:p w14:paraId="4F9123A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根据工程分析，除尘设备收集的粉尘量为12.605t/a，根据《固体废物分类与代码目录》（生态环境部公告2024年第4号），废物代码为900-099-S59，统一收集后外售。</w:t>
            </w:r>
          </w:p>
          <w:p w14:paraId="30138188">
            <w:pPr>
              <w:spacing w:line="360" w:lineRule="auto"/>
              <w:ind w:left="420" w:left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②废布袋</w:t>
            </w:r>
          </w:p>
          <w:p w14:paraId="1F3F78C4">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企业使用的布袋除尘器需要定期更换布袋，大约1年1次，每次产生量约为0.1t/a，属于《固体废物分类与代码目录》（生态环境部公告2024年第4号）中其他工业固体废物—废过滤材料（900-009-S59），交由厂家回收处理。</w:t>
            </w:r>
          </w:p>
          <w:p w14:paraId="704AA725">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color w:val="000000" w:themeColor="text1"/>
                <w:sz w:val="24"/>
                <w14:textFill>
                  <w14:solidFill>
                    <w14:schemeClr w14:val="tx1"/>
                  </w14:solidFill>
                </w14:textFill>
              </w:rPr>
              <w:t>③</w:t>
            </w:r>
            <w:r>
              <w:rPr>
                <w:rStyle w:val="64"/>
                <w:color w:val="000000" w:themeColor="text1"/>
                <w:sz w:val="24"/>
                <w14:textFill>
                  <w14:solidFill>
                    <w14:schemeClr w14:val="tx1"/>
                  </w14:solidFill>
                </w14:textFill>
              </w:rPr>
              <w:t>炉渣</w:t>
            </w:r>
          </w:p>
          <w:p w14:paraId="640710E9">
            <w:pPr>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采用《污染源源强核算技术指南 锅炉》（HJ 991-2018）物料衡算法计算炉渣排放量，计算公式如下：</w:t>
            </w:r>
          </w:p>
          <w:p w14:paraId="17963C5C">
            <w:pPr>
              <w:pStyle w:val="23"/>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18360" cy="586740"/>
                  <wp:effectExtent l="0" t="0" r="15240" b="3810"/>
                  <wp:docPr id="3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5"/>
                          <pic:cNvPicPr>
                            <a:picLocks noChangeAspect="1"/>
                          </pic:cNvPicPr>
                        </pic:nvPicPr>
                        <pic:blipFill>
                          <a:blip r:embed="rId42"/>
                          <a:srcRect t="4938"/>
                          <a:stretch>
                            <a:fillRect/>
                          </a:stretch>
                        </pic:blipFill>
                        <pic:spPr>
                          <a:xfrm>
                            <a:off x="0" y="0"/>
                            <a:ext cx="2118360" cy="586740"/>
                          </a:xfrm>
                          <a:prstGeom prst="rect">
                            <a:avLst/>
                          </a:prstGeom>
                          <a:noFill/>
                          <a:ln>
                            <a:noFill/>
                          </a:ln>
                        </pic:spPr>
                      </pic:pic>
                    </a:graphicData>
                  </a:graphic>
                </wp:inline>
              </w:drawing>
            </w:r>
          </w:p>
          <w:p w14:paraId="0C22B853">
            <w:pPr>
              <w:snapToGrid w:val="0"/>
              <w:spacing w:line="360" w:lineRule="auto"/>
              <w:ind w:firstLine="42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式中：</w:t>
            </w:r>
            <w:r>
              <w:rPr>
                <w:rStyle w:val="64"/>
                <w:i/>
                <w:iCs/>
                <w:color w:val="000000" w:themeColor="text1"/>
                <w:sz w:val="24"/>
                <w14:textFill>
                  <w14:solidFill>
                    <w14:schemeClr w14:val="tx1"/>
                  </w14:solidFill>
                </w14:textFill>
              </w:rPr>
              <w:t>E</w:t>
            </w:r>
            <w:r>
              <w:rPr>
                <w:rStyle w:val="64"/>
                <w:i/>
                <w:iCs/>
                <w:color w:val="000000" w:themeColor="text1"/>
                <w:sz w:val="24"/>
                <w:vertAlign w:val="subscript"/>
                <w14:textFill>
                  <w14:solidFill>
                    <w14:schemeClr w14:val="tx1"/>
                  </w14:solidFill>
                </w14:textFill>
              </w:rPr>
              <w:t>hz</w:t>
            </w:r>
            <w:r>
              <w:rPr>
                <w:rStyle w:val="64"/>
                <w:color w:val="000000" w:themeColor="text1"/>
                <w:sz w:val="24"/>
                <w14:textFill>
                  <w14:solidFill>
                    <w14:schemeClr w14:val="tx1"/>
                  </w14:solidFill>
                </w14:textFill>
              </w:rPr>
              <w:t>——核算时段内炉渣产生量，t。</w:t>
            </w:r>
          </w:p>
          <w:p w14:paraId="17121060">
            <w:pPr>
              <w:pStyle w:val="23"/>
              <w:spacing w:line="360" w:lineRule="auto"/>
              <w:ind w:left="630" w:leftChars="300" w:firstLine="420"/>
              <w:jc w:val="both"/>
              <w:rPr>
                <w:rStyle w:val="64"/>
                <w:color w:val="000000" w:themeColor="text1"/>
                <w:kern w:val="2"/>
                <w:sz w:val="24"/>
                <w:szCs w:val="24"/>
                <w14:textFill>
                  <w14:solidFill>
                    <w14:schemeClr w14:val="tx1"/>
                  </w14:solidFill>
                </w14:textFill>
              </w:rPr>
            </w:pPr>
            <w:r>
              <w:rPr>
                <w:rStyle w:val="64"/>
                <w:i/>
                <w:iCs/>
                <w:color w:val="000000" w:themeColor="text1"/>
                <w:kern w:val="2"/>
                <w:sz w:val="24"/>
                <w:szCs w:val="24"/>
                <w14:textFill>
                  <w14:solidFill>
                    <w14:schemeClr w14:val="tx1"/>
                  </w14:solidFill>
                </w14:textFill>
              </w:rPr>
              <w:t>R</w:t>
            </w:r>
            <w:r>
              <w:rPr>
                <w:rStyle w:val="64"/>
                <w:color w:val="000000" w:themeColor="text1"/>
                <w:kern w:val="2"/>
                <w:sz w:val="24"/>
                <w:szCs w:val="24"/>
                <w14:textFill>
                  <w14:solidFill>
                    <w14:schemeClr w14:val="tx1"/>
                  </w14:solidFill>
                </w14:textFill>
              </w:rPr>
              <w:t>——核算时段内锅炉燃料耗量，t，取640</w:t>
            </w:r>
          </w:p>
          <w:p w14:paraId="182D405A">
            <w:pPr>
              <w:spacing w:line="360" w:lineRule="auto"/>
              <w:ind w:firstLine="960" w:firstLineChars="400"/>
              <w:rPr>
                <w:rStyle w:val="64"/>
                <w:color w:val="000000" w:themeColor="text1"/>
                <w:sz w:val="24"/>
                <w14:textFill>
                  <w14:solidFill>
                    <w14:schemeClr w14:val="tx1"/>
                  </w14:solidFill>
                </w14:textFill>
              </w:rPr>
            </w:pPr>
            <w:r>
              <w:rPr>
                <w:rStyle w:val="64"/>
                <w:i/>
                <w:iCs/>
                <w:color w:val="000000" w:themeColor="text1"/>
                <w:sz w:val="24"/>
                <w14:textFill>
                  <w14:solidFill>
                    <w14:schemeClr w14:val="tx1"/>
                  </w14:solidFill>
                </w14:textFill>
              </w:rPr>
              <w:t>A</w:t>
            </w:r>
            <w:r>
              <w:rPr>
                <w:rStyle w:val="64"/>
                <w:i/>
                <w:iCs/>
                <w:color w:val="000000" w:themeColor="text1"/>
                <w:sz w:val="24"/>
                <w:vertAlign w:val="subscript"/>
                <w14:textFill>
                  <w14:solidFill>
                    <w14:schemeClr w14:val="tx1"/>
                  </w14:solidFill>
                </w14:textFill>
              </w:rPr>
              <w:t>ar</w:t>
            </w:r>
            <w:r>
              <w:rPr>
                <w:rStyle w:val="64"/>
                <w:color w:val="000000" w:themeColor="text1"/>
                <w:sz w:val="24"/>
                <w14:textFill>
                  <w14:solidFill>
                    <w14:schemeClr w14:val="tx1"/>
                  </w14:solidFill>
                </w14:textFill>
              </w:rPr>
              <w:t>——收到基灰分的质量分数，%，取2.7</w:t>
            </w:r>
          </w:p>
          <w:p w14:paraId="3FCA1113">
            <w:pPr>
              <w:pStyle w:val="23"/>
              <w:snapToGrid/>
              <w:spacing w:line="360" w:lineRule="auto"/>
              <w:ind w:firstLine="960" w:firstLineChars="400"/>
              <w:jc w:val="both"/>
              <w:rPr>
                <w:color w:val="000000" w:themeColor="text1"/>
                <w:sz w:val="24"/>
                <w:szCs w:val="24"/>
                <w14:textFill>
                  <w14:solidFill>
                    <w14:schemeClr w14:val="tx1"/>
                  </w14:solidFill>
                </w14:textFill>
              </w:rPr>
            </w:pPr>
            <w:r>
              <w:rPr>
                <w:i/>
                <w:iCs/>
                <w:color w:val="000000" w:themeColor="text1"/>
                <w:sz w:val="24"/>
                <w:szCs w:val="24"/>
                <w14:textFill>
                  <w14:solidFill>
                    <w14:schemeClr w14:val="tx1"/>
                  </w14:solidFill>
                </w14:textFill>
              </w:rPr>
              <w:t>q</w:t>
            </w:r>
            <w:r>
              <w:rPr>
                <w:i/>
                <w:iCs/>
                <w:color w:val="000000" w:themeColor="text1"/>
                <w:sz w:val="24"/>
                <w:szCs w:val="24"/>
                <w:vertAlign w:val="subscript"/>
                <w14:textFill>
                  <w14:solidFill>
                    <w14:schemeClr w14:val="tx1"/>
                  </w14:solidFill>
                </w14:textFill>
              </w:rPr>
              <w:t>4</w:t>
            </w:r>
            <w:r>
              <w:rPr>
                <w:color w:val="000000" w:themeColor="text1"/>
                <w:sz w:val="24"/>
                <w:szCs w:val="24"/>
                <w14:textFill>
                  <w14:solidFill>
                    <w14:schemeClr w14:val="tx1"/>
                  </w14:solidFill>
                </w14:textFill>
              </w:rPr>
              <w:t>——锅炉机械不完全燃烧热损失，%，取2</w:t>
            </w:r>
          </w:p>
          <w:p w14:paraId="2AD4972B">
            <w:pPr>
              <w:spacing w:line="360" w:lineRule="auto"/>
              <w:ind w:firstLine="960" w:firstLineChars="400"/>
              <w:rPr>
                <w:color w:val="000000" w:themeColor="text1"/>
                <w:sz w:val="24"/>
                <w14:textFill>
                  <w14:solidFill>
                    <w14:schemeClr w14:val="tx1"/>
                  </w14:solidFill>
                </w14:textFill>
              </w:rPr>
            </w:pPr>
            <w:r>
              <w:rPr>
                <w:i/>
                <w:iCs/>
                <w:color w:val="000000" w:themeColor="text1"/>
                <w:sz w:val="24"/>
                <w14:textFill>
                  <w14:solidFill>
                    <w14:schemeClr w14:val="tx1"/>
                  </w14:solidFill>
                </w14:textFill>
              </w:rPr>
              <w:t>Q</w:t>
            </w:r>
            <w:r>
              <w:rPr>
                <w:i/>
                <w:iCs/>
                <w:color w:val="000000" w:themeColor="text1"/>
                <w:sz w:val="24"/>
                <w:vertAlign w:val="subscript"/>
                <w14:textFill>
                  <w14:solidFill>
                    <w14:schemeClr w14:val="tx1"/>
                  </w14:solidFill>
                </w14:textFill>
              </w:rPr>
              <w:t>net,ar</w:t>
            </w:r>
            <w:r>
              <w:rPr>
                <w:color w:val="000000" w:themeColor="text1"/>
                <w:sz w:val="24"/>
                <w14:textFill>
                  <w14:solidFill>
                    <w14:schemeClr w14:val="tx1"/>
                  </w14:solidFill>
                </w14:textFill>
              </w:rPr>
              <w:t>——收到基低位发热量，kJ/kg，取16470。</w:t>
            </w:r>
          </w:p>
          <w:p w14:paraId="45CD33A2">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经计算，本项目炉渣产生量为23.5t/a，属于《固体废物分类与代码目录》中SW03 炉渣，非特定行业中的900-099-S03其他炉渣，采用袋装收集后外售处理。</w:t>
            </w:r>
          </w:p>
          <w:p w14:paraId="04194404">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④废离子交换树脂</w:t>
            </w:r>
          </w:p>
          <w:p w14:paraId="7B0012E1">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本项目离子交换树脂罐内填料大约每年由设备厂家更换一次，废离子树脂产生量约为0.2t/a，属于《固体废物分类与代码目录》（生态环境部公告2024年第4号）中SW17 其他工业固体废物，非特定行业900-099-S17其他可再生类废物，定期由厂家进行更换回收，不在厂区内暂存。</w:t>
            </w:r>
          </w:p>
          <w:p w14:paraId="659D0DC5">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⑤废机油</w:t>
            </w:r>
          </w:p>
          <w:p w14:paraId="3616A5E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设备日常维修保养过程会产生废机油，产生量约为0.02t/a，属于危险废物，暂存于危废贮存点，定期委托资质单位处置。</w:t>
            </w:r>
          </w:p>
          <w:p w14:paraId="26E62C8E">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⑥废机油桶</w:t>
            </w:r>
          </w:p>
          <w:p w14:paraId="3C7A340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废机油桶包装方式均为20kg/桶，废桶产生量约5个，单个桶重约1kg，则废桶产生量为0.005t/a。</w:t>
            </w:r>
          </w:p>
          <w:p w14:paraId="4F39CEB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综上所述，本项目固废产生情况见下表。</w:t>
            </w:r>
          </w:p>
          <w:p w14:paraId="47DEBDFB">
            <w:pPr>
              <w:pStyle w:val="125"/>
              <w:spacing w:before="120" w:beforeLines="50"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表4-1</w:t>
            </w:r>
            <w:r>
              <w:rPr>
                <w:rFonts w:hint="eastAsia"/>
                <w:b/>
                <w:bCs/>
                <w:color w:val="000000" w:themeColor="text1"/>
                <w:sz w:val="21"/>
                <w:szCs w:val="21"/>
                <w14:textFill>
                  <w14:solidFill>
                    <w14:schemeClr w14:val="tx1"/>
                  </w14:solidFill>
                </w14:textFill>
              </w:rPr>
              <w:t>7</w:t>
            </w:r>
            <w:r>
              <w:rPr>
                <w:b/>
                <w:bCs/>
                <w:color w:val="000000" w:themeColor="text1"/>
                <w:sz w:val="21"/>
                <w:szCs w:val="21"/>
                <w14:textFill>
                  <w14:solidFill>
                    <w14:schemeClr w14:val="tx1"/>
                  </w14:solidFill>
                </w14:textFill>
              </w:rPr>
              <w:t xml:space="preserve"> 一般固废汇总一览表</w:t>
            </w:r>
          </w:p>
          <w:tbl>
            <w:tblPr>
              <w:tblStyle w:val="31"/>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020"/>
              <w:gridCol w:w="1319"/>
              <w:gridCol w:w="996"/>
              <w:gridCol w:w="1125"/>
              <w:gridCol w:w="788"/>
              <w:gridCol w:w="659"/>
              <w:gridCol w:w="988"/>
              <w:gridCol w:w="983"/>
            </w:tblGrid>
            <w:tr w14:paraId="04F186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 w:type="pct"/>
                  <w:tcBorders>
                    <w:tl2br w:val="nil"/>
                    <w:tr2bl w:val="nil"/>
                  </w:tcBorders>
                  <w:vAlign w:val="center"/>
                </w:tcPr>
                <w:p w14:paraId="7E064E48">
                  <w:pPr>
                    <w:jc w:val="center"/>
                    <w:rPr>
                      <w:bCs/>
                      <w:color w:val="000000" w:themeColor="text1"/>
                      <w:kern w:val="0"/>
                      <w:szCs w:val="21"/>
                      <w:lang w:val="zh-CN"/>
                      <w14:textFill>
                        <w14:solidFill>
                          <w14:schemeClr w14:val="tx1"/>
                        </w14:solidFill>
                      </w14:textFill>
                    </w:rPr>
                  </w:pPr>
                  <w:r>
                    <w:rPr>
                      <w:bCs/>
                      <w:color w:val="000000" w:themeColor="text1"/>
                      <w:kern w:val="0"/>
                      <w:szCs w:val="21"/>
                      <w:lang w:val="zh-CN"/>
                      <w14:textFill>
                        <w14:solidFill>
                          <w14:schemeClr w14:val="tx1"/>
                        </w14:solidFill>
                      </w14:textFill>
                    </w:rPr>
                    <w:t>序号</w:t>
                  </w:r>
                </w:p>
              </w:tc>
              <w:tc>
                <w:tcPr>
                  <w:tcW w:w="614" w:type="pct"/>
                  <w:tcBorders>
                    <w:tl2br w:val="nil"/>
                    <w:tr2bl w:val="nil"/>
                  </w:tcBorders>
                  <w:vAlign w:val="center"/>
                </w:tcPr>
                <w:p w14:paraId="532639C3">
                  <w:pPr>
                    <w:jc w:val="center"/>
                    <w:rPr>
                      <w:bCs/>
                      <w:color w:val="000000" w:themeColor="text1"/>
                      <w:kern w:val="0"/>
                      <w:szCs w:val="21"/>
                      <w:lang w:val="zh-CN"/>
                      <w14:textFill>
                        <w14:solidFill>
                          <w14:schemeClr w14:val="tx1"/>
                        </w14:solidFill>
                      </w14:textFill>
                    </w:rPr>
                  </w:pPr>
                  <w:r>
                    <w:rPr>
                      <w:bCs/>
                      <w:color w:val="000000" w:themeColor="text1"/>
                      <w:kern w:val="0"/>
                      <w:szCs w:val="21"/>
                      <w:lang w:val="zh-CN"/>
                      <w14:textFill>
                        <w14:solidFill>
                          <w14:schemeClr w14:val="tx1"/>
                        </w14:solidFill>
                      </w14:textFill>
                    </w:rPr>
                    <w:t>固体废物名称</w:t>
                  </w:r>
                </w:p>
              </w:tc>
              <w:tc>
                <w:tcPr>
                  <w:tcW w:w="793" w:type="pct"/>
                  <w:tcBorders>
                    <w:tl2br w:val="nil"/>
                    <w:tr2bl w:val="nil"/>
                  </w:tcBorders>
                  <w:vAlign w:val="center"/>
                </w:tcPr>
                <w:p w14:paraId="2032886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固废代码</w:t>
                  </w:r>
                </w:p>
              </w:tc>
              <w:tc>
                <w:tcPr>
                  <w:tcW w:w="600" w:type="pct"/>
                  <w:tcBorders>
                    <w:tl2br w:val="nil"/>
                    <w:tr2bl w:val="nil"/>
                  </w:tcBorders>
                  <w:vAlign w:val="center"/>
                </w:tcPr>
                <w:p w14:paraId="7D6A53E8">
                  <w:pPr>
                    <w:jc w:val="center"/>
                    <w:rPr>
                      <w:bCs/>
                      <w:color w:val="000000" w:themeColor="text1"/>
                      <w:kern w:val="0"/>
                      <w:szCs w:val="21"/>
                      <w:lang w:val="zh-CN"/>
                      <w14:textFill>
                        <w14:solidFill>
                          <w14:schemeClr w14:val="tx1"/>
                        </w14:solidFill>
                      </w14:textFill>
                    </w:rPr>
                  </w:pPr>
                  <w:r>
                    <w:rPr>
                      <w:bCs/>
                      <w:color w:val="000000" w:themeColor="text1"/>
                      <w:kern w:val="0"/>
                      <w:szCs w:val="21"/>
                      <w:lang w:val="zh-CN"/>
                      <w14:textFill>
                        <w14:solidFill>
                          <w14:schemeClr w14:val="tx1"/>
                        </w14:solidFill>
                      </w14:textFill>
                    </w:rPr>
                    <w:t>产生工序</w:t>
                  </w:r>
                </w:p>
              </w:tc>
              <w:tc>
                <w:tcPr>
                  <w:tcW w:w="677" w:type="pct"/>
                  <w:tcBorders>
                    <w:tl2br w:val="nil"/>
                    <w:tr2bl w:val="nil"/>
                  </w:tcBorders>
                  <w:vAlign w:val="center"/>
                </w:tcPr>
                <w:p w14:paraId="1FC9BE19">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主要成分</w:t>
                  </w:r>
                </w:p>
              </w:tc>
              <w:tc>
                <w:tcPr>
                  <w:tcW w:w="475" w:type="pct"/>
                  <w:tcBorders>
                    <w:tl2br w:val="nil"/>
                    <w:tr2bl w:val="nil"/>
                  </w:tcBorders>
                  <w:vAlign w:val="center"/>
                </w:tcPr>
                <w:p w14:paraId="538A6A7B">
                  <w:pPr>
                    <w:jc w:val="center"/>
                    <w:rPr>
                      <w:bCs/>
                      <w:color w:val="000000" w:themeColor="text1"/>
                      <w:kern w:val="0"/>
                      <w:szCs w:val="21"/>
                      <w:lang w:val="zh-CN"/>
                      <w14:textFill>
                        <w14:solidFill>
                          <w14:schemeClr w14:val="tx1"/>
                        </w14:solidFill>
                      </w14:textFill>
                    </w:rPr>
                  </w:pPr>
                  <w:r>
                    <w:rPr>
                      <w:bCs/>
                      <w:color w:val="000000" w:themeColor="text1"/>
                      <w:kern w:val="0"/>
                      <w:szCs w:val="21"/>
                      <w:lang w:val="zh-CN"/>
                      <w14:textFill>
                        <w14:solidFill>
                          <w14:schemeClr w14:val="tx1"/>
                        </w14:solidFill>
                      </w14:textFill>
                    </w:rPr>
                    <w:t>预测产生量</w:t>
                  </w:r>
                  <w:r>
                    <w:rPr>
                      <w:bCs/>
                      <w:color w:val="000000" w:themeColor="text1"/>
                      <w:kern w:val="0"/>
                      <w:szCs w:val="21"/>
                      <w14:textFill>
                        <w14:solidFill>
                          <w14:schemeClr w14:val="tx1"/>
                        </w14:solidFill>
                      </w14:textFill>
                    </w:rPr>
                    <w:t>t/a</w:t>
                  </w:r>
                </w:p>
              </w:tc>
              <w:tc>
                <w:tcPr>
                  <w:tcW w:w="397" w:type="pct"/>
                  <w:tcBorders>
                    <w:tl2br w:val="nil"/>
                    <w:tr2bl w:val="nil"/>
                  </w:tcBorders>
                  <w:vAlign w:val="center"/>
                </w:tcPr>
                <w:p w14:paraId="5A05320C">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物理状态</w:t>
                  </w:r>
                </w:p>
              </w:tc>
              <w:tc>
                <w:tcPr>
                  <w:tcW w:w="595" w:type="pct"/>
                  <w:tcBorders>
                    <w:tl2br w:val="nil"/>
                    <w:tr2bl w:val="nil"/>
                  </w:tcBorders>
                  <w:vAlign w:val="center"/>
                </w:tcPr>
                <w:p w14:paraId="58752E45">
                  <w:pPr>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储存方式</w:t>
                  </w:r>
                </w:p>
              </w:tc>
              <w:tc>
                <w:tcPr>
                  <w:tcW w:w="592" w:type="pct"/>
                  <w:tcBorders>
                    <w:tl2br w:val="nil"/>
                    <w:tr2bl w:val="nil"/>
                  </w:tcBorders>
                  <w:vAlign w:val="center"/>
                </w:tcPr>
                <w:p w14:paraId="71A2F9AF">
                  <w:pPr>
                    <w:jc w:val="center"/>
                    <w:rPr>
                      <w:bCs/>
                      <w:color w:val="000000" w:themeColor="text1"/>
                      <w:kern w:val="0"/>
                      <w:szCs w:val="21"/>
                      <w:lang w:val="zh-CN"/>
                      <w14:textFill>
                        <w14:solidFill>
                          <w14:schemeClr w14:val="tx1"/>
                        </w14:solidFill>
                      </w14:textFill>
                    </w:rPr>
                  </w:pPr>
                  <w:r>
                    <w:rPr>
                      <w:bCs/>
                      <w:color w:val="000000" w:themeColor="text1"/>
                      <w:kern w:val="0"/>
                      <w:szCs w:val="21"/>
                      <w:lang w:val="zh-CN"/>
                      <w14:textFill>
                        <w14:solidFill>
                          <w14:schemeClr w14:val="tx1"/>
                        </w14:solidFill>
                      </w14:textFill>
                    </w:rPr>
                    <w:t>处置方式</w:t>
                  </w:r>
                </w:p>
              </w:tc>
            </w:tr>
            <w:tr w14:paraId="0004E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 w:type="pct"/>
                  <w:tcBorders>
                    <w:tl2br w:val="nil"/>
                    <w:tr2bl w:val="nil"/>
                  </w:tcBorders>
                  <w:vAlign w:val="center"/>
                </w:tcPr>
                <w:p w14:paraId="3A70B08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w:t>
                  </w:r>
                </w:p>
              </w:tc>
              <w:tc>
                <w:tcPr>
                  <w:tcW w:w="614" w:type="pct"/>
                  <w:tcBorders>
                    <w:tl2br w:val="nil"/>
                    <w:tr2bl w:val="nil"/>
                  </w:tcBorders>
                  <w:shd w:val="clear" w:color="auto" w:fill="auto"/>
                  <w:vAlign w:val="center"/>
                </w:tcPr>
                <w:p w14:paraId="3294EC98">
                  <w:pPr>
                    <w:jc w:val="center"/>
                    <w:rPr>
                      <w:bCs/>
                      <w:color w:val="000000" w:themeColor="text1"/>
                      <w:kern w:val="0"/>
                      <w:szCs w:val="21"/>
                      <w:lang w:val="zh-CN"/>
                      <w14:textFill>
                        <w14:solidFill>
                          <w14:schemeClr w14:val="tx1"/>
                        </w14:solidFill>
                      </w14:textFill>
                    </w:rPr>
                  </w:pPr>
                  <w:r>
                    <w:rPr>
                      <w:bCs/>
                      <w:color w:val="000000" w:themeColor="text1"/>
                      <w:kern w:val="0"/>
                      <w:szCs w:val="21"/>
                      <w14:textFill>
                        <w14:solidFill>
                          <w14:schemeClr w14:val="tx1"/>
                        </w14:solidFill>
                      </w14:textFill>
                    </w:rPr>
                    <w:t>除尘灰</w:t>
                  </w:r>
                </w:p>
              </w:tc>
              <w:tc>
                <w:tcPr>
                  <w:tcW w:w="793" w:type="pct"/>
                  <w:tcBorders>
                    <w:tl2br w:val="nil"/>
                    <w:tr2bl w:val="nil"/>
                  </w:tcBorders>
                  <w:vAlign w:val="center"/>
                </w:tcPr>
                <w:p w14:paraId="2DD0949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900-099-S59</w:t>
                  </w:r>
                </w:p>
              </w:tc>
              <w:tc>
                <w:tcPr>
                  <w:tcW w:w="600" w:type="pct"/>
                  <w:tcBorders>
                    <w:tl2br w:val="nil"/>
                    <w:tr2bl w:val="nil"/>
                  </w:tcBorders>
                  <w:vAlign w:val="center"/>
                </w:tcPr>
                <w:p w14:paraId="18FDC17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废气治理</w:t>
                  </w:r>
                </w:p>
              </w:tc>
              <w:tc>
                <w:tcPr>
                  <w:tcW w:w="677" w:type="pct"/>
                  <w:tcBorders>
                    <w:tl2br w:val="nil"/>
                    <w:tr2bl w:val="nil"/>
                  </w:tcBorders>
                  <w:vAlign w:val="center"/>
                </w:tcPr>
                <w:p w14:paraId="6FB34F4B">
                  <w:pPr>
                    <w:pStyle w:val="88"/>
                    <w:rPr>
                      <w:rFonts w:eastAsia="宋体"/>
                      <w:bCs/>
                      <w:color w:val="000000" w:themeColor="text1"/>
                      <w:szCs w:val="21"/>
                      <w14:textFill>
                        <w14:solidFill>
                          <w14:schemeClr w14:val="tx1"/>
                        </w14:solidFill>
                      </w14:textFill>
                    </w:rPr>
                  </w:pPr>
                  <w:r>
                    <w:rPr>
                      <w:rFonts w:eastAsia="宋体"/>
                      <w:bCs/>
                      <w:color w:val="000000" w:themeColor="text1"/>
                      <w:szCs w:val="21"/>
                      <w14:textFill>
                        <w14:solidFill>
                          <w14:schemeClr w14:val="tx1"/>
                        </w14:solidFill>
                      </w14:textFill>
                    </w:rPr>
                    <w:t>粉尘</w:t>
                  </w:r>
                </w:p>
              </w:tc>
              <w:tc>
                <w:tcPr>
                  <w:tcW w:w="475" w:type="pct"/>
                  <w:tcBorders>
                    <w:tl2br w:val="nil"/>
                    <w:tr2bl w:val="nil"/>
                  </w:tcBorders>
                  <w:vAlign w:val="center"/>
                </w:tcPr>
                <w:p w14:paraId="3E34E51E">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12.605</w:t>
                  </w:r>
                </w:p>
              </w:tc>
              <w:tc>
                <w:tcPr>
                  <w:tcW w:w="397" w:type="pct"/>
                  <w:tcBorders>
                    <w:tl2br w:val="nil"/>
                    <w:tr2bl w:val="nil"/>
                  </w:tcBorders>
                  <w:vAlign w:val="center"/>
                </w:tcPr>
                <w:p w14:paraId="46BE7FC6">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固态</w:t>
                  </w:r>
                </w:p>
              </w:tc>
              <w:tc>
                <w:tcPr>
                  <w:tcW w:w="595" w:type="pct"/>
                  <w:tcBorders>
                    <w:tl2br w:val="nil"/>
                    <w:tr2bl w:val="nil"/>
                  </w:tcBorders>
                  <w:vAlign w:val="center"/>
                </w:tcPr>
                <w:p w14:paraId="352744BC">
                  <w:pPr>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袋装</w:t>
                  </w:r>
                </w:p>
              </w:tc>
              <w:tc>
                <w:tcPr>
                  <w:tcW w:w="592" w:type="pct"/>
                  <w:vMerge w:val="restart"/>
                  <w:tcBorders>
                    <w:tl2br w:val="nil"/>
                    <w:tr2bl w:val="nil"/>
                  </w:tcBorders>
                  <w:vAlign w:val="center"/>
                </w:tcPr>
                <w:p w14:paraId="59694A93">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外售综合利用</w:t>
                  </w:r>
                </w:p>
              </w:tc>
            </w:tr>
            <w:tr w14:paraId="473100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 w:type="pct"/>
                  <w:tcBorders>
                    <w:tl2br w:val="nil"/>
                    <w:tr2bl w:val="nil"/>
                  </w:tcBorders>
                  <w:vAlign w:val="center"/>
                </w:tcPr>
                <w:p w14:paraId="3A1618B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w:t>
                  </w:r>
                </w:p>
              </w:tc>
              <w:tc>
                <w:tcPr>
                  <w:tcW w:w="614" w:type="pct"/>
                  <w:tcBorders>
                    <w:tl2br w:val="nil"/>
                    <w:tr2bl w:val="nil"/>
                  </w:tcBorders>
                  <w:shd w:val="clear" w:color="auto" w:fill="auto"/>
                  <w:vAlign w:val="center"/>
                </w:tcPr>
                <w:p w14:paraId="7AF4F325">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炉渣</w:t>
                  </w:r>
                </w:p>
              </w:tc>
              <w:tc>
                <w:tcPr>
                  <w:tcW w:w="793" w:type="pct"/>
                  <w:tcBorders>
                    <w:tl2br w:val="nil"/>
                    <w:tr2bl w:val="nil"/>
                  </w:tcBorders>
                  <w:shd w:val="clear" w:color="auto" w:fill="auto"/>
                  <w:vAlign w:val="center"/>
                </w:tcPr>
                <w:p w14:paraId="2408065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900-099-S03</w:t>
                  </w:r>
                </w:p>
              </w:tc>
              <w:tc>
                <w:tcPr>
                  <w:tcW w:w="600" w:type="pct"/>
                  <w:tcBorders>
                    <w:tl2br w:val="nil"/>
                    <w:tr2bl w:val="nil"/>
                  </w:tcBorders>
                  <w:shd w:val="clear" w:color="auto" w:fill="auto"/>
                  <w:vAlign w:val="center"/>
                </w:tcPr>
                <w:p w14:paraId="536E240A">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蒸汽发生器运行</w:t>
                  </w:r>
                </w:p>
              </w:tc>
              <w:tc>
                <w:tcPr>
                  <w:tcW w:w="677" w:type="pct"/>
                  <w:tcBorders>
                    <w:tl2br w:val="nil"/>
                    <w:tr2bl w:val="nil"/>
                  </w:tcBorders>
                  <w:shd w:val="clear" w:color="auto" w:fill="auto"/>
                  <w:vAlign w:val="center"/>
                </w:tcPr>
                <w:p w14:paraId="63B00289">
                  <w:pPr>
                    <w:pStyle w:val="88"/>
                    <w:rPr>
                      <w:rFonts w:eastAsia="宋体"/>
                      <w:bCs/>
                      <w:color w:val="000000" w:themeColor="text1"/>
                      <w:szCs w:val="21"/>
                      <w14:textFill>
                        <w14:solidFill>
                          <w14:schemeClr w14:val="tx1"/>
                        </w14:solidFill>
                      </w14:textFill>
                    </w:rPr>
                  </w:pPr>
                  <w:r>
                    <w:rPr>
                      <w:rFonts w:eastAsia="宋体"/>
                      <w:bCs/>
                      <w:color w:val="000000" w:themeColor="text1"/>
                      <w:szCs w:val="21"/>
                      <w14:textFill>
                        <w14:solidFill>
                          <w14:schemeClr w14:val="tx1"/>
                        </w14:solidFill>
                      </w14:textFill>
                    </w:rPr>
                    <w:t>炉渣</w:t>
                  </w:r>
                </w:p>
              </w:tc>
              <w:tc>
                <w:tcPr>
                  <w:tcW w:w="475" w:type="pct"/>
                  <w:tcBorders>
                    <w:tl2br w:val="nil"/>
                    <w:tr2bl w:val="nil"/>
                  </w:tcBorders>
                  <w:shd w:val="clear" w:color="auto" w:fill="auto"/>
                  <w:vAlign w:val="center"/>
                </w:tcPr>
                <w:p w14:paraId="1DBE870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23.5</w:t>
                  </w:r>
                </w:p>
              </w:tc>
              <w:tc>
                <w:tcPr>
                  <w:tcW w:w="397" w:type="pct"/>
                  <w:tcBorders>
                    <w:tl2br w:val="nil"/>
                    <w:tr2bl w:val="nil"/>
                  </w:tcBorders>
                  <w:shd w:val="clear" w:color="auto" w:fill="auto"/>
                  <w:vAlign w:val="center"/>
                </w:tcPr>
                <w:p w14:paraId="238CF6F2">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固态</w:t>
                  </w:r>
                </w:p>
              </w:tc>
              <w:tc>
                <w:tcPr>
                  <w:tcW w:w="595" w:type="pct"/>
                  <w:tcBorders>
                    <w:tl2br w:val="nil"/>
                    <w:tr2bl w:val="nil"/>
                  </w:tcBorders>
                  <w:shd w:val="clear" w:color="auto" w:fill="auto"/>
                  <w:vAlign w:val="center"/>
                </w:tcPr>
                <w:p w14:paraId="269E031A">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袋装</w:t>
                  </w:r>
                </w:p>
              </w:tc>
              <w:tc>
                <w:tcPr>
                  <w:tcW w:w="592" w:type="pct"/>
                  <w:vMerge w:val="continue"/>
                  <w:tcBorders>
                    <w:tl2br w:val="nil"/>
                    <w:tr2bl w:val="nil"/>
                  </w:tcBorders>
                  <w:shd w:val="clear" w:color="auto" w:fill="auto"/>
                  <w:vAlign w:val="center"/>
                </w:tcPr>
                <w:p w14:paraId="3B7A4D0D">
                  <w:pPr>
                    <w:jc w:val="center"/>
                    <w:rPr>
                      <w:bCs/>
                      <w:color w:val="000000" w:themeColor="text1"/>
                      <w:kern w:val="0"/>
                      <w:szCs w:val="21"/>
                      <w14:textFill>
                        <w14:solidFill>
                          <w14:schemeClr w14:val="tx1"/>
                        </w14:solidFill>
                      </w14:textFill>
                    </w:rPr>
                  </w:pPr>
                </w:p>
              </w:tc>
            </w:tr>
            <w:tr w14:paraId="135DA8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 w:type="pct"/>
                  <w:vAlign w:val="center"/>
                </w:tcPr>
                <w:p w14:paraId="21B8320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3</w:t>
                  </w:r>
                </w:p>
              </w:tc>
              <w:tc>
                <w:tcPr>
                  <w:tcW w:w="614" w:type="pct"/>
                  <w:shd w:val="clear" w:color="auto" w:fill="auto"/>
                  <w:vAlign w:val="center"/>
                </w:tcPr>
                <w:p w14:paraId="21BA1BFB">
                  <w:pPr>
                    <w:jc w:val="center"/>
                    <w:rPr>
                      <w:bCs/>
                      <w:color w:val="000000" w:themeColor="text1"/>
                      <w:kern w:val="0"/>
                      <w:szCs w:val="21"/>
                      <w:lang w:val="zh-CN"/>
                      <w14:textFill>
                        <w14:solidFill>
                          <w14:schemeClr w14:val="tx1"/>
                        </w14:solidFill>
                      </w14:textFill>
                    </w:rPr>
                  </w:pPr>
                  <w:r>
                    <w:rPr>
                      <w:bCs/>
                      <w:color w:val="000000" w:themeColor="text1"/>
                      <w:kern w:val="0"/>
                      <w:szCs w:val="21"/>
                      <w14:textFill>
                        <w14:solidFill>
                          <w14:schemeClr w14:val="tx1"/>
                        </w14:solidFill>
                      </w14:textFill>
                    </w:rPr>
                    <w:t>废布袋</w:t>
                  </w:r>
                </w:p>
              </w:tc>
              <w:tc>
                <w:tcPr>
                  <w:tcW w:w="793" w:type="pct"/>
                  <w:vAlign w:val="center"/>
                </w:tcPr>
                <w:p w14:paraId="3E2C597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900-009-S59</w:t>
                  </w:r>
                </w:p>
              </w:tc>
              <w:tc>
                <w:tcPr>
                  <w:tcW w:w="600" w:type="pct"/>
                  <w:vAlign w:val="center"/>
                </w:tcPr>
                <w:p w14:paraId="70C4E88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废气治理</w:t>
                  </w:r>
                </w:p>
              </w:tc>
              <w:tc>
                <w:tcPr>
                  <w:tcW w:w="677" w:type="pct"/>
                  <w:vAlign w:val="center"/>
                </w:tcPr>
                <w:p w14:paraId="350DED22">
                  <w:pPr>
                    <w:pStyle w:val="88"/>
                    <w:rPr>
                      <w:rFonts w:eastAsia="宋体"/>
                      <w:bCs/>
                      <w:color w:val="000000" w:themeColor="text1"/>
                      <w:szCs w:val="21"/>
                      <w14:textFill>
                        <w14:solidFill>
                          <w14:schemeClr w14:val="tx1"/>
                        </w14:solidFill>
                      </w14:textFill>
                    </w:rPr>
                  </w:pPr>
                  <w:r>
                    <w:rPr>
                      <w:rFonts w:eastAsia="宋体"/>
                      <w:bCs/>
                      <w:color w:val="000000" w:themeColor="text1"/>
                      <w:szCs w:val="21"/>
                      <w14:textFill>
                        <w14:solidFill>
                          <w14:schemeClr w14:val="tx1"/>
                        </w14:solidFill>
                      </w14:textFill>
                    </w:rPr>
                    <w:t>废布袋</w:t>
                  </w:r>
                </w:p>
              </w:tc>
              <w:tc>
                <w:tcPr>
                  <w:tcW w:w="475" w:type="pct"/>
                  <w:vAlign w:val="center"/>
                </w:tcPr>
                <w:p w14:paraId="642E5E8C">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0.1</w:t>
                  </w:r>
                </w:p>
              </w:tc>
              <w:tc>
                <w:tcPr>
                  <w:tcW w:w="397" w:type="pct"/>
                  <w:vAlign w:val="center"/>
                </w:tcPr>
                <w:p w14:paraId="376624C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固态</w:t>
                  </w:r>
                </w:p>
              </w:tc>
              <w:tc>
                <w:tcPr>
                  <w:tcW w:w="595" w:type="pct"/>
                  <w:vAlign w:val="center"/>
                </w:tcPr>
                <w:p w14:paraId="645A8B51">
                  <w:pPr>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袋装</w:t>
                  </w:r>
                </w:p>
              </w:tc>
              <w:tc>
                <w:tcPr>
                  <w:tcW w:w="592" w:type="pct"/>
                  <w:vMerge w:val="restart"/>
                  <w:vAlign w:val="center"/>
                </w:tcPr>
                <w:p w14:paraId="43B6D981">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厂家回收</w:t>
                  </w:r>
                </w:p>
              </w:tc>
            </w:tr>
            <w:tr w14:paraId="169F1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3" w:type="pct"/>
                  <w:vAlign w:val="center"/>
                </w:tcPr>
                <w:p w14:paraId="68DD1C4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4</w:t>
                  </w:r>
                </w:p>
              </w:tc>
              <w:tc>
                <w:tcPr>
                  <w:tcW w:w="614" w:type="pct"/>
                  <w:shd w:val="clear" w:color="auto" w:fill="auto"/>
                  <w:vAlign w:val="center"/>
                </w:tcPr>
                <w:p w14:paraId="0B99789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废离子交换树脂</w:t>
                  </w:r>
                </w:p>
              </w:tc>
              <w:tc>
                <w:tcPr>
                  <w:tcW w:w="793" w:type="pct"/>
                  <w:vAlign w:val="center"/>
                </w:tcPr>
                <w:p w14:paraId="2837A3FC">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900-099-S17</w:t>
                  </w:r>
                </w:p>
              </w:tc>
              <w:tc>
                <w:tcPr>
                  <w:tcW w:w="600" w:type="pct"/>
                  <w:vAlign w:val="center"/>
                </w:tcPr>
                <w:p w14:paraId="6E97399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软水制备</w:t>
                  </w:r>
                </w:p>
              </w:tc>
              <w:tc>
                <w:tcPr>
                  <w:tcW w:w="677" w:type="pct"/>
                  <w:vAlign w:val="center"/>
                </w:tcPr>
                <w:p w14:paraId="69B02B14">
                  <w:pPr>
                    <w:pStyle w:val="88"/>
                    <w:rPr>
                      <w:rFonts w:eastAsia="宋体"/>
                      <w:bCs/>
                      <w:color w:val="000000" w:themeColor="text1"/>
                      <w:szCs w:val="21"/>
                      <w14:textFill>
                        <w14:solidFill>
                          <w14:schemeClr w14:val="tx1"/>
                        </w14:solidFill>
                      </w14:textFill>
                    </w:rPr>
                  </w:pPr>
                  <w:r>
                    <w:rPr>
                      <w:rFonts w:eastAsia="宋体"/>
                      <w:bCs/>
                      <w:color w:val="000000" w:themeColor="text1"/>
                      <w:szCs w:val="21"/>
                      <w14:textFill>
                        <w14:solidFill>
                          <w14:schemeClr w14:val="tx1"/>
                        </w14:solidFill>
                      </w14:textFill>
                    </w:rPr>
                    <w:t>废树脂</w:t>
                  </w:r>
                </w:p>
              </w:tc>
              <w:tc>
                <w:tcPr>
                  <w:tcW w:w="475" w:type="pct"/>
                  <w:vAlign w:val="center"/>
                </w:tcPr>
                <w:p w14:paraId="486B204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0.2</w:t>
                  </w:r>
                </w:p>
              </w:tc>
              <w:tc>
                <w:tcPr>
                  <w:tcW w:w="397" w:type="pct"/>
                  <w:vAlign w:val="center"/>
                </w:tcPr>
                <w:p w14:paraId="0F7EE39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固态</w:t>
                  </w:r>
                </w:p>
              </w:tc>
              <w:tc>
                <w:tcPr>
                  <w:tcW w:w="595" w:type="pct"/>
                  <w:vAlign w:val="center"/>
                </w:tcPr>
                <w:p w14:paraId="1DCC8A6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袋装</w:t>
                  </w:r>
                </w:p>
              </w:tc>
              <w:tc>
                <w:tcPr>
                  <w:tcW w:w="592" w:type="pct"/>
                  <w:vMerge w:val="continue"/>
                  <w:vAlign w:val="center"/>
                </w:tcPr>
                <w:p w14:paraId="5B9D29DA">
                  <w:pPr>
                    <w:jc w:val="center"/>
                    <w:rPr>
                      <w:bCs/>
                      <w:color w:val="000000" w:themeColor="text1"/>
                      <w:kern w:val="0"/>
                      <w:szCs w:val="21"/>
                      <w14:textFill>
                        <w14:solidFill>
                          <w14:schemeClr w14:val="tx1"/>
                        </w14:solidFill>
                      </w14:textFill>
                    </w:rPr>
                  </w:pPr>
                </w:p>
              </w:tc>
            </w:tr>
          </w:tbl>
          <w:p w14:paraId="7ACF2614">
            <w:pPr>
              <w:pStyle w:val="125"/>
              <w:spacing w:before="120" w:beforeLines="50" w:after="0" w:line="240" w:lineRule="auto"/>
              <w:ind w:left="0" w:leftChars="0" w:firstLine="422"/>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表4-1</w:t>
            </w:r>
            <w:r>
              <w:rPr>
                <w:rFonts w:hint="eastAsia"/>
                <w:b/>
                <w:bCs/>
                <w:color w:val="000000" w:themeColor="text1"/>
                <w:sz w:val="21"/>
                <w:szCs w:val="21"/>
                <w14:textFill>
                  <w14:solidFill>
                    <w14:schemeClr w14:val="tx1"/>
                  </w14:solidFill>
                </w14:textFill>
              </w:rPr>
              <w:t>8</w:t>
            </w:r>
            <w:r>
              <w:rPr>
                <w:b/>
                <w:bCs/>
                <w:color w:val="000000" w:themeColor="text1"/>
                <w:sz w:val="21"/>
                <w:szCs w:val="21"/>
                <w14:textFill>
                  <w14:solidFill>
                    <w14:schemeClr w14:val="tx1"/>
                  </w14:solidFill>
                </w14:textFill>
              </w:rPr>
              <w:t xml:space="preserve"> 本项目危险废物汇总一览表</w:t>
            </w:r>
          </w:p>
          <w:tbl>
            <w:tblPr>
              <w:tblStyle w:val="31"/>
              <w:tblW w:w="836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7" w:type="dxa"/>
                <w:bottom w:w="0" w:type="dxa"/>
                <w:right w:w="17" w:type="dxa"/>
              </w:tblCellMar>
            </w:tblPr>
            <w:tblGrid>
              <w:gridCol w:w="760"/>
              <w:gridCol w:w="760"/>
              <w:gridCol w:w="842"/>
              <w:gridCol w:w="900"/>
              <w:gridCol w:w="1016"/>
              <w:gridCol w:w="667"/>
              <w:gridCol w:w="650"/>
              <w:gridCol w:w="583"/>
              <w:gridCol w:w="650"/>
              <w:gridCol w:w="600"/>
              <w:gridCol w:w="939"/>
            </w:tblGrid>
            <w:tr w14:paraId="42CC58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7" w:type="dxa"/>
                  <w:bottom w:w="0" w:type="dxa"/>
                  <w:right w:w="17" w:type="dxa"/>
                </w:tblCellMar>
              </w:tblPrEx>
              <w:trPr>
                <w:trHeight w:val="397" w:hRule="atLeast"/>
                <w:jc w:val="center"/>
              </w:trPr>
              <w:tc>
                <w:tcPr>
                  <w:tcW w:w="760" w:type="dxa"/>
                  <w:tcBorders>
                    <w:tl2br w:val="nil"/>
                    <w:tr2bl w:val="nil"/>
                  </w:tcBorders>
                  <w:vAlign w:val="center"/>
                </w:tcPr>
                <w:p w14:paraId="1DC69DF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危险废物名称</w:t>
                  </w:r>
                </w:p>
              </w:tc>
              <w:tc>
                <w:tcPr>
                  <w:tcW w:w="760" w:type="dxa"/>
                  <w:tcBorders>
                    <w:tl2br w:val="nil"/>
                    <w:tr2bl w:val="nil"/>
                  </w:tcBorders>
                  <w:vAlign w:val="center"/>
                </w:tcPr>
                <w:p w14:paraId="33B92D40">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危险废物类别</w:t>
                  </w:r>
                </w:p>
              </w:tc>
              <w:tc>
                <w:tcPr>
                  <w:tcW w:w="842" w:type="dxa"/>
                  <w:tcBorders>
                    <w:tl2br w:val="nil"/>
                    <w:tr2bl w:val="nil"/>
                  </w:tcBorders>
                  <w:vAlign w:val="center"/>
                </w:tcPr>
                <w:p w14:paraId="417A789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危险废物代码</w:t>
                  </w:r>
                </w:p>
              </w:tc>
              <w:tc>
                <w:tcPr>
                  <w:tcW w:w="900" w:type="dxa"/>
                  <w:tcBorders>
                    <w:tl2br w:val="nil"/>
                    <w:tr2bl w:val="nil"/>
                  </w:tcBorders>
                  <w:vAlign w:val="center"/>
                </w:tcPr>
                <w:p w14:paraId="66A46959">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产生量t/a</w:t>
                  </w:r>
                </w:p>
              </w:tc>
              <w:tc>
                <w:tcPr>
                  <w:tcW w:w="1016" w:type="dxa"/>
                  <w:tcBorders>
                    <w:tl2br w:val="nil"/>
                    <w:tr2bl w:val="nil"/>
                  </w:tcBorders>
                  <w:vAlign w:val="center"/>
                </w:tcPr>
                <w:p w14:paraId="21A60413">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产生工序及装置</w:t>
                  </w:r>
                </w:p>
              </w:tc>
              <w:tc>
                <w:tcPr>
                  <w:tcW w:w="667" w:type="dxa"/>
                  <w:tcBorders>
                    <w:tl2br w:val="nil"/>
                    <w:tr2bl w:val="nil"/>
                  </w:tcBorders>
                  <w:vAlign w:val="center"/>
                </w:tcPr>
                <w:p w14:paraId="7551000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形态</w:t>
                  </w:r>
                </w:p>
              </w:tc>
              <w:tc>
                <w:tcPr>
                  <w:tcW w:w="650" w:type="dxa"/>
                  <w:tcBorders>
                    <w:tl2br w:val="nil"/>
                    <w:tr2bl w:val="nil"/>
                  </w:tcBorders>
                  <w:vAlign w:val="center"/>
                </w:tcPr>
                <w:p w14:paraId="59D616A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主要成分</w:t>
                  </w:r>
                </w:p>
              </w:tc>
              <w:tc>
                <w:tcPr>
                  <w:tcW w:w="583" w:type="dxa"/>
                  <w:tcBorders>
                    <w:tl2br w:val="nil"/>
                    <w:tr2bl w:val="nil"/>
                  </w:tcBorders>
                  <w:vAlign w:val="center"/>
                </w:tcPr>
                <w:p w14:paraId="5354157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有害成分</w:t>
                  </w:r>
                </w:p>
              </w:tc>
              <w:tc>
                <w:tcPr>
                  <w:tcW w:w="650" w:type="dxa"/>
                  <w:tcBorders>
                    <w:tl2br w:val="nil"/>
                    <w:tr2bl w:val="nil"/>
                  </w:tcBorders>
                  <w:vAlign w:val="center"/>
                </w:tcPr>
                <w:p w14:paraId="10117EF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产废周期</w:t>
                  </w:r>
                </w:p>
              </w:tc>
              <w:tc>
                <w:tcPr>
                  <w:tcW w:w="600" w:type="dxa"/>
                  <w:tcBorders>
                    <w:tl2br w:val="nil"/>
                    <w:tr2bl w:val="nil"/>
                  </w:tcBorders>
                  <w:vAlign w:val="center"/>
                </w:tcPr>
                <w:p w14:paraId="26201C07">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危险特性</w:t>
                  </w:r>
                </w:p>
              </w:tc>
              <w:tc>
                <w:tcPr>
                  <w:tcW w:w="939" w:type="dxa"/>
                  <w:tcBorders>
                    <w:tl2br w:val="nil"/>
                    <w:tr2bl w:val="nil"/>
                  </w:tcBorders>
                  <w:vAlign w:val="center"/>
                </w:tcPr>
                <w:p w14:paraId="5BA3725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污染防治措施</w:t>
                  </w:r>
                </w:p>
              </w:tc>
            </w:tr>
            <w:tr w14:paraId="69F62B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7" w:type="dxa"/>
                  <w:bottom w:w="0" w:type="dxa"/>
                  <w:right w:w="17" w:type="dxa"/>
                </w:tblCellMar>
              </w:tblPrEx>
              <w:trPr>
                <w:trHeight w:val="397" w:hRule="atLeast"/>
                <w:jc w:val="center"/>
              </w:trPr>
              <w:tc>
                <w:tcPr>
                  <w:tcW w:w="760" w:type="dxa"/>
                  <w:tcBorders>
                    <w:tl2br w:val="nil"/>
                    <w:tr2bl w:val="nil"/>
                  </w:tcBorders>
                  <w:vAlign w:val="center"/>
                </w:tcPr>
                <w:p w14:paraId="36772F81">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废机油</w:t>
                  </w:r>
                </w:p>
              </w:tc>
              <w:tc>
                <w:tcPr>
                  <w:tcW w:w="760" w:type="dxa"/>
                  <w:tcBorders>
                    <w:tl2br w:val="nil"/>
                    <w:tr2bl w:val="nil"/>
                  </w:tcBorders>
                  <w:vAlign w:val="center"/>
                </w:tcPr>
                <w:p w14:paraId="2C16F515">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HW10</w:t>
                  </w:r>
                </w:p>
              </w:tc>
              <w:tc>
                <w:tcPr>
                  <w:tcW w:w="842" w:type="dxa"/>
                  <w:tcBorders>
                    <w:tl2br w:val="nil"/>
                    <w:tr2bl w:val="nil"/>
                  </w:tcBorders>
                  <w:vAlign w:val="center"/>
                </w:tcPr>
                <w:p w14:paraId="58034E66">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900-214-08</w:t>
                  </w:r>
                </w:p>
              </w:tc>
              <w:tc>
                <w:tcPr>
                  <w:tcW w:w="900" w:type="dxa"/>
                  <w:tcBorders>
                    <w:tl2br w:val="nil"/>
                    <w:tr2bl w:val="nil"/>
                  </w:tcBorders>
                  <w:vAlign w:val="center"/>
                </w:tcPr>
                <w:p w14:paraId="498BEFFA">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0.02</w:t>
                  </w:r>
                </w:p>
              </w:tc>
              <w:tc>
                <w:tcPr>
                  <w:tcW w:w="1016" w:type="dxa"/>
                  <w:vMerge w:val="restart"/>
                  <w:tcBorders>
                    <w:tl2br w:val="nil"/>
                    <w:tr2bl w:val="nil"/>
                  </w:tcBorders>
                  <w:vAlign w:val="center"/>
                </w:tcPr>
                <w:p w14:paraId="4B1123AF">
                  <w:pPr>
                    <w:jc w:val="center"/>
                    <w:rPr>
                      <w:bCs/>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设备检修保养</w:t>
                  </w:r>
                </w:p>
              </w:tc>
              <w:tc>
                <w:tcPr>
                  <w:tcW w:w="667" w:type="dxa"/>
                  <w:tcBorders>
                    <w:tl2br w:val="nil"/>
                    <w:tr2bl w:val="nil"/>
                  </w:tcBorders>
                  <w:vAlign w:val="center"/>
                </w:tcPr>
                <w:p w14:paraId="349014D5">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液态</w:t>
                  </w:r>
                </w:p>
              </w:tc>
              <w:tc>
                <w:tcPr>
                  <w:tcW w:w="650" w:type="dxa"/>
                  <w:tcBorders>
                    <w:tl2br w:val="nil"/>
                    <w:tr2bl w:val="nil"/>
                  </w:tcBorders>
                  <w:vAlign w:val="center"/>
                </w:tcPr>
                <w:p w14:paraId="402B281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油类</w:t>
                  </w:r>
                </w:p>
              </w:tc>
              <w:tc>
                <w:tcPr>
                  <w:tcW w:w="583" w:type="dxa"/>
                  <w:tcBorders>
                    <w:tl2br w:val="nil"/>
                    <w:tr2bl w:val="nil"/>
                  </w:tcBorders>
                  <w:vAlign w:val="center"/>
                </w:tcPr>
                <w:p w14:paraId="3DA719B3">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油类</w:t>
                  </w:r>
                </w:p>
              </w:tc>
              <w:tc>
                <w:tcPr>
                  <w:tcW w:w="650" w:type="dxa"/>
                  <w:tcBorders>
                    <w:tl2br w:val="nil"/>
                    <w:tr2bl w:val="nil"/>
                  </w:tcBorders>
                  <w:vAlign w:val="center"/>
                </w:tcPr>
                <w:p w14:paraId="291AF820">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a</w:t>
                  </w:r>
                </w:p>
              </w:tc>
              <w:tc>
                <w:tcPr>
                  <w:tcW w:w="600" w:type="dxa"/>
                  <w:tcBorders>
                    <w:tl2br w:val="nil"/>
                    <w:tr2bl w:val="nil"/>
                  </w:tcBorders>
                  <w:vAlign w:val="center"/>
                </w:tcPr>
                <w:p w14:paraId="742464B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w:t>
                  </w:r>
                </w:p>
              </w:tc>
              <w:tc>
                <w:tcPr>
                  <w:tcW w:w="939" w:type="dxa"/>
                  <w:vMerge w:val="restart"/>
                  <w:tcBorders>
                    <w:tl2br w:val="nil"/>
                    <w:tr2bl w:val="nil"/>
                  </w:tcBorders>
                  <w:vAlign w:val="center"/>
                </w:tcPr>
                <w:p w14:paraId="31863D9C">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暂存于危废贮存点，定期交有资质的单位处置</w:t>
                  </w:r>
                </w:p>
              </w:tc>
            </w:tr>
            <w:tr w14:paraId="3A0A7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7" w:type="dxa"/>
                  <w:bottom w:w="0" w:type="dxa"/>
                  <w:right w:w="17" w:type="dxa"/>
                </w:tblCellMar>
              </w:tblPrEx>
              <w:trPr>
                <w:trHeight w:val="397" w:hRule="atLeast"/>
                <w:jc w:val="center"/>
              </w:trPr>
              <w:tc>
                <w:tcPr>
                  <w:tcW w:w="760" w:type="dxa"/>
                  <w:tcBorders>
                    <w:tl2br w:val="nil"/>
                    <w:tr2bl w:val="nil"/>
                  </w:tcBorders>
                  <w:vAlign w:val="center"/>
                </w:tcPr>
                <w:p w14:paraId="51E6DA3A">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废机油桶</w:t>
                  </w:r>
                </w:p>
              </w:tc>
              <w:tc>
                <w:tcPr>
                  <w:tcW w:w="760" w:type="dxa"/>
                  <w:tcBorders>
                    <w:tl2br w:val="nil"/>
                    <w:tr2bl w:val="nil"/>
                  </w:tcBorders>
                  <w:shd w:val="clear" w:color="auto" w:fill="auto"/>
                  <w:vAlign w:val="center"/>
                </w:tcPr>
                <w:p w14:paraId="20D53F41">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HW10</w:t>
                  </w:r>
                </w:p>
              </w:tc>
              <w:tc>
                <w:tcPr>
                  <w:tcW w:w="842" w:type="dxa"/>
                  <w:tcBorders>
                    <w:tl2br w:val="nil"/>
                    <w:tr2bl w:val="nil"/>
                  </w:tcBorders>
                  <w:shd w:val="clear" w:color="auto" w:fill="auto"/>
                  <w:vAlign w:val="center"/>
                </w:tcPr>
                <w:p w14:paraId="7189E11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900-249-08</w:t>
                  </w:r>
                </w:p>
              </w:tc>
              <w:tc>
                <w:tcPr>
                  <w:tcW w:w="900" w:type="dxa"/>
                  <w:tcBorders>
                    <w:tl2br w:val="nil"/>
                    <w:tr2bl w:val="nil"/>
                  </w:tcBorders>
                  <w:vAlign w:val="center"/>
                </w:tcPr>
                <w:p w14:paraId="4E7B792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0.005</w:t>
                  </w:r>
                </w:p>
              </w:tc>
              <w:tc>
                <w:tcPr>
                  <w:tcW w:w="1016" w:type="dxa"/>
                  <w:vMerge w:val="continue"/>
                  <w:tcBorders>
                    <w:tl2br w:val="nil"/>
                    <w:tr2bl w:val="nil"/>
                  </w:tcBorders>
                  <w:vAlign w:val="center"/>
                </w:tcPr>
                <w:p w14:paraId="14D21A9B">
                  <w:pPr>
                    <w:jc w:val="center"/>
                    <w:rPr>
                      <w:color w:val="000000" w:themeColor="text1"/>
                      <w:szCs w:val="21"/>
                      <w14:textFill>
                        <w14:solidFill>
                          <w14:schemeClr w14:val="tx1"/>
                        </w14:solidFill>
                      </w14:textFill>
                    </w:rPr>
                  </w:pPr>
                </w:p>
              </w:tc>
              <w:tc>
                <w:tcPr>
                  <w:tcW w:w="667" w:type="dxa"/>
                  <w:tcBorders>
                    <w:tl2br w:val="nil"/>
                    <w:tr2bl w:val="nil"/>
                  </w:tcBorders>
                  <w:shd w:val="clear" w:color="auto" w:fill="auto"/>
                  <w:vAlign w:val="center"/>
                </w:tcPr>
                <w:p w14:paraId="734B2EA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固态</w:t>
                  </w:r>
                </w:p>
              </w:tc>
              <w:tc>
                <w:tcPr>
                  <w:tcW w:w="650" w:type="dxa"/>
                  <w:tcBorders>
                    <w:tl2br w:val="nil"/>
                    <w:tr2bl w:val="nil"/>
                  </w:tcBorders>
                  <w:shd w:val="clear" w:color="auto" w:fill="auto"/>
                  <w:vAlign w:val="center"/>
                </w:tcPr>
                <w:p w14:paraId="4C1FD369">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矿物油</w:t>
                  </w:r>
                </w:p>
              </w:tc>
              <w:tc>
                <w:tcPr>
                  <w:tcW w:w="583" w:type="dxa"/>
                  <w:tcBorders>
                    <w:tl2br w:val="nil"/>
                    <w:tr2bl w:val="nil"/>
                  </w:tcBorders>
                  <w:shd w:val="clear" w:color="auto" w:fill="auto"/>
                  <w:vAlign w:val="center"/>
                </w:tcPr>
                <w:p w14:paraId="19EF48C6">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油类</w:t>
                  </w:r>
                </w:p>
              </w:tc>
              <w:tc>
                <w:tcPr>
                  <w:tcW w:w="650" w:type="dxa"/>
                  <w:tcBorders>
                    <w:tl2br w:val="nil"/>
                    <w:tr2bl w:val="nil"/>
                  </w:tcBorders>
                  <w:shd w:val="clear" w:color="auto" w:fill="auto"/>
                  <w:vAlign w:val="center"/>
                </w:tcPr>
                <w:p w14:paraId="3BBCD7D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a</w:t>
                  </w:r>
                </w:p>
              </w:tc>
              <w:tc>
                <w:tcPr>
                  <w:tcW w:w="600" w:type="dxa"/>
                  <w:tcBorders>
                    <w:tl2br w:val="nil"/>
                    <w:tr2bl w:val="nil"/>
                  </w:tcBorders>
                  <w:shd w:val="clear" w:color="auto" w:fill="auto"/>
                  <w:vAlign w:val="center"/>
                </w:tcPr>
                <w:p w14:paraId="38617A33">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T/I</w:t>
                  </w:r>
                </w:p>
              </w:tc>
              <w:tc>
                <w:tcPr>
                  <w:tcW w:w="939" w:type="dxa"/>
                  <w:vMerge w:val="continue"/>
                  <w:tcBorders>
                    <w:tl2br w:val="nil"/>
                    <w:tr2bl w:val="nil"/>
                  </w:tcBorders>
                  <w:vAlign w:val="center"/>
                </w:tcPr>
                <w:p w14:paraId="52E6F0DE">
                  <w:pPr>
                    <w:jc w:val="center"/>
                    <w:rPr>
                      <w:bCs/>
                      <w:color w:val="000000" w:themeColor="text1"/>
                      <w:kern w:val="0"/>
                      <w:szCs w:val="21"/>
                      <w14:textFill>
                        <w14:solidFill>
                          <w14:schemeClr w14:val="tx1"/>
                        </w14:solidFill>
                      </w14:textFill>
                    </w:rPr>
                  </w:pPr>
                </w:p>
              </w:tc>
            </w:tr>
          </w:tbl>
          <w:p w14:paraId="5294B834">
            <w:pPr>
              <w:snapToGrid w:val="0"/>
              <w:spacing w:before="120" w:beforeLines="50" w:line="360" w:lineRule="auto"/>
              <w:textAlignment w:val="baseline"/>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4.2一般固废影响分析</w:t>
            </w:r>
          </w:p>
          <w:p w14:paraId="2326B02E">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本项目新建1座一般固废暂存间（建筑面积50m</w:t>
            </w:r>
            <w:r>
              <w:rPr>
                <w:rStyle w:val="64"/>
                <w:color w:val="000000" w:themeColor="text1"/>
                <w:sz w:val="24"/>
                <w:vertAlign w:val="superscript"/>
                <w14:textFill>
                  <w14:solidFill>
                    <w14:schemeClr w14:val="tx1"/>
                  </w14:solidFill>
                </w14:textFill>
              </w:rPr>
              <w:t>2</w:t>
            </w:r>
            <w:r>
              <w:rPr>
                <w:rStyle w:val="64"/>
                <w:color w:val="000000" w:themeColor="text1"/>
                <w:sz w:val="24"/>
                <w14:textFill>
                  <w14:solidFill>
                    <w14:schemeClr w14:val="tx1"/>
                  </w14:solidFill>
                </w14:textFill>
              </w:rPr>
              <w:t>），设计贮存能力为100t/a，主要贮存本项目生产过程中产生的除尘灰、炉渣，炉渣及除尘灰质量较轻，储存不当易产生粉尘，为降低粉尘的无组织排放，应定期洒水抑尘，洒水增加炉渣的湿度可有效降低颗粒物的产生，炉渣和除尘灰经清理后应装袋、封口，暂存于一般固废间，定期外售处理；废布袋、废离子交换树脂属于一般工业固体废物，交由厂家回收处理，不在厂区贮存</w:t>
            </w:r>
            <w:r>
              <w:rPr>
                <w:color w:val="000000" w:themeColor="text1"/>
                <w:sz w:val="24"/>
                <w14:textFill>
                  <w14:solidFill>
                    <w14:schemeClr w14:val="tx1"/>
                  </w14:solidFill>
                </w14:textFill>
              </w:rPr>
              <w:t>。</w:t>
            </w:r>
          </w:p>
          <w:p w14:paraId="5441F8AF">
            <w:pPr>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本项目一般固体废物经上述措施处理后，去向合理，贮存处置满足《一般工业固体废物贮存和填埋污染控制标准》（GB18599-2020）中防渗漏、防雨淋、防扬尘等规范要求</w:t>
            </w:r>
            <w:r>
              <w:rPr>
                <w:rStyle w:val="64"/>
                <w:color w:val="000000" w:themeColor="text1"/>
                <w:sz w:val="24"/>
                <w14:textFill>
                  <w14:solidFill>
                    <w14:schemeClr w14:val="tx1"/>
                  </w14:solidFill>
                </w14:textFill>
              </w:rPr>
              <w:t>，对周围环境影响较小</w:t>
            </w:r>
            <w:r>
              <w:rPr>
                <w:color w:val="000000" w:themeColor="text1"/>
                <w:sz w:val="24"/>
                <w14:textFill>
                  <w14:solidFill>
                    <w14:schemeClr w14:val="tx1"/>
                  </w14:solidFill>
                </w14:textFill>
              </w:rPr>
              <w:t>。</w:t>
            </w:r>
          </w:p>
          <w:p w14:paraId="36E2943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本项目运行后，一般固体废物暂存处应按照以下要求管理。</w:t>
            </w:r>
          </w:p>
          <w:p w14:paraId="12957A0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①采用库房、包装工具（罐、桶、包装袋等）贮存一般工业固体废物的，贮存过程应满足相应防渗漏、防雨淋、防扬尘等环境保护要求；</w:t>
            </w:r>
          </w:p>
          <w:p w14:paraId="6082521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②危险废物和生活垃圾不得进入一般工业固体废物贮存场；</w:t>
            </w:r>
          </w:p>
          <w:p w14:paraId="19E9842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③不相容的一般工业固体废物应设置不同的分区进行贮存作业；</w:t>
            </w:r>
          </w:p>
          <w:p w14:paraId="7031E5F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④贮存场应设置清晰、完整的一般工业固体废物标志牌；</w:t>
            </w:r>
          </w:p>
          <w:p w14:paraId="5C28807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⑤根据《辽宁省生态环境厅关于加强全省一般工业固体废物环境管理工作的通知》辽环函(2022)42号，企业应在“辽宁省固体废物智能监管信息平台”中完成年度申报登记工作。</w:t>
            </w:r>
          </w:p>
          <w:p w14:paraId="712FF2B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⑥排污单位生产运营期间一般工业固体废物自行贮存设施的环境管理和相关设施运行维护要求还应符合 GB 15562.2（图形标志）、GB 18599（一般固废贮存填埋污染控制标准）标准规范要求。</w:t>
            </w:r>
          </w:p>
          <w:p w14:paraId="552A0346">
            <w:pPr>
              <w:snapToGrid w:val="0"/>
              <w:spacing w:line="360" w:lineRule="auto"/>
              <w:textAlignment w:val="baseline"/>
              <w:rPr>
                <w:rStyle w:val="64"/>
                <w:b/>
                <w:bCs/>
                <w:color w:val="000000" w:themeColor="text1"/>
                <w:sz w:val="24"/>
                <w14:textFill>
                  <w14:solidFill>
                    <w14:schemeClr w14:val="tx1"/>
                  </w14:solidFill>
                </w14:textFill>
              </w:rPr>
            </w:pPr>
            <w:r>
              <w:rPr>
                <w:rStyle w:val="64"/>
                <w:b/>
                <w:bCs/>
                <w:color w:val="000000" w:themeColor="text1"/>
                <w:sz w:val="24"/>
                <w14:textFill>
                  <w14:solidFill>
                    <w14:schemeClr w14:val="tx1"/>
                  </w14:solidFill>
                </w14:textFill>
              </w:rPr>
              <w:t>4.3危险废物影响分析</w:t>
            </w:r>
          </w:p>
          <w:p w14:paraId="3B45735F">
            <w:pPr>
              <w:pStyle w:val="21"/>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本项目新建1座危废贮存点，建筑面积5m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，危废贮存点按要求设置危废标识。危废贮存点设有堵截泄漏的裙角，地面和裙角采用防渗，贮存的危险废物直接接触地面的，应进行基础防渗，防渗层为至少1m厚黏土层（渗透系数不大于10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 xml:space="preserve"> cm/s），或至少2 mm厚高密度聚乙烯膜等人工防渗材料（渗透系数不大于10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 xml:space="preserve"> cm/s），盛装危险废物的容器上粘贴危险废物标签。危险废物在厂区内转运过程需要根据实际情况确定转运路线，避开办公区和生活区，转运结束后对转运路线进行检查清理，确保无危险废物遗失在转运路线上；从上述危废贮存点建设规范及管理的角度分析，危废贮存点满足《危险废物贮存污染控制标准》(GB18597-2023）相关要求，危废贮存点情况见下表。</w:t>
            </w:r>
          </w:p>
          <w:p w14:paraId="667FDED4">
            <w:pPr>
              <w:pStyle w:val="125"/>
              <w:spacing w:before="120" w:beforeLines="50"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表4-1</w:t>
            </w:r>
            <w:r>
              <w:rPr>
                <w:rFonts w:hint="eastAsia"/>
                <w:b/>
                <w:bCs/>
                <w:color w:val="000000" w:themeColor="text1"/>
                <w:sz w:val="21"/>
                <w:szCs w:val="21"/>
                <w14:textFill>
                  <w14:solidFill>
                    <w14:schemeClr w14:val="tx1"/>
                  </w14:solidFill>
                </w14:textFill>
              </w:rPr>
              <w:t>9</w:t>
            </w:r>
            <w:r>
              <w:rPr>
                <w:b/>
                <w:bCs/>
                <w:color w:val="000000" w:themeColor="text1"/>
                <w:sz w:val="21"/>
                <w:szCs w:val="21"/>
                <w14:textFill>
                  <w14:solidFill>
                    <w14:schemeClr w14:val="tx1"/>
                  </w14:solidFill>
                </w14:textFill>
              </w:rPr>
              <w:t xml:space="preserve">  危废贮存点基本情况表</w:t>
            </w:r>
          </w:p>
          <w:tbl>
            <w:tblPr>
              <w:tblStyle w:val="3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1" w:type="dxa"/>
                <w:bottom w:w="0" w:type="dxa"/>
                <w:right w:w="51" w:type="dxa"/>
              </w:tblCellMar>
            </w:tblPr>
            <w:tblGrid>
              <w:gridCol w:w="812"/>
              <w:gridCol w:w="1071"/>
              <w:gridCol w:w="1365"/>
              <w:gridCol w:w="817"/>
              <w:gridCol w:w="973"/>
              <w:gridCol w:w="677"/>
              <w:gridCol w:w="955"/>
              <w:gridCol w:w="928"/>
              <w:gridCol w:w="702"/>
            </w:tblGrid>
            <w:tr w14:paraId="48635B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490" w:type="pct"/>
                  <w:tcBorders>
                    <w:tl2br w:val="nil"/>
                    <w:tr2bl w:val="nil"/>
                  </w:tcBorders>
                  <w:vAlign w:val="center"/>
                </w:tcPr>
                <w:p w14:paraId="4A701FDC">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贮存场所</w:t>
                  </w:r>
                </w:p>
              </w:tc>
              <w:tc>
                <w:tcPr>
                  <w:tcW w:w="644" w:type="pct"/>
                  <w:tcBorders>
                    <w:tl2br w:val="nil"/>
                    <w:tr2bl w:val="nil"/>
                  </w:tcBorders>
                  <w:vAlign w:val="center"/>
                </w:tcPr>
                <w:p w14:paraId="30519D9F">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w:t>
                  </w:r>
                </w:p>
                <w:p w14:paraId="219072E4">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w:t>
                  </w:r>
                </w:p>
              </w:tc>
              <w:tc>
                <w:tcPr>
                  <w:tcW w:w="821" w:type="pct"/>
                  <w:tcBorders>
                    <w:tl2br w:val="nil"/>
                    <w:tr2bl w:val="nil"/>
                  </w:tcBorders>
                  <w:vAlign w:val="center"/>
                </w:tcPr>
                <w:p w14:paraId="61FB9ECB">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w:t>
                  </w:r>
                </w:p>
                <w:p w14:paraId="730819D1">
                  <w:pPr>
                    <w:widowControl/>
                    <w:tabs>
                      <w:tab w:val="left" w:pos="1110"/>
                    </w:tabs>
                    <w:spacing w:line="280" w:lineRule="exact"/>
                    <w:ind w:left="-63" w:leftChars="-30" w:right="-63" w:rightChars="-30"/>
                    <w:jc w:val="center"/>
                    <w:rPr>
                      <w:color w:val="000000" w:themeColor="text1"/>
                      <w14:textFill>
                        <w14:solidFill>
                          <w14:schemeClr w14:val="tx1"/>
                        </w14:solidFill>
                      </w14:textFill>
                    </w:rPr>
                  </w:pPr>
                  <w:r>
                    <w:rPr>
                      <w:color w:val="000000" w:themeColor="text1"/>
                      <w:szCs w:val="21"/>
                      <w14:textFill>
                        <w14:solidFill>
                          <w14:schemeClr w14:val="tx1"/>
                        </w14:solidFill>
                      </w14:textFill>
                    </w:rPr>
                    <w:t>代码</w:t>
                  </w:r>
                </w:p>
              </w:tc>
              <w:tc>
                <w:tcPr>
                  <w:tcW w:w="492" w:type="pct"/>
                  <w:tcBorders>
                    <w:tl2br w:val="nil"/>
                    <w:tr2bl w:val="nil"/>
                  </w:tcBorders>
                  <w:vAlign w:val="center"/>
                </w:tcPr>
                <w:p w14:paraId="76C1AB06">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产生量（t/a）</w:t>
                  </w:r>
                </w:p>
              </w:tc>
              <w:tc>
                <w:tcPr>
                  <w:tcW w:w="585" w:type="pct"/>
                  <w:tcBorders>
                    <w:tl2br w:val="nil"/>
                    <w:tr2bl w:val="nil"/>
                  </w:tcBorders>
                  <w:vAlign w:val="center"/>
                </w:tcPr>
                <w:p w14:paraId="3B83BEFC">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位置</w:t>
                  </w:r>
                </w:p>
              </w:tc>
              <w:tc>
                <w:tcPr>
                  <w:tcW w:w="408" w:type="pct"/>
                  <w:tcBorders>
                    <w:tl2br w:val="nil"/>
                    <w:tr2bl w:val="nil"/>
                  </w:tcBorders>
                  <w:vAlign w:val="center"/>
                </w:tcPr>
                <w:p w14:paraId="40E56801">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占地面积m</w:t>
                  </w:r>
                  <w:r>
                    <w:rPr>
                      <w:color w:val="000000" w:themeColor="text1"/>
                      <w:szCs w:val="21"/>
                      <w:vertAlign w:val="superscript"/>
                      <w14:textFill>
                        <w14:solidFill>
                          <w14:schemeClr w14:val="tx1"/>
                        </w14:solidFill>
                      </w14:textFill>
                    </w:rPr>
                    <w:t>2</w:t>
                  </w:r>
                </w:p>
              </w:tc>
              <w:tc>
                <w:tcPr>
                  <w:tcW w:w="574" w:type="pct"/>
                  <w:tcBorders>
                    <w:tl2br w:val="nil"/>
                    <w:tr2bl w:val="nil"/>
                  </w:tcBorders>
                  <w:vAlign w:val="center"/>
                </w:tcPr>
                <w:p w14:paraId="26E170B7">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贮存</w:t>
                  </w:r>
                </w:p>
                <w:p w14:paraId="6B8567DE">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方式</w:t>
                  </w:r>
                </w:p>
              </w:tc>
              <w:tc>
                <w:tcPr>
                  <w:tcW w:w="558" w:type="pct"/>
                  <w:tcBorders>
                    <w:tl2br w:val="nil"/>
                    <w:tr2bl w:val="nil"/>
                  </w:tcBorders>
                  <w:vAlign w:val="center"/>
                </w:tcPr>
                <w:p w14:paraId="5802B738">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贮存能力（t/a）</w:t>
                  </w:r>
                </w:p>
              </w:tc>
              <w:tc>
                <w:tcPr>
                  <w:tcW w:w="423" w:type="pct"/>
                  <w:tcBorders>
                    <w:tl2br w:val="nil"/>
                    <w:tr2bl w:val="nil"/>
                  </w:tcBorders>
                  <w:vAlign w:val="center"/>
                </w:tcPr>
                <w:p w14:paraId="69783DA7">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贮存</w:t>
                  </w:r>
                </w:p>
                <w:p w14:paraId="1B1A1FAA">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周期</w:t>
                  </w:r>
                </w:p>
              </w:tc>
            </w:tr>
            <w:tr w14:paraId="75F11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490" w:type="pct"/>
                  <w:vMerge w:val="restart"/>
                  <w:tcBorders>
                    <w:tl2br w:val="nil"/>
                    <w:tr2bl w:val="nil"/>
                  </w:tcBorders>
                  <w:vAlign w:val="center"/>
                </w:tcPr>
                <w:p w14:paraId="268F520B">
                  <w:pPr>
                    <w:widowControl/>
                    <w:tabs>
                      <w:tab w:val="left" w:pos="1110"/>
                    </w:tabs>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危废贮存点</w:t>
                  </w:r>
                </w:p>
              </w:tc>
              <w:tc>
                <w:tcPr>
                  <w:tcW w:w="644" w:type="pct"/>
                  <w:tcBorders>
                    <w:tl2br w:val="nil"/>
                    <w:tr2bl w:val="nil"/>
                  </w:tcBorders>
                  <w:vAlign w:val="center"/>
                </w:tcPr>
                <w:p w14:paraId="437FC3C6">
                  <w:pPr>
                    <w:pStyle w:val="157"/>
                    <w:widowControl/>
                    <w:autoSpaceDE/>
                    <w:autoSpaceDN/>
                    <w:adjustRightInd/>
                    <w:ind w:left="-63" w:leftChars="-30" w:right="-63" w:rightChars="-30"/>
                    <w:rPr>
                      <w:rFonts w:hAnsi="Times New Roman" w:cs="Times New Roman"/>
                      <w:color w:val="000000" w:themeColor="text1"/>
                      <w14:textFill>
                        <w14:solidFill>
                          <w14:schemeClr w14:val="tx1"/>
                        </w14:solidFill>
                      </w14:textFill>
                    </w:rPr>
                  </w:pPr>
                  <w:r>
                    <w:rPr>
                      <w:rFonts w:hAnsi="Times New Roman" w:cs="Times New Roman"/>
                      <w:color w:val="000000" w:themeColor="text1"/>
                      <w14:textFill>
                        <w14:solidFill>
                          <w14:schemeClr w14:val="tx1"/>
                        </w14:solidFill>
                      </w14:textFill>
                    </w:rPr>
                    <w:t>废机油</w:t>
                  </w:r>
                </w:p>
              </w:tc>
              <w:tc>
                <w:tcPr>
                  <w:tcW w:w="821" w:type="pct"/>
                  <w:tcBorders>
                    <w:tl2br w:val="nil"/>
                    <w:tr2bl w:val="nil"/>
                  </w:tcBorders>
                  <w:vAlign w:val="center"/>
                </w:tcPr>
                <w:p w14:paraId="2A7419BA">
                  <w:pPr>
                    <w:widowControl/>
                    <w:ind w:left="-63" w:leftChars="-30" w:right="-63" w:rightChars="-30"/>
                    <w:jc w:val="center"/>
                    <w:rPr>
                      <w:color w:val="000000" w:themeColor="text1"/>
                      <w14:textFill>
                        <w14:solidFill>
                          <w14:schemeClr w14:val="tx1"/>
                        </w14:solidFill>
                      </w14:textFill>
                    </w:rPr>
                  </w:pPr>
                  <w:r>
                    <w:rPr>
                      <w:color w:val="000000" w:themeColor="text1"/>
                      <w:szCs w:val="21"/>
                      <w14:textFill>
                        <w14:solidFill>
                          <w14:schemeClr w14:val="tx1"/>
                        </w14:solidFill>
                      </w14:textFill>
                    </w:rPr>
                    <w:t>900-214-08</w:t>
                  </w:r>
                </w:p>
              </w:tc>
              <w:tc>
                <w:tcPr>
                  <w:tcW w:w="492" w:type="pct"/>
                  <w:tcBorders>
                    <w:tl2br w:val="nil"/>
                    <w:tr2bl w:val="nil"/>
                  </w:tcBorders>
                  <w:vAlign w:val="center"/>
                </w:tcPr>
                <w:p w14:paraId="377AEA06">
                  <w:pPr>
                    <w:jc w:val="center"/>
                    <w:rPr>
                      <w:color w:val="000000" w:themeColor="text1"/>
                      <w:szCs w:val="21"/>
                      <w14:textFill>
                        <w14:solidFill>
                          <w14:schemeClr w14:val="tx1"/>
                        </w14:solidFill>
                      </w14:textFill>
                    </w:rPr>
                  </w:pPr>
                  <w:r>
                    <w:rPr>
                      <w:bCs/>
                      <w:color w:val="000000" w:themeColor="text1"/>
                      <w:szCs w:val="21"/>
                      <w14:textFill>
                        <w14:solidFill>
                          <w14:schemeClr w14:val="tx1"/>
                        </w14:solidFill>
                      </w14:textFill>
                    </w:rPr>
                    <w:t>0.02</w:t>
                  </w:r>
                </w:p>
              </w:tc>
              <w:tc>
                <w:tcPr>
                  <w:tcW w:w="585" w:type="pct"/>
                  <w:tcBorders>
                    <w:tl2br w:val="nil"/>
                    <w:tr2bl w:val="nil"/>
                  </w:tcBorders>
                  <w:vAlign w:val="center"/>
                </w:tcPr>
                <w:p w14:paraId="7C7DEA56">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厂区东侧</w:t>
                  </w:r>
                </w:p>
              </w:tc>
              <w:tc>
                <w:tcPr>
                  <w:tcW w:w="408" w:type="pct"/>
                  <w:tcBorders>
                    <w:tl2br w:val="nil"/>
                    <w:tr2bl w:val="nil"/>
                  </w:tcBorders>
                  <w:vAlign w:val="center"/>
                </w:tcPr>
                <w:p w14:paraId="73EDA3AD">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574" w:type="pct"/>
                  <w:tcBorders>
                    <w:tl2br w:val="nil"/>
                    <w:tr2bl w:val="nil"/>
                  </w:tcBorders>
                  <w:vAlign w:val="center"/>
                </w:tcPr>
                <w:p w14:paraId="3AFC62E1">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桶装</w:t>
                  </w:r>
                </w:p>
              </w:tc>
              <w:tc>
                <w:tcPr>
                  <w:tcW w:w="558" w:type="pct"/>
                  <w:tcBorders>
                    <w:tl2br w:val="nil"/>
                    <w:tr2bl w:val="nil"/>
                  </w:tcBorders>
                  <w:vAlign w:val="center"/>
                </w:tcPr>
                <w:p w14:paraId="2BA1205F">
                  <w:pPr>
                    <w:widowControl/>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423" w:type="pct"/>
                  <w:tcBorders>
                    <w:tl2br w:val="nil"/>
                    <w:tr2bl w:val="nil"/>
                  </w:tcBorders>
                  <w:vAlign w:val="center"/>
                </w:tcPr>
                <w:p w14:paraId="6BCE1891">
                  <w:pPr>
                    <w:widowControl/>
                    <w:ind w:left="-63" w:leftChars="-30" w:right="-63" w:rightChars="-30"/>
                    <w:jc w:val="center"/>
                    <w:rPr>
                      <w:color w:val="000000" w:themeColor="text1"/>
                      <w:szCs w:val="21"/>
                      <w14:textFill>
                        <w14:solidFill>
                          <w14:schemeClr w14:val="tx1"/>
                        </w14:solidFill>
                      </w14:textFill>
                    </w:rPr>
                  </w:pPr>
                  <w:r>
                    <w:rPr>
                      <w:bCs/>
                      <w:color w:val="000000" w:themeColor="text1"/>
                      <w:szCs w:val="21"/>
                      <w14:textFill>
                        <w14:solidFill>
                          <w14:schemeClr w14:val="tx1"/>
                        </w14:solidFill>
                      </w14:textFill>
                    </w:rPr>
                    <w:t>1年</w:t>
                  </w:r>
                </w:p>
              </w:tc>
            </w:tr>
            <w:tr w14:paraId="517047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97" w:hRule="atLeast"/>
                <w:jc w:val="center"/>
              </w:trPr>
              <w:tc>
                <w:tcPr>
                  <w:tcW w:w="490" w:type="pct"/>
                  <w:vMerge w:val="continue"/>
                  <w:tcBorders>
                    <w:tl2br w:val="nil"/>
                    <w:tr2bl w:val="nil"/>
                  </w:tcBorders>
                  <w:vAlign w:val="center"/>
                </w:tcPr>
                <w:p w14:paraId="2E8C1AA4">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p>
              </w:tc>
              <w:tc>
                <w:tcPr>
                  <w:tcW w:w="644" w:type="pct"/>
                  <w:tcBorders>
                    <w:tl2br w:val="nil"/>
                    <w:tr2bl w:val="nil"/>
                  </w:tcBorders>
                  <w:vAlign w:val="center"/>
                </w:tcPr>
                <w:p w14:paraId="3699B89D">
                  <w:pPr>
                    <w:pStyle w:val="157"/>
                    <w:widowControl/>
                    <w:autoSpaceDE/>
                    <w:autoSpaceDN/>
                    <w:adjustRightInd/>
                    <w:ind w:left="-63" w:leftChars="-30" w:right="-63" w:rightChars="-30"/>
                    <w:rPr>
                      <w:rFonts w:hAnsi="Times New Roman" w:cs="Times New Roman"/>
                      <w:color w:val="000000" w:themeColor="text1"/>
                      <w:lang w:val="en-US"/>
                      <w14:textFill>
                        <w14:solidFill>
                          <w14:schemeClr w14:val="tx1"/>
                        </w14:solidFill>
                      </w14:textFill>
                    </w:rPr>
                  </w:pPr>
                  <w:r>
                    <w:rPr>
                      <w:rFonts w:hAnsi="Times New Roman" w:cs="Times New Roman"/>
                      <w:color w:val="000000" w:themeColor="text1"/>
                      <w:lang w:val="en-US"/>
                      <w14:textFill>
                        <w14:solidFill>
                          <w14:schemeClr w14:val="tx1"/>
                        </w14:solidFill>
                      </w14:textFill>
                    </w:rPr>
                    <w:t>废油桶</w:t>
                  </w:r>
                </w:p>
              </w:tc>
              <w:tc>
                <w:tcPr>
                  <w:tcW w:w="821" w:type="pct"/>
                  <w:tcBorders>
                    <w:tl2br w:val="nil"/>
                    <w:tr2bl w:val="nil"/>
                  </w:tcBorders>
                  <w:shd w:val="clear" w:color="auto" w:fill="auto"/>
                  <w:vAlign w:val="center"/>
                </w:tcPr>
                <w:p w14:paraId="640C9EA7">
                  <w:pPr>
                    <w:widowControl/>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900-249-08</w:t>
                  </w:r>
                </w:p>
              </w:tc>
              <w:tc>
                <w:tcPr>
                  <w:tcW w:w="492" w:type="pct"/>
                  <w:tcBorders>
                    <w:tl2br w:val="nil"/>
                    <w:tr2bl w:val="nil"/>
                  </w:tcBorders>
                  <w:shd w:val="clear" w:color="auto" w:fill="auto"/>
                  <w:vAlign w:val="center"/>
                </w:tcPr>
                <w:p w14:paraId="71BDD922">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0.005</w:t>
                  </w:r>
                </w:p>
              </w:tc>
              <w:tc>
                <w:tcPr>
                  <w:tcW w:w="585" w:type="pct"/>
                  <w:tcBorders>
                    <w:tl2br w:val="nil"/>
                    <w:tr2bl w:val="nil"/>
                  </w:tcBorders>
                  <w:shd w:val="clear" w:color="auto" w:fill="auto"/>
                  <w:vAlign w:val="center"/>
                </w:tcPr>
                <w:p w14:paraId="3F230FFE">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厂区东侧</w:t>
                  </w:r>
                </w:p>
              </w:tc>
              <w:tc>
                <w:tcPr>
                  <w:tcW w:w="408" w:type="pct"/>
                  <w:tcBorders>
                    <w:tl2br w:val="nil"/>
                    <w:tr2bl w:val="nil"/>
                  </w:tcBorders>
                  <w:shd w:val="clear" w:color="auto" w:fill="auto"/>
                  <w:vAlign w:val="center"/>
                </w:tcPr>
                <w:p w14:paraId="587420B1">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574" w:type="pct"/>
                  <w:tcBorders>
                    <w:tl2br w:val="nil"/>
                    <w:tr2bl w:val="nil"/>
                  </w:tcBorders>
                  <w:shd w:val="clear" w:color="auto" w:fill="auto"/>
                  <w:vAlign w:val="center"/>
                </w:tcPr>
                <w:p w14:paraId="16E392EE">
                  <w:pPr>
                    <w:widowControl/>
                    <w:tabs>
                      <w:tab w:val="left" w:pos="1110"/>
                    </w:tabs>
                    <w:spacing w:line="280" w:lineRule="exact"/>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桶装</w:t>
                  </w:r>
                </w:p>
              </w:tc>
              <w:tc>
                <w:tcPr>
                  <w:tcW w:w="558" w:type="pct"/>
                  <w:tcBorders>
                    <w:tl2br w:val="nil"/>
                    <w:tr2bl w:val="nil"/>
                  </w:tcBorders>
                  <w:vAlign w:val="center"/>
                </w:tcPr>
                <w:p w14:paraId="66D91FEE">
                  <w:pPr>
                    <w:widowControl/>
                    <w:ind w:left="-63" w:leftChars="-30" w:right="-63" w:rightChars="-3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423" w:type="pct"/>
                  <w:tcBorders>
                    <w:tl2br w:val="nil"/>
                    <w:tr2bl w:val="nil"/>
                  </w:tcBorders>
                  <w:vAlign w:val="center"/>
                </w:tcPr>
                <w:p w14:paraId="2736BBFC">
                  <w:pPr>
                    <w:widowControl/>
                    <w:ind w:left="-63" w:leftChars="-30" w:right="-63" w:rightChars="-3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1年</w:t>
                  </w:r>
                </w:p>
              </w:tc>
            </w:tr>
          </w:tbl>
          <w:p w14:paraId="7D0262E7">
            <w:pPr>
              <w:pStyle w:val="21"/>
              <w:spacing w:before="120" w:beforeLines="50" w:after="0" w:line="360" w:lineRule="auto"/>
              <w:ind w:left="0" w:leftChars="0"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（1）危险废物贮存及处置措施：</w:t>
            </w:r>
          </w:p>
          <w:p w14:paraId="5803980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废机油平均每年转运一次，临时储存量约为0.025左右，对照《危险废物贮存污染控制标准》（GB18597-2023）属于贮存点规模（实时贮存量不超过3.0吨），同时对危废贮存点的管理应严格执行《危险废物管理计划和管理台账制定技术导则》（HJ 1259-2022）相关规定，主要要求如下：</w:t>
            </w:r>
          </w:p>
          <w:p w14:paraId="3CA5E76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①危废贮存点应具有固定的区域边界，并应采取与其他区域进行隔离的措施。</w:t>
            </w:r>
          </w:p>
          <w:p w14:paraId="1813025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②危废贮存点应采取防风、防雨、防晒和防止危险废物流失、扬散等措施。</w:t>
            </w:r>
          </w:p>
          <w:p w14:paraId="0944C94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③危废贮存点贮存的危险废物应置于容器或包装物中，不应直接散堆，危险废物包装桶应置于托盘上。</w:t>
            </w:r>
          </w:p>
          <w:p w14:paraId="19BC75F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④危废贮存点应根据危险废物的形态、物理化学性质、包装形式等，采取防渗、防漏等污染防治措施或采用具有相应功能的装置。</w:t>
            </w:r>
          </w:p>
          <w:p w14:paraId="1CA8B32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⑤危废贮存点应及时清运贮存的危险废物，实时贮存量不应超过3 吨。</w:t>
            </w:r>
          </w:p>
          <w:p w14:paraId="036ACFC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⑥危险废物存入贮存设施前应对危险废物类别和特性与危险废物标签等危险废物识别标志的一致性进行核验，不一致的或类别、特性不明的不应存入危废贮存点；</w:t>
            </w:r>
          </w:p>
          <w:p w14:paraId="6C15BEF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⑦设置环境保护图形标志；</w:t>
            </w:r>
          </w:p>
          <w:p w14:paraId="237AFE5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⑧建立档案制度，详细记录入场的固体废物的种类和数量等信息，长期保存，供随时查阅。</w:t>
            </w:r>
          </w:p>
          <w:p w14:paraId="461DF87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⑨危废贮存点应采取重点防渗，四周设置围堰，液态危险废物容器下方设置防渗托盘，收集的危险废物定期委托有资质单位处置。</w:t>
            </w:r>
          </w:p>
          <w:p w14:paraId="73562C09">
            <w:pPr>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（2）危废运输过程环境影响分析</w:t>
            </w:r>
          </w:p>
          <w:p w14:paraId="7A33809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产生的危险废物暂存在危废贮存点，定期外委处理，每次移交时应加强管理，避免厂内运输二次污染。由有资质的人员或特殊人员搬运危险废物，搬运过程中，加强人员管理，检查危废盛放设施是否完备，确保不撒漏。上述控制与管理措施使本项目危险废物的收集、暂存、运输均符合《危险废物贮存污染控制标准》（GB18597-2023）及《危险废物收集、贮存、运输技术规范》（HJ2025-2012）的要求，不会对环境造成二次污染。</w:t>
            </w:r>
          </w:p>
          <w:p w14:paraId="563AA058">
            <w:pPr>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（3）危险废物管理要求</w:t>
            </w:r>
          </w:p>
          <w:p w14:paraId="14EF34C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危险废物的管理应严格执行《危险废物管理计划和管理台账制定技术导则》（HJ 1259-2022）相关规定。</w:t>
            </w:r>
          </w:p>
          <w:p w14:paraId="664A59E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①产生危险废物的单位应当按年度制定危险废物管理计划。</w:t>
            </w:r>
          </w:p>
          <w:p w14:paraId="52612AA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②产生危险废物的单位应建立危险废物管理台账，落实危险废物管理台账记录的责任人，明确工作职责，并对危险废物管理台账的真实性、准确性和完整性负法律责任。</w:t>
            </w:r>
          </w:p>
          <w:p w14:paraId="27F5C17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③产生危险废物的单位应根据危险废物产生、贮存、利用、处置等环节的动态流向，如实建立各环节的危险废物管理台账。</w:t>
            </w:r>
          </w:p>
          <w:p w14:paraId="1910086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④危险废物管理台账分为电子管理台账和纸质管理台账两种形式。产生危险废物的单位可通过国家危险废物信息管理系统、企业自建信息管理系统或第三方平台等方式记录电子管理台账，台账保存时间原则上应存档5年以上。</w:t>
            </w:r>
          </w:p>
          <w:p w14:paraId="010FC07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⑤产生后盛放至容器和包装物的，应按每个容器和包装物进行记录；产生后采用管道等方式输送至贮存场所的，按日记录；其他特殊情形的，根据危险废物产生规律确定记录频次。</w:t>
            </w:r>
          </w:p>
          <w:p w14:paraId="6CA59E86">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5、地下水及土壤环境影响分析</w:t>
            </w:r>
          </w:p>
          <w:p w14:paraId="112AE1D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厂区现有构筑物已采取的地下水、土壤污染防治措施如下：</w:t>
            </w:r>
          </w:p>
          <w:p w14:paraId="27800CB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①源头控制措施</w:t>
            </w:r>
          </w:p>
          <w:p w14:paraId="16A6ACC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根据国家现行相关规范加强环境管理，采取防止和降低污染物跑、冒、滴、漏的措施。正常运营过程中应加强巡检及时处理污染物跑、冒、滴、漏，同时应加强对防渗工程的检查，若发现防渗密封材料老化或损坏，应及时维修更换；</w:t>
            </w:r>
          </w:p>
          <w:p w14:paraId="02EAB41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b.坚持“可视化”原则，在满足工程和防渗层结构标准要求的前提下，尽量在地表面实施防渗措施，便于泄漏物质的收集和及时发现破损的防渗层。</w:t>
            </w:r>
          </w:p>
          <w:p w14:paraId="4955596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②分区防治措施</w:t>
            </w:r>
          </w:p>
          <w:p w14:paraId="35F4D6E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可能泄漏至地面区域污染物的性质和构筑方式，将厂区划分为重点防渗区、一般防渗区。发生物料泄漏后不容易及时被发现和处理的区域或部位，须根据已颁布污染控制国家标准或防渗技术规范的行业，一般情况下以水平防渗为主，对难以采取水平防渗的场地，可采用垂向防渗为主，局部水平防渗为辅的防控措施。本项目锅炉房、危废贮存点、</w:t>
            </w:r>
            <w:r>
              <w:rPr>
                <w:rFonts w:hint="eastAsia"/>
                <w:color w:val="000000" w:themeColor="text1"/>
                <w:sz w:val="24"/>
                <w14:textFill>
                  <w14:solidFill>
                    <w14:schemeClr w14:val="tx1"/>
                  </w14:solidFill>
                </w14:textFill>
              </w:rPr>
              <w:t>燃料贮存库、</w:t>
            </w:r>
            <w:r>
              <w:rPr>
                <w:color w:val="000000" w:themeColor="text1"/>
                <w:sz w:val="24"/>
                <w14:textFill>
                  <w14:solidFill>
                    <w14:schemeClr w14:val="tx1"/>
                  </w14:solidFill>
                </w14:textFill>
              </w:rPr>
              <w:t>一般固废间等要做好防渗、防污措施，并定期检查，发现问题及时处理。厂区内生产依托原有防渗措施，已采取一般防渗措施，办公区及其他区域已采取简单防渗，原有构筑物满足相关防渗要求，针对不同的污染防治区域采用不同的防渗技术要求，地下水分区防渗控制要求见下表。分区防渗情况见附图5。</w:t>
            </w:r>
          </w:p>
          <w:p w14:paraId="5D0ABE72">
            <w:pPr>
              <w:adjustRightInd w:val="0"/>
              <w:snapToGrid w:val="0"/>
              <w:spacing w:before="120" w:beforeLines="50"/>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表4-</w:t>
            </w:r>
            <w:r>
              <w:rPr>
                <w:rFonts w:hint="eastAsia"/>
                <w:b/>
                <w:color w:val="000000" w:themeColor="text1"/>
                <w:kern w:val="0"/>
                <w:szCs w:val="21"/>
                <w14:textFill>
                  <w14:solidFill>
                    <w14:schemeClr w14:val="tx1"/>
                  </w14:solidFill>
                </w14:textFill>
              </w:rPr>
              <w:t>20</w:t>
            </w:r>
            <w:r>
              <w:rPr>
                <w:b/>
                <w:color w:val="000000" w:themeColor="text1"/>
                <w:kern w:val="0"/>
                <w:szCs w:val="21"/>
                <w14:textFill>
                  <w14:solidFill>
                    <w14:schemeClr w14:val="tx1"/>
                  </w14:solidFill>
                </w14:textFill>
              </w:rPr>
              <w:t xml:space="preserve"> 地下水分区防渗控制要求</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2915"/>
              <w:gridCol w:w="3973"/>
            </w:tblGrid>
            <w:tr w14:paraId="3BBA55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3" w:type="pct"/>
                  <w:tcBorders>
                    <w:tl2br w:val="nil"/>
                    <w:tr2bl w:val="nil"/>
                  </w:tcBorders>
                  <w:vAlign w:val="center"/>
                </w:tcPr>
                <w:p w14:paraId="535504AE">
                  <w:pPr>
                    <w:jc w:val="center"/>
                    <w:rPr>
                      <w:color w:val="000000" w:themeColor="text1"/>
                      <w14:textFill>
                        <w14:solidFill>
                          <w14:schemeClr w14:val="tx1"/>
                        </w14:solidFill>
                      </w14:textFill>
                    </w:rPr>
                  </w:pPr>
                  <w:r>
                    <w:rPr>
                      <w:color w:val="000000" w:themeColor="text1"/>
                      <w14:textFill>
                        <w14:solidFill>
                          <w14:schemeClr w14:val="tx1"/>
                        </w14:solidFill>
                      </w14:textFill>
                    </w:rPr>
                    <w:t>防渗分区</w:t>
                  </w:r>
                </w:p>
              </w:tc>
              <w:tc>
                <w:tcPr>
                  <w:tcW w:w="1754" w:type="pct"/>
                  <w:tcBorders>
                    <w:tl2br w:val="nil"/>
                    <w:tr2bl w:val="nil"/>
                  </w:tcBorders>
                  <w:vAlign w:val="center"/>
                </w:tcPr>
                <w:p w14:paraId="4367E5BD">
                  <w:pPr>
                    <w:jc w:val="center"/>
                    <w:rPr>
                      <w:color w:val="000000" w:themeColor="text1"/>
                      <w14:textFill>
                        <w14:solidFill>
                          <w14:schemeClr w14:val="tx1"/>
                        </w14:solidFill>
                      </w14:textFill>
                    </w:rPr>
                  </w:pPr>
                  <w:r>
                    <w:rPr>
                      <w:color w:val="000000" w:themeColor="text1"/>
                      <w14:textFill>
                        <w14:solidFill>
                          <w14:schemeClr w14:val="tx1"/>
                        </w14:solidFill>
                      </w14:textFill>
                    </w:rPr>
                    <w:t>防渗区域</w:t>
                  </w:r>
                </w:p>
              </w:tc>
              <w:tc>
                <w:tcPr>
                  <w:tcW w:w="2391" w:type="pct"/>
                  <w:tcBorders>
                    <w:tl2br w:val="nil"/>
                    <w:tr2bl w:val="nil"/>
                  </w:tcBorders>
                  <w:vAlign w:val="center"/>
                </w:tcPr>
                <w:p w14:paraId="6FBB5432">
                  <w:pPr>
                    <w:jc w:val="center"/>
                    <w:rPr>
                      <w:color w:val="000000" w:themeColor="text1"/>
                      <w14:textFill>
                        <w14:solidFill>
                          <w14:schemeClr w14:val="tx1"/>
                        </w14:solidFill>
                      </w14:textFill>
                    </w:rPr>
                  </w:pPr>
                  <w:r>
                    <w:rPr>
                      <w:color w:val="000000" w:themeColor="text1"/>
                      <w14:textFill>
                        <w14:solidFill>
                          <w14:schemeClr w14:val="tx1"/>
                        </w14:solidFill>
                      </w14:textFill>
                    </w:rPr>
                    <w:t>防渗要求</w:t>
                  </w:r>
                </w:p>
              </w:tc>
            </w:tr>
            <w:tr w14:paraId="2B7AD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3" w:type="pct"/>
                  <w:tcBorders>
                    <w:tl2br w:val="nil"/>
                    <w:tr2bl w:val="nil"/>
                  </w:tcBorders>
                  <w:vAlign w:val="center"/>
                </w:tcPr>
                <w:p w14:paraId="35834770">
                  <w:pPr>
                    <w:jc w:val="center"/>
                    <w:rPr>
                      <w:color w:val="000000" w:themeColor="text1"/>
                      <w14:textFill>
                        <w14:solidFill>
                          <w14:schemeClr w14:val="tx1"/>
                        </w14:solidFill>
                      </w14:textFill>
                    </w:rPr>
                  </w:pPr>
                  <w:r>
                    <w:rPr>
                      <w:color w:val="000000" w:themeColor="text1"/>
                      <w14:textFill>
                        <w14:solidFill>
                          <w14:schemeClr w14:val="tx1"/>
                        </w14:solidFill>
                      </w14:textFill>
                    </w:rPr>
                    <w:t>重点防渗区</w:t>
                  </w:r>
                </w:p>
              </w:tc>
              <w:tc>
                <w:tcPr>
                  <w:tcW w:w="1754" w:type="pct"/>
                  <w:tcBorders>
                    <w:tl2br w:val="nil"/>
                    <w:tr2bl w:val="nil"/>
                  </w:tcBorders>
                  <w:vAlign w:val="center"/>
                </w:tcPr>
                <w:p w14:paraId="4C6E8A4B">
                  <w:pPr>
                    <w:jc w:val="center"/>
                    <w:rPr>
                      <w:color w:val="000000" w:themeColor="text1"/>
                      <w14:textFill>
                        <w14:solidFill>
                          <w14:schemeClr w14:val="tx1"/>
                        </w14:solidFill>
                      </w14:textFill>
                    </w:rPr>
                  </w:pPr>
                  <w:r>
                    <w:rPr>
                      <w:color w:val="000000" w:themeColor="text1"/>
                      <w14:textFill>
                        <w14:solidFill>
                          <w14:schemeClr w14:val="tx1"/>
                        </w14:solidFill>
                      </w14:textFill>
                    </w:rPr>
                    <w:t>危废贮存点</w:t>
                  </w:r>
                </w:p>
              </w:tc>
              <w:tc>
                <w:tcPr>
                  <w:tcW w:w="2391" w:type="pct"/>
                  <w:tcBorders>
                    <w:tl2br w:val="nil"/>
                    <w:tr2bl w:val="nil"/>
                  </w:tcBorders>
                  <w:vAlign w:val="center"/>
                </w:tcPr>
                <w:p w14:paraId="14286770">
                  <w:pPr>
                    <w:jc w:val="left"/>
                    <w:rPr>
                      <w:color w:val="000000" w:themeColor="text1"/>
                      <w14:textFill>
                        <w14:solidFill>
                          <w14:schemeClr w14:val="tx1"/>
                        </w14:solidFill>
                      </w14:textFill>
                    </w:rPr>
                  </w:pPr>
                  <w:r>
                    <w:rPr>
                      <w:color w:val="000000" w:themeColor="text1"/>
                      <w14:textFill>
                        <w14:solidFill>
                          <w14:schemeClr w14:val="tx1"/>
                        </w14:solidFill>
                      </w14:textFill>
                    </w:rPr>
                    <w:t>等效黏土防渗层Mb≥3.0m，K≤10</w:t>
                  </w:r>
                  <w:r>
                    <w:rPr>
                      <w:color w:val="000000" w:themeColor="text1"/>
                      <w:vertAlign w:val="superscript"/>
                      <w14:textFill>
                        <w14:solidFill>
                          <w14:schemeClr w14:val="tx1"/>
                        </w14:solidFill>
                      </w14:textFill>
                    </w:rPr>
                    <w:t>-7</w:t>
                  </w:r>
                  <w:r>
                    <w:rPr>
                      <w:color w:val="000000" w:themeColor="text1"/>
                      <w14:textFill>
                        <w14:solidFill>
                          <w14:schemeClr w14:val="tx1"/>
                        </w14:solidFill>
                      </w14:textFill>
                    </w:rPr>
                    <w:t>cm/s</w:t>
                  </w:r>
                </w:p>
              </w:tc>
            </w:tr>
            <w:tr w14:paraId="01ECCD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3" w:type="pct"/>
                  <w:tcBorders>
                    <w:tl2br w:val="nil"/>
                    <w:tr2bl w:val="nil"/>
                  </w:tcBorders>
                  <w:shd w:val="clear" w:color="auto" w:fill="auto"/>
                  <w:vAlign w:val="center"/>
                </w:tcPr>
                <w:p w14:paraId="3B11A22C">
                  <w:pPr>
                    <w:jc w:val="center"/>
                    <w:rPr>
                      <w:color w:val="000000" w:themeColor="text1"/>
                      <w14:textFill>
                        <w14:solidFill>
                          <w14:schemeClr w14:val="tx1"/>
                        </w14:solidFill>
                      </w14:textFill>
                    </w:rPr>
                  </w:pPr>
                  <w:r>
                    <w:rPr>
                      <w:color w:val="000000" w:themeColor="text1"/>
                      <w14:textFill>
                        <w14:solidFill>
                          <w14:schemeClr w14:val="tx1"/>
                        </w14:solidFill>
                      </w14:textFill>
                    </w:rPr>
                    <w:t>一般防渗区</w:t>
                  </w:r>
                </w:p>
              </w:tc>
              <w:tc>
                <w:tcPr>
                  <w:tcW w:w="1754" w:type="pct"/>
                  <w:tcBorders>
                    <w:tl2br w:val="nil"/>
                    <w:tr2bl w:val="nil"/>
                  </w:tcBorders>
                  <w:shd w:val="clear" w:color="auto" w:fill="auto"/>
                  <w:vAlign w:val="center"/>
                </w:tcPr>
                <w:p w14:paraId="4414C356">
                  <w:pPr>
                    <w:jc w:val="center"/>
                    <w:rPr>
                      <w:color w:val="000000" w:themeColor="text1"/>
                      <w14:textFill>
                        <w14:solidFill>
                          <w14:schemeClr w14:val="tx1"/>
                        </w14:solidFill>
                      </w14:textFill>
                    </w:rPr>
                  </w:pPr>
                  <w:r>
                    <w:rPr>
                      <w:color w:val="000000" w:themeColor="text1"/>
                      <w14:textFill>
                        <w14:solidFill>
                          <w14:schemeClr w14:val="tx1"/>
                        </w14:solidFill>
                      </w14:textFill>
                    </w:rPr>
                    <w:t>锅炉房、一般固废间、燃料贮存库</w:t>
                  </w:r>
                </w:p>
              </w:tc>
              <w:tc>
                <w:tcPr>
                  <w:tcW w:w="2391" w:type="pct"/>
                  <w:tcBorders>
                    <w:tl2br w:val="nil"/>
                    <w:tr2bl w:val="nil"/>
                  </w:tcBorders>
                  <w:shd w:val="clear" w:color="auto" w:fill="auto"/>
                  <w:vAlign w:val="center"/>
                </w:tcPr>
                <w:p w14:paraId="4C067E75">
                  <w:pPr>
                    <w:jc w:val="center"/>
                    <w:rPr>
                      <w:color w:val="000000" w:themeColor="text1"/>
                      <w14:textFill>
                        <w14:solidFill>
                          <w14:schemeClr w14:val="tx1"/>
                        </w14:solidFill>
                      </w14:textFill>
                    </w:rPr>
                  </w:pPr>
                  <w:r>
                    <w:rPr>
                      <w:color w:val="000000" w:themeColor="text1"/>
                      <w14:textFill>
                        <w14:solidFill>
                          <w14:schemeClr w14:val="tx1"/>
                        </w14:solidFill>
                      </w14:textFill>
                    </w:rPr>
                    <w:t>等效黏土防渗层Mb≥1.5m，K≤10</w:t>
                  </w:r>
                  <w:r>
                    <w:rPr>
                      <w:color w:val="000000" w:themeColor="text1"/>
                      <w:vertAlign w:val="superscript"/>
                      <w14:textFill>
                        <w14:solidFill>
                          <w14:schemeClr w14:val="tx1"/>
                        </w14:solidFill>
                      </w14:textFill>
                    </w:rPr>
                    <w:t>-7</w:t>
                  </w:r>
                  <w:r>
                    <w:rPr>
                      <w:color w:val="000000" w:themeColor="text1"/>
                      <w14:textFill>
                        <w14:solidFill>
                          <w14:schemeClr w14:val="tx1"/>
                        </w14:solidFill>
                      </w14:textFill>
                    </w:rPr>
                    <w:t>cm/s</w:t>
                  </w:r>
                </w:p>
              </w:tc>
            </w:tr>
          </w:tbl>
          <w:p w14:paraId="068B392F">
            <w:pPr>
              <w:spacing w:line="360" w:lineRule="auto"/>
              <w:ind w:firstLine="480" w:firstLineChars="200"/>
              <w:rPr>
                <w:b/>
                <w:bCs/>
                <w:color w:val="000000" w:themeColor="text1"/>
                <w:sz w:val="24"/>
                <w14:textFill>
                  <w14:solidFill>
                    <w14:schemeClr w14:val="tx1"/>
                  </w14:solidFill>
                </w14:textFill>
              </w:rPr>
            </w:pPr>
            <w:r>
              <w:rPr>
                <w:color w:val="000000" w:themeColor="text1"/>
                <w:sz w:val="24"/>
                <w14:textFill>
                  <w14:solidFill>
                    <w14:schemeClr w14:val="tx1"/>
                  </w14:solidFill>
                </w14:textFill>
              </w:rPr>
              <w:t>综上分析，本项目在落实好防渗、防污措施后，各种污染物均得到妥善处理处置，对区域地下水、土壤环境的影响处于可接受的范围内。</w:t>
            </w:r>
          </w:p>
          <w:p w14:paraId="0919C7A0">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6、生态</w:t>
            </w:r>
          </w:p>
          <w:p w14:paraId="7922315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所在地为辽宁省抚顺市抚顺县峡河乡峡河村22号，该地用途为工业用地，项目范围内未发现珍稀动物存在，附近无划定的自然生态保护区。建议在厂区内尽可能利用空地种植适合当地气候、土壤条件的花草、树木，既美化了环境，又可以起到净化空气和减噪的效果。</w:t>
            </w:r>
          </w:p>
          <w:p w14:paraId="0A5892FA">
            <w:pPr>
              <w:numPr>
                <w:ilvl w:val="0"/>
                <w:numId w:val="10"/>
              </w:num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环境风险</w:t>
            </w:r>
          </w:p>
          <w:p w14:paraId="251BB02D">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7.1评价依据</w:t>
            </w:r>
          </w:p>
          <w:p w14:paraId="2102C06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①风险调查</w:t>
            </w:r>
          </w:p>
          <w:p w14:paraId="6637AD87">
            <w:pPr>
              <w:adjustRightInd w:val="0"/>
              <w:snapToGrid w:val="0"/>
              <w:spacing w:line="360" w:lineRule="auto"/>
              <w:ind w:firstLine="480" w:firstLineChars="200"/>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对照《建设项目环境风险评价技术导则》（HJ169-2018）附录B和《企业突发环境事件风险分级办法》（HJ941-2018）附录A后确定，本项目使用的原辅材料主要为燃料成型生物质颗粒，无临界量要求，不属于环境风险物质。</w:t>
            </w:r>
          </w:p>
          <w:p w14:paraId="780AAEB8">
            <w:pPr>
              <w:spacing w:line="360" w:lineRule="auto"/>
              <w:rPr>
                <w:color w:val="000000" w:themeColor="text1"/>
                <w:sz w:val="24"/>
                <w14:textFill>
                  <w14:solidFill>
                    <w14:schemeClr w14:val="tx1"/>
                  </w14:solidFill>
                </w14:textFill>
              </w:rPr>
            </w:pPr>
            <w:r>
              <w:rPr>
                <w:color w:val="000000" w:themeColor="text1"/>
                <w:sz w:val="24"/>
                <w:szCs w:val="22"/>
                <w14:textFill>
                  <w14:solidFill>
                    <w14:schemeClr w14:val="tx1"/>
                  </w14:solidFill>
                </w14:textFill>
              </w:rPr>
              <w:t>根据《建设项目环境风险评价技术导则》（HJ169-2018）中附录B，润滑油为附录B.1突发环境事件中风险物质，其理化性质见下表</w:t>
            </w:r>
            <w:r>
              <w:rPr>
                <w:color w:val="000000" w:themeColor="text1"/>
                <w:sz w:val="24"/>
                <w14:textFill>
                  <w14:solidFill>
                    <w14:schemeClr w14:val="tx1"/>
                  </w14:solidFill>
                </w14:textFill>
              </w:rPr>
              <w:t>。</w:t>
            </w:r>
          </w:p>
          <w:p w14:paraId="4841B647">
            <w:pPr>
              <w:spacing w:before="120" w:beforeLines="50"/>
              <w:jc w:val="center"/>
              <w:rPr>
                <w:b/>
                <w:color w:val="000000" w:themeColor="text1"/>
                <w:sz w:val="24"/>
                <w14:textFill>
                  <w14:solidFill>
                    <w14:schemeClr w14:val="tx1"/>
                  </w14:solidFill>
                </w14:textFill>
              </w:rPr>
            </w:pPr>
            <w:r>
              <w:rPr>
                <w:b/>
                <w:bCs/>
                <w:color w:val="000000" w:themeColor="text1"/>
                <w:szCs w:val="21"/>
                <w14:textFill>
                  <w14:solidFill>
                    <w14:schemeClr w14:val="tx1"/>
                  </w14:solidFill>
                </w14:textFill>
              </w:rPr>
              <w:t>表4-2</w:t>
            </w:r>
            <w:r>
              <w:rPr>
                <w:rFonts w:hint="eastAsia"/>
                <w:b/>
                <w:bCs/>
                <w:color w:val="000000" w:themeColor="text1"/>
                <w:szCs w:val="21"/>
                <w14:textFill>
                  <w14:solidFill>
                    <w14:schemeClr w14:val="tx1"/>
                  </w14:solidFill>
                </w14:textFill>
              </w:rPr>
              <w:t>1</w:t>
            </w:r>
            <w:r>
              <w:rPr>
                <w:b/>
                <w:bCs/>
                <w:color w:val="000000" w:themeColor="text1"/>
                <w:szCs w:val="21"/>
                <w14:textFill>
                  <w14:solidFill>
                    <w14:schemeClr w14:val="tx1"/>
                  </w14:solidFill>
                </w14:textFill>
              </w:rPr>
              <w:t xml:space="preserve">  废机油理化性质和危险特性</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48"/>
              <w:gridCol w:w="1168"/>
              <w:gridCol w:w="1173"/>
              <w:gridCol w:w="1161"/>
              <w:gridCol w:w="1169"/>
              <w:gridCol w:w="1324"/>
              <w:gridCol w:w="1161"/>
            </w:tblGrid>
            <w:tr w14:paraId="1DE229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tcBorders>
                    <w:tl2br w:val="nil"/>
                    <w:tr2bl w:val="nil"/>
                  </w:tcBorders>
                  <w:vAlign w:val="center"/>
                </w:tcPr>
                <w:p w14:paraId="087A6B3A">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标识</w:t>
                  </w:r>
                </w:p>
              </w:tc>
              <w:tc>
                <w:tcPr>
                  <w:tcW w:w="2108" w:type="pct"/>
                  <w:gridSpan w:val="3"/>
                  <w:tcBorders>
                    <w:tl2br w:val="nil"/>
                    <w:tr2bl w:val="nil"/>
                  </w:tcBorders>
                  <w:vAlign w:val="center"/>
                </w:tcPr>
                <w:p w14:paraId="2282E0D2">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中文名：废机油（润滑油）</w:t>
                  </w:r>
                </w:p>
              </w:tc>
              <w:tc>
                <w:tcPr>
                  <w:tcW w:w="2200" w:type="pct"/>
                  <w:gridSpan w:val="3"/>
                  <w:tcBorders>
                    <w:tl2br w:val="nil"/>
                    <w:tr2bl w:val="nil"/>
                  </w:tcBorders>
                  <w:vAlign w:val="center"/>
                </w:tcPr>
                <w:p w14:paraId="7F670B7C">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英文名：lubricating</w:t>
                  </w:r>
                </w:p>
              </w:tc>
            </w:tr>
            <w:tr w14:paraId="0FB9C2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vMerge w:val="restart"/>
                  <w:tcBorders>
                    <w:tl2br w:val="nil"/>
                    <w:tr2bl w:val="nil"/>
                  </w:tcBorders>
                  <w:vAlign w:val="center"/>
                </w:tcPr>
                <w:p w14:paraId="14DE5D68">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理化性质</w:t>
                  </w:r>
                </w:p>
              </w:tc>
              <w:tc>
                <w:tcPr>
                  <w:tcW w:w="703" w:type="pct"/>
                  <w:tcBorders>
                    <w:tl2br w:val="nil"/>
                    <w:tr2bl w:val="nil"/>
                  </w:tcBorders>
                  <w:vAlign w:val="center"/>
                </w:tcPr>
                <w:p w14:paraId="2A9F9191">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外观和性状</w:t>
                  </w:r>
                </w:p>
              </w:tc>
              <w:tc>
                <w:tcPr>
                  <w:tcW w:w="1404" w:type="pct"/>
                  <w:gridSpan w:val="2"/>
                  <w:tcBorders>
                    <w:tl2br w:val="nil"/>
                    <w:tr2bl w:val="nil"/>
                  </w:tcBorders>
                  <w:vAlign w:val="center"/>
                </w:tcPr>
                <w:p w14:paraId="63778066">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淡黄色粘稠液体</w:t>
                  </w:r>
                </w:p>
              </w:tc>
              <w:tc>
                <w:tcPr>
                  <w:tcW w:w="704" w:type="pct"/>
                  <w:tcBorders>
                    <w:tl2br w:val="nil"/>
                    <w:tr2bl w:val="nil"/>
                  </w:tcBorders>
                  <w:vAlign w:val="center"/>
                </w:tcPr>
                <w:p w14:paraId="6B8F453D">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闪点（℃）</w:t>
                  </w:r>
                </w:p>
              </w:tc>
              <w:tc>
                <w:tcPr>
                  <w:tcW w:w="1495" w:type="pct"/>
                  <w:gridSpan w:val="2"/>
                  <w:tcBorders>
                    <w:tl2br w:val="nil"/>
                    <w:tr2bl w:val="nil"/>
                  </w:tcBorders>
                  <w:vAlign w:val="center"/>
                </w:tcPr>
                <w:p w14:paraId="20336382">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120~340</w:t>
                  </w:r>
                </w:p>
              </w:tc>
            </w:tr>
            <w:tr w14:paraId="040D14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vMerge w:val="continue"/>
                  <w:tcBorders>
                    <w:tl2br w:val="nil"/>
                    <w:tr2bl w:val="nil"/>
                  </w:tcBorders>
                  <w:vAlign w:val="center"/>
                </w:tcPr>
                <w:p w14:paraId="33F7F355">
                  <w:pPr>
                    <w:spacing w:line="288" w:lineRule="auto"/>
                    <w:rPr>
                      <w:color w:val="000000" w:themeColor="text1"/>
                      <w:szCs w:val="21"/>
                      <w14:textFill>
                        <w14:solidFill>
                          <w14:schemeClr w14:val="tx1"/>
                        </w14:solidFill>
                      </w14:textFill>
                    </w:rPr>
                  </w:pPr>
                </w:p>
              </w:tc>
              <w:tc>
                <w:tcPr>
                  <w:tcW w:w="703" w:type="pct"/>
                  <w:tcBorders>
                    <w:tl2br w:val="nil"/>
                    <w:tr2bl w:val="nil"/>
                  </w:tcBorders>
                  <w:vAlign w:val="center"/>
                </w:tcPr>
                <w:p w14:paraId="562B128C">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自燃点（℃）</w:t>
                  </w:r>
                </w:p>
              </w:tc>
              <w:tc>
                <w:tcPr>
                  <w:tcW w:w="706" w:type="pct"/>
                  <w:tcBorders>
                    <w:tl2br w:val="nil"/>
                    <w:tr2bl w:val="nil"/>
                  </w:tcBorders>
                  <w:vAlign w:val="center"/>
                </w:tcPr>
                <w:p w14:paraId="3F09FE44">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300~350</w:t>
                  </w:r>
                </w:p>
              </w:tc>
              <w:tc>
                <w:tcPr>
                  <w:tcW w:w="698" w:type="pct"/>
                  <w:tcBorders>
                    <w:tl2br w:val="nil"/>
                    <w:tr2bl w:val="nil"/>
                  </w:tcBorders>
                  <w:vAlign w:val="center"/>
                </w:tcPr>
                <w:p w14:paraId="7A097C4B">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相对密度（水=1）</w:t>
                  </w:r>
                </w:p>
              </w:tc>
              <w:tc>
                <w:tcPr>
                  <w:tcW w:w="704" w:type="pct"/>
                  <w:tcBorders>
                    <w:tl2br w:val="nil"/>
                    <w:tr2bl w:val="nil"/>
                  </w:tcBorders>
                  <w:vAlign w:val="center"/>
                </w:tcPr>
                <w:p w14:paraId="49881841">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934.8</w:t>
                  </w:r>
                </w:p>
              </w:tc>
              <w:tc>
                <w:tcPr>
                  <w:tcW w:w="797" w:type="pct"/>
                  <w:tcBorders>
                    <w:tl2br w:val="nil"/>
                    <w:tr2bl w:val="nil"/>
                  </w:tcBorders>
                  <w:vAlign w:val="center"/>
                </w:tcPr>
                <w:p w14:paraId="57017D8E">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相对密度（空气=1）</w:t>
                  </w:r>
                </w:p>
              </w:tc>
              <w:tc>
                <w:tcPr>
                  <w:tcW w:w="698" w:type="pct"/>
                  <w:tcBorders>
                    <w:tl2br w:val="nil"/>
                    <w:tr2bl w:val="nil"/>
                  </w:tcBorders>
                  <w:vAlign w:val="center"/>
                </w:tcPr>
                <w:p w14:paraId="3A56D7E6">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0.85</w:t>
                  </w:r>
                </w:p>
              </w:tc>
            </w:tr>
            <w:tr w14:paraId="45CB2E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vMerge w:val="continue"/>
                  <w:tcBorders>
                    <w:tl2br w:val="nil"/>
                    <w:tr2bl w:val="nil"/>
                  </w:tcBorders>
                  <w:vAlign w:val="center"/>
                </w:tcPr>
                <w:p w14:paraId="0204287B">
                  <w:pPr>
                    <w:spacing w:line="288" w:lineRule="auto"/>
                    <w:rPr>
                      <w:color w:val="000000" w:themeColor="text1"/>
                      <w:szCs w:val="21"/>
                      <w14:textFill>
                        <w14:solidFill>
                          <w14:schemeClr w14:val="tx1"/>
                        </w14:solidFill>
                      </w14:textFill>
                    </w:rPr>
                  </w:pPr>
                </w:p>
              </w:tc>
              <w:tc>
                <w:tcPr>
                  <w:tcW w:w="703" w:type="pct"/>
                  <w:tcBorders>
                    <w:tl2br w:val="nil"/>
                    <w:tr2bl w:val="nil"/>
                  </w:tcBorders>
                  <w:vAlign w:val="center"/>
                </w:tcPr>
                <w:p w14:paraId="3E1BE20E">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沸点（℃）</w:t>
                  </w:r>
                </w:p>
              </w:tc>
              <w:tc>
                <w:tcPr>
                  <w:tcW w:w="706" w:type="pct"/>
                  <w:tcBorders>
                    <w:tl2br w:val="nil"/>
                    <w:tr2bl w:val="nil"/>
                  </w:tcBorders>
                  <w:vAlign w:val="center"/>
                </w:tcPr>
                <w:p w14:paraId="2C930FF2">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-252.8</w:t>
                  </w:r>
                </w:p>
              </w:tc>
              <w:tc>
                <w:tcPr>
                  <w:tcW w:w="1403" w:type="pct"/>
                  <w:gridSpan w:val="2"/>
                  <w:tcBorders>
                    <w:tl2br w:val="nil"/>
                    <w:tr2bl w:val="nil"/>
                  </w:tcBorders>
                  <w:vAlign w:val="center"/>
                </w:tcPr>
                <w:p w14:paraId="03B12D9A">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饱和蒸气压（kPa）</w:t>
                  </w:r>
                </w:p>
              </w:tc>
              <w:tc>
                <w:tcPr>
                  <w:tcW w:w="1495" w:type="pct"/>
                  <w:gridSpan w:val="2"/>
                  <w:tcBorders>
                    <w:tl2br w:val="nil"/>
                    <w:tr2bl w:val="nil"/>
                  </w:tcBorders>
                  <w:vAlign w:val="center"/>
                </w:tcPr>
                <w:p w14:paraId="277BB974">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0.13/145.8℃</w:t>
                  </w:r>
                </w:p>
              </w:tc>
            </w:tr>
            <w:tr w14:paraId="22C4A0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vMerge w:val="continue"/>
                  <w:tcBorders>
                    <w:tl2br w:val="nil"/>
                    <w:tr2bl w:val="nil"/>
                  </w:tcBorders>
                  <w:vAlign w:val="center"/>
                </w:tcPr>
                <w:p w14:paraId="29697949">
                  <w:pPr>
                    <w:spacing w:line="288" w:lineRule="auto"/>
                    <w:rPr>
                      <w:color w:val="000000" w:themeColor="text1"/>
                      <w:szCs w:val="21"/>
                      <w14:textFill>
                        <w14:solidFill>
                          <w14:schemeClr w14:val="tx1"/>
                        </w14:solidFill>
                      </w14:textFill>
                    </w:rPr>
                  </w:pPr>
                </w:p>
              </w:tc>
              <w:tc>
                <w:tcPr>
                  <w:tcW w:w="703" w:type="pct"/>
                  <w:tcBorders>
                    <w:tl2br w:val="nil"/>
                    <w:tr2bl w:val="nil"/>
                  </w:tcBorders>
                  <w:vAlign w:val="center"/>
                </w:tcPr>
                <w:p w14:paraId="14A223C2">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溶解性</w:t>
                  </w:r>
                </w:p>
              </w:tc>
              <w:tc>
                <w:tcPr>
                  <w:tcW w:w="3604" w:type="pct"/>
                  <w:gridSpan w:val="5"/>
                  <w:tcBorders>
                    <w:tl2br w:val="nil"/>
                    <w:tr2bl w:val="nil"/>
                  </w:tcBorders>
                  <w:vAlign w:val="center"/>
                </w:tcPr>
                <w:p w14:paraId="10CAB417">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溶于苯、乙醇、乙醚、氯仿、丙酮等多数有机溶剂。</w:t>
                  </w:r>
                </w:p>
              </w:tc>
            </w:tr>
            <w:tr w14:paraId="428641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vMerge w:val="restart"/>
                  <w:tcBorders>
                    <w:tl2br w:val="nil"/>
                    <w:tr2bl w:val="nil"/>
                  </w:tcBorders>
                  <w:vAlign w:val="center"/>
                </w:tcPr>
                <w:p w14:paraId="39862D79">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燃烧爆炸危险</w:t>
                  </w:r>
                </w:p>
              </w:tc>
              <w:tc>
                <w:tcPr>
                  <w:tcW w:w="703" w:type="pct"/>
                  <w:tcBorders>
                    <w:tl2br w:val="nil"/>
                    <w:tr2bl w:val="nil"/>
                  </w:tcBorders>
                  <w:vAlign w:val="center"/>
                </w:tcPr>
                <w:p w14:paraId="1F237321">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危险特性</w:t>
                  </w:r>
                </w:p>
              </w:tc>
              <w:tc>
                <w:tcPr>
                  <w:tcW w:w="1404" w:type="pct"/>
                  <w:gridSpan w:val="2"/>
                  <w:tcBorders>
                    <w:tl2br w:val="nil"/>
                    <w:tr2bl w:val="nil"/>
                  </w:tcBorders>
                  <w:vAlign w:val="center"/>
                </w:tcPr>
                <w:p w14:paraId="7CC5BA50">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可燃液体，火灾危险性为B类；遇明火、高热可燃</w:t>
                  </w:r>
                </w:p>
              </w:tc>
              <w:tc>
                <w:tcPr>
                  <w:tcW w:w="704" w:type="pct"/>
                  <w:tcBorders>
                    <w:tl2br w:val="nil"/>
                    <w:tr2bl w:val="nil"/>
                  </w:tcBorders>
                  <w:vAlign w:val="center"/>
                </w:tcPr>
                <w:p w14:paraId="52ED64B7">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燃烧分解产物</w:t>
                  </w:r>
                </w:p>
              </w:tc>
              <w:tc>
                <w:tcPr>
                  <w:tcW w:w="1495" w:type="pct"/>
                  <w:gridSpan w:val="2"/>
                  <w:tcBorders>
                    <w:tl2br w:val="nil"/>
                    <w:tr2bl w:val="nil"/>
                  </w:tcBorders>
                  <w:vAlign w:val="center"/>
                </w:tcPr>
                <w:p w14:paraId="38C31578">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CO、CO</w:t>
                  </w:r>
                  <w:r>
                    <w:rPr>
                      <w:color w:val="000000" w:themeColor="text1"/>
                      <w:szCs w:val="21"/>
                      <w:vertAlign w:val="subscript"/>
                      <w14:textFill>
                        <w14:solidFill>
                          <w14:schemeClr w14:val="tx1"/>
                        </w14:solidFill>
                      </w14:textFill>
                    </w:rPr>
                    <w:t>2</w:t>
                  </w:r>
                </w:p>
              </w:tc>
            </w:tr>
            <w:tr w14:paraId="3E60A2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vMerge w:val="continue"/>
                  <w:tcBorders>
                    <w:tl2br w:val="nil"/>
                    <w:tr2bl w:val="nil"/>
                  </w:tcBorders>
                  <w:vAlign w:val="center"/>
                </w:tcPr>
                <w:p w14:paraId="169B69A2">
                  <w:pPr>
                    <w:spacing w:line="288" w:lineRule="auto"/>
                    <w:rPr>
                      <w:color w:val="000000" w:themeColor="text1"/>
                      <w:szCs w:val="21"/>
                      <w14:textFill>
                        <w14:solidFill>
                          <w14:schemeClr w14:val="tx1"/>
                        </w14:solidFill>
                      </w14:textFill>
                    </w:rPr>
                  </w:pPr>
                </w:p>
              </w:tc>
              <w:tc>
                <w:tcPr>
                  <w:tcW w:w="703" w:type="pct"/>
                  <w:tcBorders>
                    <w:tl2br w:val="nil"/>
                    <w:tr2bl w:val="nil"/>
                  </w:tcBorders>
                  <w:vAlign w:val="center"/>
                </w:tcPr>
                <w:p w14:paraId="70EED2C6">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稳定性</w:t>
                  </w:r>
                </w:p>
              </w:tc>
              <w:tc>
                <w:tcPr>
                  <w:tcW w:w="1404" w:type="pct"/>
                  <w:gridSpan w:val="2"/>
                  <w:tcBorders>
                    <w:tl2br w:val="nil"/>
                    <w:tr2bl w:val="nil"/>
                  </w:tcBorders>
                  <w:vAlign w:val="center"/>
                </w:tcPr>
                <w:p w14:paraId="73788BC3">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稳定</w:t>
                  </w:r>
                </w:p>
              </w:tc>
              <w:tc>
                <w:tcPr>
                  <w:tcW w:w="704" w:type="pct"/>
                  <w:tcBorders>
                    <w:tl2br w:val="nil"/>
                    <w:tr2bl w:val="nil"/>
                  </w:tcBorders>
                  <w:vAlign w:val="center"/>
                </w:tcPr>
                <w:p w14:paraId="518C63AE">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禁忌物</w:t>
                  </w:r>
                </w:p>
              </w:tc>
              <w:tc>
                <w:tcPr>
                  <w:tcW w:w="1495" w:type="pct"/>
                  <w:gridSpan w:val="2"/>
                  <w:tcBorders>
                    <w:tl2br w:val="nil"/>
                    <w:tr2bl w:val="nil"/>
                  </w:tcBorders>
                  <w:vAlign w:val="center"/>
                </w:tcPr>
                <w:p w14:paraId="2DB6B137">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硝酸等强氧化剂</w:t>
                  </w:r>
                </w:p>
              </w:tc>
            </w:tr>
            <w:tr w14:paraId="16F7C8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vMerge w:val="continue"/>
                  <w:tcBorders>
                    <w:tl2br w:val="nil"/>
                    <w:tr2bl w:val="nil"/>
                  </w:tcBorders>
                  <w:vAlign w:val="center"/>
                </w:tcPr>
                <w:p w14:paraId="68DFC08C">
                  <w:pPr>
                    <w:spacing w:line="288" w:lineRule="auto"/>
                    <w:rPr>
                      <w:color w:val="000000" w:themeColor="text1"/>
                      <w:szCs w:val="21"/>
                      <w14:textFill>
                        <w14:solidFill>
                          <w14:schemeClr w14:val="tx1"/>
                        </w14:solidFill>
                      </w14:textFill>
                    </w:rPr>
                  </w:pPr>
                </w:p>
              </w:tc>
              <w:tc>
                <w:tcPr>
                  <w:tcW w:w="703" w:type="pct"/>
                  <w:tcBorders>
                    <w:tl2br w:val="nil"/>
                    <w:tr2bl w:val="nil"/>
                  </w:tcBorders>
                  <w:vAlign w:val="center"/>
                </w:tcPr>
                <w:p w14:paraId="61B6389F">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灭火方法</w:t>
                  </w:r>
                </w:p>
              </w:tc>
              <w:tc>
                <w:tcPr>
                  <w:tcW w:w="3604" w:type="pct"/>
                  <w:gridSpan w:val="5"/>
                  <w:tcBorders>
                    <w:tl2br w:val="nil"/>
                    <w:tr2bl w:val="nil"/>
                  </w:tcBorders>
                  <w:vAlign w:val="center"/>
                </w:tcPr>
                <w:p w14:paraId="0822007F">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佩戴防毒面具、安全消防服，在上风向灭火。尽可能将容器从火场移至空旷处。喷水保持火场容器冷却，直至灭火结束。处在火场中的容器若已变色或从安全泄压装置中产生声音，必须立即撤离。灭火剂：雾状水、泡沫、干粉、二氧化碳、砂土。</w:t>
                  </w:r>
                </w:p>
              </w:tc>
            </w:tr>
            <w:tr w14:paraId="5AD184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tcBorders>
                    <w:tl2br w:val="nil"/>
                    <w:tr2bl w:val="nil"/>
                  </w:tcBorders>
                  <w:vAlign w:val="center"/>
                </w:tcPr>
                <w:p w14:paraId="357DB61C">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健康危害</w:t>
                  </w:r>
                </w:p>
              </w:tc>
              <w:tc>
                <w:tcPr>
                  <w:tcW w:w="4308" w:type="pct"/>
                  <w:gridSpan w:val="6"/>
                  <w:tcBorders>
                    <w:tl2br w:val="nil"/>
                    <w:tr2bl w:val="nil"/>
                  </w:tcBorders>
                  <w:vAlign w:val="center"/>
                </w:tcPr>
                <w:p w14:paraId="1FD3875C">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急性吸入，可出现乏力、头晕、头痛、恶心，严重者可引起油脂性肺炎。慢接触着，暴露部位可发生油性痤疮和基础性皮炎。可引发神经衰弱综合症，呼吸道和眼刺激症状及慢性油脂性肺炎。</w:t>
                  </w:r>
                </w:p>
              </w:tc>
            </w:tr>
            <w:tr w14:paraId="1EA456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tcBorders>
                    <w:tl2br w:val="nil"/>
                    <w:tr2bl w:val="nil"/>
                  </w:tcBorders>
                  <w:vAlign w:val="center"/>
                </w:tcPr>
                <w:p w14:paraId="04DC509F">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急救措施</w:t>
                  </w:r>
                </w:p>
              </w:tc>
              <w:tc>
                <w:tcPr>
                  <w:tcW w:w="4308" w:type="pct"/>
                  <w:gridSpan w:val="6"/>
                  <w:tcBorders>
                    <w:tl2br w:val="nil"/>
                    <w:tr2bl w:val="nil"/>
                  </w:tcBorders>
                  <w:vAlign w:val="center"/>
                </w:tcPr>
                <w:p w14:paraId="0D8B65D3">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皮肤接触：脱去污染的衣着，用大量流动清水清洗。就医。</w:t>
                  </w:r>
                </w:p>
                <w:p w14:paraId="19E1D910">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眼接触：提起眼睑，用流动清水或生理盐水冲洗。就医。</w:t>
                  </w:r>
                </w:p>
                <w:p w14:paraId="7AECD11C">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吸入：迅速脱离现场至空气新鲜处，保持呼吸畅通。如呼吸困难，给输氧。如呼吸停止，立即进行人工呼吸，就医。</w:t>
                  </w:r>
                </w:p>
                <w:p w14:paraId="1E996A95">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食用：饮适量温水，催吐，就医。</w:t>
                  </w:r>
                </w:p>
              </w:tc>
            </w:tr>
            <w:tr w14:paraId="0FDD80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tcBorders>
                    <w:tl2br w:val="nil"/>
                    <w:tr2bl w:val="nil"/>
                  </w:tcBorders>
                  <w:vAlign w:val="center"/>
                </w:tcPr>
                <w:p w14:paraId="779D8A97">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防护处理</w:t>
                  </w:r>
                </w:p>
              </w:tc>
              <w:tc>
                <w:tcPr>
                  <w:tcW w:w="4308" w:type="pct"/>
                  <w:gridSpan w:val="6"/>
                  <w:tcBorders>
                    <w:tl2br w:val="nil"/>
                    <w:tr2bl w:val="nil"/>
                  </w:tcBorders>
                  <w:vAlign w:val="center"/>
                </w:tcPr>
                <w:p w14:paraId="2427AF16">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呼吸系统防护：空气中浓度超标时，必须佩戴自吸过滤式防毒面具（半面罩）；紧急事态抢救或撤离时，应佩戴空气呼吸器。</w:t>
                  </w:r>
                </w:p>
                <w:p w14:paraId="0BC2AF47">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眼睛防护：戴化学安全防护眼镜。</w:t>
                  </w:r>
                </w:p>
                <w:p w14:paraId="63130680">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身体防护：穿防毒渗透工作服。</w:t>
                  </w:r>
                </w:p>
                <w:p w14:paraId="742AFCB9">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手防护：戴橡胶耐油手套。</w:t>
                  </w:r>
                </w:p>
                <w:p w14:paraId="0FA928B2">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其他：工作现场严禁吸烟，避免长期反复接触。</w:t>
                  </w:r>
                </w:p>
              </w:tc>
            </w:tr>
            <w:tr w14:paraId="70D6DC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tcBorders>
                    <w:tl2br w:val="nil"/>
                    <w:tr2bl w:val="nil"/>
                  </w:tcBorders>
                  <w:vAlign w:val="center"/>
                </w:tcPr>
                <w:p w14:paraId="5023938D">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泄漏处理</w:t>
                  </w:r>
                </w:p>
              </w:tc>
              <w:tc>
                <w:tcPr>
                  <w:tcW w:w="4308" w:type="pct"/>
                  <w:gridSpan w:val="6"/>
                  <w:tcBorders>
                    <w:tl2br w:val="nil"/>
                    <w:tr2bl w:val="nil"/>
                  </w:tcBorders>
                  <w:vAlign w:val="center"/>
                </w:tcPr>
                <w:p w14:paraId="6E453108">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迅速撤离泄漏污染区人员至安全区，并进行隔离，严格限制出入。切断火源。建议应急处理人员戴自给正压式呼吸器，穿防毒服。尽可能切断泄漏源。防止流入下水道、排洪沟等限制性空间。小量泄漏：用砂土或其他不然材料吸附或吸收，减少挥发。大量泄漏：构筑围堤或挖坑收容。用泵转移至槽车或专用收集器内，回收或运至废物处理场所处置。</w:t>
                  </w:r>
                </w:p>
              </w:tc>
            </w:tr>
            <w:tr w14:paraId="3EB840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tcBorders>
                    <w:tl2br w:val="nil"/>
                    <w:tr2bl w:val="nil"/>
                  </w:tcBorders>
                  <w:vAlign w:val="center"/>
                </w:tcPr>
                <w:p w14:paraId="330AB3D1">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储存要求</w:t>
                  </w:r>
                </w:p>
              </w:tc>
              <w:tc>
                <w:tcPr>
                  <w:tcW w:w="4308" w:type="pct"/>
                  <w:gridSpan w:val="6"/>
                  <w:tcBorders>
                    <w:tl2br w:val="nil"/>
                    <w:tr2bl w:val="nil"/>
                  </w:tcBorders>
                  <w:vAlign w:val="center"/>
                </w:tcPr>
                <w:p w14:paraId="33710DFC">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储存于阴凉、通风的库房。远离火种、热源。应与氧化剂分开存放，切忌混储。配备相应品种和数量的消防器材。储存区应配有泄漏应急处理设备和合适的收容材料。</w:t>
                  </w:r>
                </w:p>
              </w:tc>
            </w:tr>
            <w:tr w14:paraId="07CABA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91" w:type="pct"/>
                  <w:tcBorders>
                    <w:tl2br w:val="nil"/>
                    <w:tr2bl w:val="nil"/>
                  </w:tcBorders>
                  <w:vAlign w:val="center"/>
                </w:tcPr>
                <w:p w14:paraId="7AE94622">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运输要求</w:t>
                  </w:r>
                </w:p>
              </w:tc>
              <w:tc>
                <w:tcPr>
                  <w:tcW w:w="4308" w:type="pct"/>
                  <w:gridSpan w:val="6"/>
                  <w:tcBorders>
                    <w:tl2br w:val="nil"/>
                    <w:tr2bl w:val="nil"/>
                  </w:tcBorders>
                  <w:vAlign w:val="center"/>
                </w:tcPr>
                <w:p w14:paraId="3DBE5165">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用油罐、油罐车、油船、铁桶、塑料桶等充装，盛装时切不可装满，要留出必要的安全空间。</w:t>
                  </w:r>
                </w:p>
                <w:p w14:paraId="512148DF">
                  <w:pPr>
                    <w:spacing w:line="288"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运输前应先检查包装容器是否完整、密封，运输过程中要确保容器不泄漏、不倒塌、不坠落、不损坏。严禁与氧化剂、食用化学品等混装混运。运输车船必须彻底清洗、消毒，否则不得装运其它物品。公路运输时要按规定路线行驶。</w:t>
                  </w:r>
                </w:p>
              </w:tc>
            </w:tr>
          </w:tbl>
          <w:p w14:paraId="07DA8FF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②风险潜势初判及评价等级</w:t>
            </w:r>
          </w:p>
          <w:p w14:paraId="106D82A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根据《建设项目环境风险评价技术导则》（HJ169-2018）中关于环境风险潜势初判方式首先按下式计算物质总量与临界量比值（Q）</w:t>
            </w:r>
          </w:p>
          <w:p w14:paraId="6B2FC735">
            <w:pPr>
              <w:spacing w:before="120" w:beforeLines="50" w:line="360" w:lineRule="auto"/>
              <w:ind w:firstLine="480" w:firstLineChars="200"/>
              <w:jc w:val="center"/>
              <w:rPr>
                <w:color w:val="000000" w:themeColor="text1"/>
                <w:kern w:val="0"/>
                <w:sz w:val="24"/>
                <w14:textFill>
                  <w14:solidFill>
                    <w14:schemeClr w14:val="tx1"/>
                  </w14:solidFill>
                </w14:textFill>
              </w:rPr>
            </w:pPr>
            <w:r>
              <w:rPr>
                <w:color w:val="000000" w:themeColor="text1"/>
                <w:kern w:val="0"/>
                <w:position w:val="-30"/>
                <w:sz w:val="24"/>
                <w14:textFill>
                  <w14:solidFill>
                    <w14:schemeClr w14:val="tx1"/>
                  </w14:solidFill>
                </w14:textFill>
              </w:rPr>
              <w:object>
                <v:shape id="_x0000_i1038" o:spt="75" type="#_x0000_t75" style="height:35pt;width:127pt;" o:ole="t" filled="f" o:preferrelative="t" stroked="f" coordsize="21600,21600">
                  <v:path/>
                  <v:fill on="f" focussize="0,0"/>
                  <v:stroke on="f" joinstyle="miter"/>
                  <v:imagedata r:id="rId44" o:title=""/>
                  <o:lock v:ext="edit" aspectratio="t"/>
                  <w10:wrap type="none"/>
                  <w10:anchorlock/>
                </v:shape>
                <o:OLEObject Type="Embed" ProgID="Equation.3" ShapeID="_x0000_i1038" DrawAspect="Content" ObjectID="_1468075738" r:id="rId43">
                  <o:LockedField>false</o:LockedField>
                </o:OLEObject>
              </w:object>
            </w:r>
          </w:p>
          <w:p w14:paraId="0289FF24">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式中：q</w:t>
            </w:r>
            <w:r>
              <w:rPr>
                <w:color w:val="000000" w:themeColor="text1"/>
                <w:kern w:val="0"/>
                <w:sz w:val="24"/>
                <w:vertAlign w:val="subscript"/>
                <w14:textFill>
                  <w14:solidFill>
                    <w14:schemeClr w14:val="tx1"/>
                  </w14:solidFill>
                </w14:textFill>
              </w:rPr>
              <w:t>1</w:t>
            </w:r>
            <w:r>
              <w:rPr>
                <w:color w:val="000000" w:themeColor="text1"/>
                <w:kern w:val="0"/>
                <w:sz w:val="24"/>
                <w14:textFill>
                  <w14:solidFill>
                    <w14:schemeClr w14:val="tx1"/>
                  </w14:solidFill>
                </w14:textFill>
              </w:rPr>
              <w:t>,q</w:t>
            </w:r>
            <w:r>
              <w:rPr>
                <w:color w:val="000000" w:themeColor="text1"/>
                <w:kern w:val="0"/>
                <w:sz w:val="24"/>
                <w:vertAlign w:val="subscript"/>
                <w14:textFill>
                  <w14:solidFill>
                    <w14:schemeClr w14:val="tx1"/>
                  </w14:solidFill>
                </w14:textFill>
              </w:rPr>
              <w:t>2</w:t>
            </w:r>
            <w:r>
              <w:rPr>
                <w:color w:val="000000" w:themeColor="text1"/>
                <w:kern w:val="0"/>
                <w:sz w:val="24"/>
                <w14:textFill>
                  <w14:solidFill>
                    <w14:schemeClr w14:val="tx1"/>
                  </w14:solidFill>
                </w14:textFill>
              </w:rPr>
              <w:t>,…,q</w:t>
            </w:r>
            <w:r>
              <w:rPr>
                <w:color w:val="000000" w:themeColor="text1"/>
                <w:kern w:val="0"/>
                <w:sz w:val="24"/>
                <w:vertAlign w:val="subscript"/>
                <w14:textFill>
                  <w14:solidFill>
                    <w14:schemeClr w14:val="tx1"/>
                  </w14:solidFill>
                </w14:textFill>
              </w:rPr>
              <w:t>n</w:t>
            </w:r>
            <w:r>
              <w:rPr>
                <w:color w:val="000000" w:themeColor="text1"/>
                <w:kern w:val="0"/>
                <w:sz w:val="24"/>
                <w14:textFill>
                  <w14:solidFill>
                    <w14:schemeClr w14:val="tx1"/>
                  </w14:solidFill>
                </w14:textFill>
              </w:rPr>
              <w:t>——每种危险物质的最大存在总量，t；</w:t>
            </w:r>
          </w:p>
          <w:p w14:paraId="3FDE5832">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Q</w:t>
            </w:r>
            <w:r>
              <w:rPr>
                <w:color w:val="000000" w:themeColor="text1"/>
                <w:kern w:val="0"/>
                <w:sz w:val="24"/>
                <w:vertAlign w:val="subscript"/>
                <w14:textFill>
                  <w14:solidFill>
                    <w14:schemeClr w14:val="tx1"/>
                  </w14:solidFill>
                </w14:textFill>
              </w:rPr>
              <w:t>1</w:t>
            </w:r>
            <w:r>
              <w:rPr>
                <w:color w:val="000000" w:themeColor="text1"/>
                <w:kern w:val="0"/>
                <w:sz w:val="24"/>
                <w14:textFill>
                  <w14:solidFill>
                    <w14:schemeClr w14:val="tx1"/>
                  </w14:solidFill>
                </w14:textFill>
              </w:rPr>
              <w:t>,Q</w:t>
            </w:r>
            <w:r>
              <w:rPr>
                <w:color w:val="000000" w:themeColor="text1"/>
                <w:kern w:val="0"/>
                <w:sz w:val="24"/>
                <w:vertAlign w:val="subscript"/>
                <w14:textFill>
                  <w14:solidFill>
                    <w14:schemeClr w14:val="tx1"/>
                  </w14:solidFill>
                </w14:textFill>
              </w:rPr>
              <w:t>2</w:t>
            </w:r>
            <w:r>
              <w:rPr>
                <w:color w:val="000000" w:themeColor="text1"/>
                <w:kern w:val="0"/>
                <w:sz w:val="24"/>
                <w14:textFill>
                  <w14:solidFill>
                    <w14:schemeClr w14:val="tx1"/>
                  </w14:solidFill>
                </w14:textFill>
              </w:rPr>
              <w:t>,…,Q</w:t>
            </w:r>
            <w:r>
              <w:rPr>
                <w:color w:val="000000" w:themeColor="text1"/>
                <w:kern w:val="0"/>
                <w:sz w:val="24"/>
                <w:vertAlign w:val="subscript"/>
                <w14:textFill>
                  <w14:solidFill>
                    <w14:schemeClr w14:val="tx1"/>
                  </w14:solidFill>
                </w14:textFill>
              </w:rPr>
              <w:t>n</w:t>
            </w:r>
            <w:r>
              <w:rPr>
                <w:color w:val="000000" w:themeColor="text1"/>
                <w:kern w:val="0"/>
                <w:sz w:val="24"/>
                <w14:textFill>
                  <w14:solidFill>
                    <w14:schemeClr w14:val="tx1"/>
                  </w14:solidFill>
                </w14:textFill>
              </w:rPr>
              <w:t>——每种危险物质的临界量，t。</w:t>
            </w:r>
          </w:p>
          <w:p w14:paraId="37DA308E">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当Q&lt;1时，该项目环境风险潜势为Ⅰ</w:t>
            </w:r>
          </w:p>
          <w:p w14:paraId="1FF6C136">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当Q≥1时，将Q值划分为：1≤Q&lt;10、10≤Q&lt;100、Q≥100。</w:t>
            </w:r>
          </w:p>
          <w:p w14:paraId="52704FB7">
            <w:pPr>
              <w:spacing w:line="360" w:lineRule="auto"/>
              <w:ind w:firstLine="480" w:firstLineChars="2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按照《建设项目环境风险评价技术导则》（HJ169-2018）附录B表B.1突发环境事件风险物质及临界量，</w:t>
            </w:r>
            <w:r>
              <w:rPr>
                <w:color w:val="000000" w:themeColor="text1"/>
                <w:kern w:val="0"/>
                <w:sz w:val="24"/>
                <w14:textFill>
                  <w14:solidFill>
                    <w14:schemeClr w14:val="tx1"/>
                  </w14:solidFill>
                </w14:textFill>
              </w:rPr>
              <w:t>本项目危险物质Q值见表4-18。</w:t>
            </w:r>
          </w:p>
          <w:p w14:paraId="22008385">
            <w:pPr>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表4-2</w:t>
            </w:r>
            <w:r>
              <w:rPr>
                <w:rFonts w:hint="eastAsia"/>
                <w:b/>
                <w:bCs/>
                <w:color w:val="000000" w:themeColor="text1"/>
                <w:kern w:val="0"/>
                <w:szCs w:val="21"/>
                <w14:textFill>
                  <w14:solidFill>
                    <w14:schemeClr w14:val="tx1"/>
                  </w14:solidFill>
                </w14:textFill>
              </w:rPr>
              <w:t>2</w:t>
            </w:r>
            <w:r>
              <w:rPr>
                <w:b/>
                <w:bCs/>
                <w:color w:val="000000" w:themeColor="text1"/>
                <w:kern w:val="0"/>
                <w:szCs w:val="21"/>
                <w14:textFill>
                  <w14:solidFill>
                    <w14:schemeClr w14:val="tx1"/>
                  </w14:solidFill>
                </w14:textFill>
              </w:rPr>
              <w:t xml:space="preserve">  建设项目Q值确定表</w:t>
            </w:r>
          </w:p>
          <w:tbl>
            <w:tblPr>
              <w:tblStyle w:val="31"/>
              <w:tblW w:w="8299"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631"/>
              <w:gridCol w:w="1436"/>
              <w:gridCol w:w="1181"/>
              <w:gridCol w:w="1434"/>
              <w:gridCol w:w="1327"/>
              <w:gridCol w:w="1290"/>
            </w:tblGrid>
            <w:tr w14:paraId="108AC76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631" w:type="dxa"/>
                  <w:vAlign w:val="center"/>
                </w:tcPr>
                <w:p w14:paraId="018F6870">
                  <w:pPr>
                    <w:pStyle w:val="14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危险物质名称</w:t>
                  </w:r>
                </w:p>
              </w:tc>
              <w:tc>
                <w:tcPr>
                  <w:tcW w:w="1436" w:type="dxa"/>
                  <w:vAlign w:val="center"/>
                </w:tcPr>
                <w:p w14:paraId="66FA7473">
                  <w:pPr>
                    <w:pStyle w:val="14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储存方式</w:t>
                  </w:r>
                </w:p>
              </w:tc>
              <w:tc>
                <w:tcPr>
                  <w:tcW w:w="1181" w:type="dxa"/>
                  <w:vAlign w:val="center"/>
                </w:tcPr>
                <w:p w14:paraId="0004CE39">
                  <w:pPr>
                    <w:pStyle w:val="14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CAS号</w:t>
                  </w:r>
                </w:p>
              </w:tc>
              <w:tc>
                <w:tcPr>
                  <w:tcW w:w="1434" w:type="dxa"/>
                  <w:vAlign w:val="center"/>
                </w:tcPr>
                <w:p w14:paraId="51A95305">
                  <w:pPr>
                    <w:pStyle w:val="14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最大存在总量q</w:t>
                  </w:r>
                  <w:r>
                    <w:rPr>
                      <w:rFonts w:eastAsia="宋体"/>
                      <w:color w:val="000000" w:themeColor="text1"/>
                      <w:szCs w:val="21"/>
                      <w:vertAlign w:val="subscript"/>
                      <w14:textFill>
                        <w14:solidFill>
                          <w14:schemeClr w14:val="tx1"/>
                        </w14:solidFill>
                      </w14:textFill>
                    </w:rPr>
                    <w:t>n</w:t>
                  </w:r>
                  <w:r>
                    <w:rPr>
                      <w:rFonts w:eastAsia="宋体"/>
                      <w:color w:val="000000" w:themeColor="text1"/>
                      <w:szCs w:val="21"/>
                      <w14:textFill>
                        <w14:solidFill>
                          <w14:schemeClr w14:val="tx1"/>
                        </w14:solidFill>
                      </w14:textFill>
                    </w:rPr>
                    <w:t>/t</w:t>
                  </w:r>
                </w:p>
              </w:tc>
              <w:tc>
                <w:tcPr>
                  <w:tcW w:w="1327" w:type="dxa"/>
                  <w:vAlign w:val="center"/>
                </w:tcPr>
                <w:p w14:paraId="1BFCE6AE">
                  <w:pPr>
                    <w:pStyle w:val="14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临界量Q</w:t>
                  </w:r>
                  <w:r>
                    <w:rPr>
                      <w:rFonts w:eastAsia="宋体"/>
                      <w:color w:val="000000" w:themeColor="text1"/>
                      <w:szCs w:val="21"/>
                      <w:vertAlign w:val="subscript"/>
                      <w14:textFill>
                        <w14:solidFill>
                          <w14:schemeClr w14:val="tx1"/>
                        </w14:solidFill>
                      </w14:textFill>
                    </w:rPr>
                    <w:t>n</w:t>
                  </w:r>
                  <w:r>
                    <w:rPr>
                      <w:rFonts w:eastAsia="宋体"/>
                      <w:color w:val="000000" w:themeColor="text1"/>
                      <w:szCs w:val="21"/>
                      <w14:textFill>
                        <w14:solidFill>
                          <w14:schemeClr w14:val="tx1"/>
                        </w14:solidFill>
                      </w14:textFill>
                    </w:rPr>
                    <w:t>/t</w:t>
                  </w:r>
                </w:p>
              </w:tc>
              <w:tc>
                <w:tcPr>
                  <w:tcW w:w="1290" w:type="dxa"/>
                  <w:vAlign w:val="center"/>
                </w:tcPr>
                <w:p w14:paraId="04210352">
                  <w:pPr>
                    <w:pStyle w:val="148"/>
                    <w:rPr>
                      <w:rFonts w:eastAsia="宋体"/>
                      <w:color w:val="000000" w:themeColor="text1"/>
                      <w:szCs w:val="21"/>
                      <w14:textFill>
                        <w14:solidFill>
                          <w14:schemeClr w14:val="tx1"/>
                        </w14:solidFill>
                      </w14:textFill>
                    </w:rPr>
                  </w:pPr>
                  <w:r>
                    <w:rPr>
                      <w:rFonts w:eastAsia="宋体"/>
                      <w:color w:val="000000" w:themeColor="text1"/>
                      <w:szCs w:val="21"/>
                      <w14:textFill>
                        <w14:solidFill>
                          <w14:schemeClr w14:val="tx1"/>
                        </w14:solidFill>
                      </w14:textFill>
                    </w:rPr>
                    <w:t>Q值</w:t>
                  </w:r>
                </w:p>
              </w:tc>
            </w:tr>
            <w:tr w14:paraId="35FF9BB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631" w:type="dxa"/>
                  <w:vAlign w:val="center"/>
                </w:tcPr>
                <w:p w14:paraId="0CADC56C">
                  <w:pPr>
                    <w:topLinePunct/>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废机油</w:t>
                  </w:r>
                </w:p>
              </w:tc>
              <w:tc>
                <w:tcPr>
                  <w:tcW w:w="1436" w:type="dxa"/>
                  <w:vAlign w:val="center"/>
                </w:tcPr>
                <w:p w14:paraId="48AC592A">
                  <w:pPr>
                    <w:topLinePunct/>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危废贮存点</w:t>
                  </w:r>
                </w:p>
              </w:tc>
              <w:tc>
                <w:tcPr>
                  <w:tcW w:w="1181" w:type="dxa"/>
                  <w:vAlign w:val="center"/>
                </w:tcPr>
                <w:p w14:paraId="662C2744">
                  <w:pPr>
                    <w:topLinePunct/>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434" w:type="dxa"/>
                  <w:vAlign w:val="center"/>
                </w:tcPr>
                <w:p w14:paraId="28F75A79">
                  <w:pPr>
                    <w:topLinePunct/>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0.02</w:t>
                  </w:r>
                </w:p>
              </w:tc>
              <w:tc>
                <w:tcPr>
                  <w:tcW w:w="1327" w:type="dxa"/>
                  <w:vAlign w:val="center"/>
                </w:tcPr>
                <w:p w14:paraId="16C90B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2500</w:t>
                  </w:r>
                </w:p>
              </w:tc>
              <w:tc>
                <w:tcPr>
                  <w:tcW w:w="1290" w:type="dxa"/>
                  <w:vAlign w:val="center"/>
                </w:tcPr>
                <w:p w14:paraId="5A5B4942">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0.000008</w:t>
                  </w:r>
                </w:p>
              </w:tc>
            </w:tr>
            <w:tr w14:paraId="59EFAF5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7009" w:type="dxa"/>
                  <w:gridSpan w:val="5"/>
                  <w:vAlign w:val="center"/>
                </w:tcPr>
                <w:p w14:paraId="417DED9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项目Q值Σ</w:t>
                  </w:r>
                </w:p>
              </w:tc>
              <w:tc>
                <w:tcPr>
                  <w:tcW w:w="1290" w:type="dxa"/>
                  <w:vAlign w:val="center"/>
                </w:tcPr>
                <w:p w14:paraId="2A90039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0.000008</w:t>
                  </w:r>
                </w:p>
              </w:tc>
            </w:tr>
          </w:tbl>
          <w:p w14:paraId="0DB29B17">
            <w:pPr>
              <w:pStyle w:val="85"/>
              <w:spacing w:before="120" w:beforeLines="50"/>
              <w:ind w:firstLine="480"/>
              <w:rPr>
                <w:color w:val="000000" w:themeColor="text1"/>
                <w14:textFill>
                  <w14:solidFill>
                    <w14:schemeClr w14:val="tx1"/>
                  </w14:solidFill>
                </w14:textFill>
              </w:rPr>
            </w:pPr>
            <w:r>
              <w:rPr>
                <w:color w:val="000000" w:themeColor="text1"/>
                <w14:textFill>
                  <w14:solidFill>
                    <w14:schemeClr w14:val="tx1"/>
                  </w14:solidFill>
                </w14:textFill>
              </w:rPr>
              <w:t>通过计算，本项目危险物质数量与临界量的比值Q=</w:t>
            </w:r>
            <w:r>
              <w:rPr>
                <w:color w:val="000000" w:themeColor="text1"/>
                <w:lang w:val="en-US"/>
                <w14:textFill>
                  <w14:solidFill>
                    <w14:schemeClr w14:val="tx1"/>
                  </w14:solidFill>
                </w14:textFill>
              </w:rPr>
              <w:t>0.000008</w:t>
            </w:r>
            <w:r>
              <w:rPr>
                <w:color w:val="000000" w:themeColor="text1"/>
                <w14:textFill>
                  <w14:solidFill>
                    <w14:schemeClr w14:val="tx1"/>
                  </w14:solidFill>
                </w14:textFill>
              </w:rPr>
              <w:t>，Q＜1。根据《建设项目环境风险评价技术导则》（HJ 169-2018），环境风险潜势为I，可只进行简单分析，评价工作等级划分见</w:t>
            </w:r>
            <w:r>
              <w:rPr>
                <w:color w:val="000000" w:themeColor="text1"/>
                <w:lang w:val="en-US"/>
                <w14:textFill>
                  <w14:solidFill>
                    <w14:schemeClr w14:val="tx1"/>
                  </w14:solidFill>
                </w14:textFill>
              </w:rPr>
              <w:t>下</w:t>
            </w:r>
            <w:r>
              <w:rPr>
                <w:color w:val="000000" w:themeColor="text1"/>
                <w14:textFill>
                  <w14:solidFill>
                    <w14:schemeClr w14:val="tx1"/>
                  </w14:solidFill>
                </w14:textFill>
              </w:rPr>
              <w:t>表。</w:t>
            </w:r>
          </w:p>
          <w:p w14:paraId="3575FA48">
            <w:pPr>
              <w:jc w:val="center"/>
              <w:outlineLvl w:val="3"/>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表4-2</w:t>
            </w:r>
            <w:r>
              <w:rPr>
                <w:rFonts w:hint="eastAsia"/>
                <w:b/>
                <w:bCs/>
                <w:color w:val="000000" w:themeColor="text1"/>
                <w:szCs w:val="21"/>
                <w14:textFill>
                  <w14:solidFill>
                    <w14:schemeClr w14:val="tx1"/>
                  </w14:solidFill>
                </w14:textFill>
              </w:rPr>
              <w:t>3</w:t>
            </w:r>
            <w:r>
              <w:rPr>
                <w:b/>
                <w:bCs/>
                <w:color w:val="000000" w:themeColor="text1"/>
                <w:szCs w:val="21"/>
                <w14:textFill>
                  <w14:solidFill>
                    <w14:schemeClr w14:val="tx1"/>
                  </w14:solidFill>
                </w14:textFill>
              </w:rPr>
              <w:t xml:space="preserve">   风险评价工作级别划分一览表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655"/>
              <w:gridCol w:w="1655"/>
              <w:gridCol w:w="1656"/>
              <w:gridCol w:w="1601"/>
            </w:tblGrid>
            <w:tr w14:paraId="25A0B0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5" w:type="dxa"/>
                  <w:vAlign w:val="center"/>
                </w:tcPr>
                <w:p w14:paraId="05563E1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环境风险潜势</w:t>
                  </w:r>
                </w:p>
              </w:tc>
              <w:tc>
                <w:tcPr>
                  <w:tcW w:w="1655" w:type="dxa"/>
                  <w:vAlign w:val="center"/>
                </w:tcPr>
                <w:p w14:paraId="385FF2E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fldChar w:fldCharType="begin"/>
                  </w:r>
                  <w:r>
                    <w:rPr>
                      <w:color w:val="000000" w:themeColor="text1"/>
                      <w:szCs w:val="21"/>
                      <w14:textFill>
                        <w14:solidFill>
                          <w14:schemeClr w14:val="tx1"/>
                        </w14:solidFill>
                      </w14:textFill>
                    </w:rPr>
                    <w:instrText xml:space="preserve"> = 4 \* ROMAN \* MERGEFORMAT </w:instrText>
                  </w:r>
                  <w:r>
                    <w:rPr>
                      <w:color w:val="000000" w:themeColor="text1"/>
                      <w:szCs w:val="21"/>
                      <w14:textFill>
                        <w14:solidFill>
                          <w14:schemeClr w14:val="tx1"/>
                        </w14:solidFill>
                      </w14:textFill>
                    </w:rPr>
                    <w:fldChar w:fldCharType="separate"/>
                  </w:r>
                  <w:r>
                    <w:rPr>
                      <w:color w:val="000000" w:themeColor="text1"/>
                      <w:szCs w:val="21"/>
                      <w14:textFill>
                        <w14:solidFill>
                          <w14:schemeClr w14:val="tx1"/>
                        </w14:solidFill>
                      </w14:textFill>
                    </w:rPr>
                    <w:t>IV</w:t>
                  </w:r>
                  <w:r>
                    <w:rPr>
                      <w:color w:val="000000" w:themeColor="text1"/>
                      <w:szCs w:val="21"/>
                      <w14:textFill>
                        <w14:solidFill>
                          <w14:schemeClr w14:val="tx1"/>
                        </w14:solidFill>
                      </w14:textFill>
                    </w:rPr>
                    <w:fldChar w:fldCharType="end"/>
                  </w:r>
                  <w:r>
                    <w:rPr>
                      <w:color w:val="000000" w:themeColor="text1"/>
                      <w:szCs w:val="21"/>
                      <w14:textFill>
                        <w14:solidFill>
                          <w14:schemeClr w14:val="tx1"/>
                        </w14:solidFill>
                      </w14:textFill>
                    </w:rPr>
                    <w:t>、</w:t>
                  </w:r>
                  <w:r>
                    <w:rPr>
                      <w:color w:val="000000" w:themeColor="text1"/>
                      <w:szCs w:val="21"/>
                      <w14:textFill>
                        <w14:solidFill>
                          <w14:schemeClr w14:val="tx1"/>
                        </w14:solidFill>
                      </w14:textFill>
                    </w:rPr>
                    <w:fldChar w:fldCharType="begin"/>
                  </w:r>
                  <w:r>
                    <w:rPr>
                      <w:color w:val="000000" w:themeColor="text1"/>
                      <w:szCs w:val="21"/>
                      <w14:textFill>
                        <w14:solidFill>
                          <w14:schemeClr w14:val="tx1"/>
                        </w14:solidFill>
                      </w14:textFill>
                    </w:rPr>
                    <w:instrText xml:space="preserve"> = 4 \* ROMAN \* MERGEFORMAT </w:instrText>
                  </w:r>
                  <w:r>
                    <w:rPr>
                      <w:color w:val="000000" w:themeColor="text1"/>
                      <w:szCs w:val="21"/>
                      <w14:textFill>
                        <w14:solidFill>
                          <w14:schemeClr w14:val="tx1"/>
                        </w14:solidFill>
                      </w14:textFill>
                    </w:rPr>
                    <w:fldChar w:fldCharType="separate"/>
                  </w:r>
                  <w:r>
                    <w:rPr>
                      <w:color w:val="000000" w:themeColor="text1"/>
                      <w:szCs w:val="21"/>
                      <w14:textFill>
                        <w14:solidFill>
                          <w14:schemeClr w14:val="tx1"/>
                        </w14:solidFill>
                      </w14:textFill>
                    </w:rPr>
                    <w:t>IV</w:t>
                  </w:r>
                  <w:r>
                    <w:rPr>
                      <w:color w:val="000000" w:themeColor="text1"/>
                      <w:szCs w:val="21"/>
                      <w14:textFill>
                        <w14:solidFill>
                          <w14:schemeClr w14:val="tx1"/>
                        </w14:solidFill>
                      </w14:textFill>
                    </w:rPr>
                    <w:fldChar w:fldCharType="end"/>
                  </w:r>
                  <w:r>
                    <w:rPr>
                      <w:color w:val="000000" w:themeColor="text1"/>
                      <w:szCs w:val="21"/>
                      <w14:textFill>
                        <w14:solidFill>
                          <w14:schemeClr w14:val="tx1"/>
                        </w14:solidFill>
                      </w14:textFill>
                    </w:rPr>
                    <w:t>+</w:t>
                  </w:r>
                </w:p>
              </w:tc>
              <w:tc>
                <w:tcPr>
                  <w:tcW w:w="1655" w:type="dxa"/>
                  <w:vAlign w:val="center"/>
                </w:tcPr>
                <w:p w14:paraId="38C2CD1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fldChar w:fldCharType="begin"/>
                  </w:r>
                  <w:r>
                    <w:rPr>
                      <w:color w:val="000000" w:themeColor="text1"/>
                      <w:szCs w:val="21"/>
                      <w14:textFill>
                        <w14:solidFill>
                          <w14:schemeClr w14:val="tx1"/>
                        </w14:solidFill>
                      </w14:textFill>
                    </w:rPr>
                    <w:instrText xml:space="preserve"> = 3 \* ROMAN \* MERGEFORMAT </w:instrText>
                  </w:r>
                  <w:r>
                    <w:rPr>
                      <w:color w:val="000000" w:themeColor="text1"/>
                      <w:szCs w:val="21"/>
                      <w14:textFill>
                        <w14:solidFill>
                          <w14:schemeClr w14:val="tx1"/>
                        </w14:solidFill>
                      </w14:textFill>
                    </w:rPr>
                    <w:fldChar w:fldCharType="separate"/>
                  </w:r>
                  <w:r>
                    <w:rPr>
                      <w:color w:val="000000" w:themeColor="text1"/>
                      <w:szCs w:val="21"/>
                      <w14:textFill>
                        <w14:solidFill>
                          <w14:schemeClr w14:val="tx1"/>
                        </w14:solidFill>
                      </w14:textFill>
                    </w:rPr>
                    <w:t>III</w:t>
                  </w:r>
                  <w:r>
                    <w:rPr>
                      <w:color w:val="000000" w:themeColor="text1"/>
                      <w:szCs w:val="21"/>
                      <w14:textFill>
                        <w14:solidFill>
                          <w14:schemeClr w14:val="tx1"/>
                        </w14:solidFill>
                      </w14:textFill>
                    </w:rPr>
                    <w:fldChar w:fldCharType="end"/>
                  </w:r>
                </w:p>
              </w:tc>
              <w:tc>
                <w:tcPr>
                  <w:tcW w:w="1656" w:type="dxa"/>
                  <w:vAlign w:val="center"/>
                </w:tcPr>
                <w:p w14:paraId="46CDC34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II</w:t>
                  </w:r>
                </w:p>
              </w:tc>
              <w:tc>
                <w:tcPr>
                  <w:tcW w:w="1601" w:type="dxa"/>
                  <w:vAlign w:val="center"/>
                </w:tcPr>
                <w:p w14:paraId="68B86D6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I</w:t>
                  </w:r>
                </w:p>
              </w:tc>
            </w:tr>
            <w:tr w14:paraId="213EB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5" w:type="dxa"/>
                  <w:vAlign w:val="center"/>
                </w:tcPr>
                <w:p w14:paraId="759DFFB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评价工作等级</w:t>
                  </w:r>
                </w:p>
              </w:tc>
              <w:tc>
                <w:tcPr>
                  <w:tcW w:w="1655" w:type="dxa"/>
                  <w:vAlign w:val="center"/>
                </w:tcPr>
                <w:p w14:paraId="651CD28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w:t>
                  </w:r>
                </w:p>
              </w:tc>
              <w:tc>
                <w:tcPr>
                  <w:tcW w:w="1655" w:type="dxa"/>
                  <w:vAlign w:val="center"/>
                </w:tcPr>
                <w:p w14:paraId="7E57934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二</w:t>
                  </w:r>
                </w:p>
              </w:tc>
              <w:tc>
                <w:tcPr>
                  <w:tcW w:w="1656" w:type="dxa"/>
                  <w:vAlign w:val="center"/>
                </w:tcPr>
                <w:p w14:paraId="7B3311E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三</w:t>
                  </w:r>
                </w:p>
              </w:tc>
              <w:tc>
                <w:tcPr>
                  <w:tcW w:w="1601" w:type="dxa"/>
                  <w:vAlign w:val="center"/>
                </w:tcPr>
                <w:p w14:paraId="0F2C85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简单分析</w:t>
                  </w:r>
                  <w:r>
                    <w:rPr>
                      <w:color w:val="000000" w:themeColor="text1"/>
                      <w:szCs w:val="21"/>
                      <w:vertAlign w:val="superscript"/>
                      <w14:textFill>
                        <w14:solidFill>
                          <w14:schemeClr w14:val="tx1"/>
                        </w14:solidFill>
                      </w14:textFill>
                    </w:rPr>
                    <w:t>a</w:t>
                  </w:r>
                </w:p>
              </w:tc>
            </w:tr>
            <w:tr w14:paraId="2338BA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22" w:type="dxa"/>
                  <w:gridSpan w:val="5"/>
                  <w:vAlign w:val="center"/>
                </w:tcPr>
                <w:p w14:paraId="044D8532">
                  <w:pPr>
                    <w:rPr>
                      <w:color w:val="000000" w:themeColor="text1"/>
                      <w:szCs w:val="21"/>
                      <w14:textFill>
                        <w14:solidFill>
                          <w14:schemeClr w14:val="tx1"/>
                        </w14:solidFill>
                      </w14:textFill>
                    </w:rPr>
                  </w:pPr>
                  <w:r>
                    <w:rPr>
                      <w:color w:val="000000" w:themeColor="text1"/>
                      <w:szCs w:val="21"/>
                      <w14:textFill>
                        <w14:solidFill>
                          <w14:schemeClr w14:val="tx1"/>
                        </w14:solidFill>
                      </w14:textFill>
                    </w:rPr>
                    <w:t>a：是相对于详细评价工作内容而言，在描述危险物质、环境影响途径、环境危害后果、风险防范措施等方面给出定性的说明</w:t>
                  </w:r>
                </w:p>
              </w:tc>
            </w:tr>
          </w:tbl>
          <w:p w14:paraId="1DD1686A">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7.2风险识别</w:t>
            </w:r>
          </w:p>
          <w:p w14:paraId="56ECCEBD">
            <w:pPr>
              <w:spacing w:line="360" w:lineRule="auto"/>
              <w:ind w:firstLine="480" w:firstLineChars="200"/>
              <w:rPr>
                <w:b/>
                <w:bCs/>
                <w:color w:val="000000" w:themeColor="text1"/>
                <w:sz w:val="24"/>
                <w14:textFill>
                  <w14:solidFill>
                    <w14:schemeClr w14:val="tx1"/>
                  </w14:solidFill>
                </w14:textFill>
              </w:rPr>
            </w:pPr>
            <w:r>
              <w:rPr>
                <w:color w:val="000000" w:themeColor="text1"/>
                <w:kern w:val="0"/>
                <w:sz w:val="24"/>
                <w:szCs w:val="21"/>
                <w14:textFill>
                  <w14:solidFill>
                    <w14:schemeClr w14:val="tx1"/>
                  </w14:solidFill>
                </w14:textFill>
              </w:rPr>
              <w:t>本项目可能发生的风险事故类型为：①燃料库房中的成型生物质颗粒看管不当接触明火，从而引发的火灾事故；②废机油看管不当接触明火，从而引发的火灾事故</w:t>
            </w:r>
            <w:r>
              <w:rPr>
                <w:color w:val="000000" w:themeColor="text1"/>
                <w:sz w:val="24"/>
                <w14:textFill>
                  <w14:solidFill>
                    <w14:schemeClr w14:val="tx1"/>
                  </w14:solidFill>
                </w14:textFill>
              </w:rPr>
              <w:t>。</w:t>
            </w:r>
          </w:p>
          <w:p w14:paraId="751B7135">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7.3可能影响的途径</w:t>
            </w:r>
          </w:p>
          <w:p w14:paraId="72B4250A">
            <w:pPr>
              <w:adjustRightInd w:val="0"/>
              <w:snapToGrid w:val="0"/>
              <w:spacing w:line="360" w:lineRule="auto"/>
              <w:ind w:firstLine="480" w:firstLineChars="200"/>
              <w:rPr>
                <w:color w:val="000000" w:themeColor="text1"/>
                <w:sz w:val="24"/>
                <w:lang w:eastAsia="ja-JP"/>
                <w14:textFill>
                  <w14:solidFill>
                    <w14:schemeClr w14:val="tx1"/>
                  </w14:solidFill>
                </w14:textFill>
              </w:rPr>
            </w:pPr>
            <w:r>
              <w:rPr>
                <w:color w:val="000000" w:themeColor="text1"/>
                <w:sz w:val="24"/>
                <w:lang w:val="zh-CN" w:eastAsia="ja-JP"/>
                <w14:textFill>
                  <w14:solidFill>
                    <w14:schemeClr w14:val="tx1"/>
                  </w14:solidFill>
                </w14:textFill>
              </w:rPr>
              <w:t>本项目</w:t>
            </w:r>
            <w:r>
              <w:rPr>
                <w:color w:val="000000" w:themeColor="text1"/>
                <w:sz w:val="24"/>
                <w:lang w:eastAsia="ja-JP"/>
                <w14:textFill>
                  <w14:solidFill>
                    <w14:schemeClr w14:val="tx1"/>
                  </w14:solidFill>
                </w14:textFill>
              </w:rPr>
              <w:t>风险物质为废</w:t>
            </w:r>
            <w:r>
              <w:rPr>
                <w:color w:val="000000" w:themeColor="text1"/>
                <w:sz w:val="24"/>
                <w:lang w:val="zh-CN" w:eastAsia="ja-JP"/>
                <w14:textFill>
                  <w14:solidFill>
                    <w14:schemeClr w14:val="tx1"/>
                  </w14:solidFill>
                </w14:textFill>
              </w:rPr>
              <w:t>机油。事故状态下主要影响环境途径为</w:t>
            </w:r>
            <w:r>
              <w:rPr>
                <w:color w:val="000000" w:themeColor="text1"/>
                <w:sz w:val="24"/>
                <w:lang w:eastAsia="ja-JP"/>
                <w14:textFill>
                  <w14:solidFill>
                    <w14:schemeClr w14:val="tx1"/>
                  </w14:solidFill>
                </w14:textFill>
              </w:rPr>
              <w:t>废机油包</w:t>
            </w:r>
            <w:r>
              <w:rPr>
                <w:color w:val="000000" w:themeColor="text1"/>
                <w:sz w:val="24"/>
                <w:lang w:val="zh-CN" w:eastAsia="ja-JP"/>
                <w14:textFill>
                  <w14:solidFill>
                    <w14:schemeClr w14:val="tx1"/>
                  </w14:solidFill>
                </w14:textFill>
              </w:rPr>
              <w:t>装桶</w:t>
            </w:r>
            <w:r>
              <w:rPr>
                <w:color w:val="000000" w:themeColor="text1"/>
                <w:sz w:val="24"/>
                <w:lang w:eastAsia="ja-JP"/>
                <w14:textFill>
                  <w14:solidFill>
                    <w14:schemeClr w14:val="tx1"/>
                  </w14:solidFill>
                </w14:textFill>
              </w:rPr>
              <w:t>倾翻或</w:t>
            </w:r>
            <w:r>
              <w:rPr>
                <w:color w:val="000000" w:themeColor="text1"/>
                <w:sz w:val="24"/>
                <w:lang w:val="zh-CN" w:eastAsia="ja-JP"/>
                <w14:textFill>
                  <w14:solidFill>
                    <w14:schemeClr w14:val="tx1"/>
                  </w14:solidFill>
                </w14:textFill>
              </w:rPr>
              <w:t>破裂，使有毒有害物质机油泄漏，</w:t>
            </w:r>
            <w:r>
              <w:rPr>
                <w:color w:val="000000" w:themeColor="text1"/>
                <w:sz w:val="24"/>
                <w:lang w:eastAsia="ja-JP"/>
                <w14:textFill>
                  <w14:solidFill>
                    <w14:schemeClr w14:val="tx1"/>
                  </w14:solidFill>
                </w14:textFill>
              </w:rPr>
              <w:t>泄漏的有毒有害物质有可能造成周边空气环境、地表水环境、地下水环境污染</w:t>
            </w:r>
            <w:r>
              <w:rPr>
                <w:color w:val="000000" w:themeColor="text1"/>
                <w:sz w:val="24"/>
                <w:lang w:val="zh-CN" w:eastAsia="ja-JP"/>
                <w14:textFill>
                  <w14:solidFill>
                    <w14:schemeClr w14:val="tx1"/>
                  </w14:solidFill>
                </w14:textFill>
              </w:rPr>
              <w:t>。而根据油类物质具有燃烧性，因此伴生/次生污染主要为可燃物泄漏引发火灾、爆炸事故，产生的CO、CO</w:t>
            </w:r>
            <w:r>
              <w:rPr>
                <w:color w:val="000000" w:themeColor="text1"/>
                <w:sz w:val="24"/>
                <w:vertAlign w:val="subscript"/>
                <w:lang w:val="zh-CN" w:eastAsia="ja-JP"/>
                <w14:textFill>
                  <w14:solidFill>
                    <w14:schemeClr w14:val="tx1"/>
                  </w14:solidFill>
                </w14:textFill>
              </w:rPr>
              <w:t>2</w:t>
            </w:r>
            <w:r>
              <w:rPr>
                <w:color w:val="000000" w:themeColor="text1"/>
                <w:sz w:val="24"/>
                <w:lang w:val="zh-CN" w:eastAsia="ja-JP"/>
                <w14:textFill>
                  <w14:solidFill>
                    <w14:schemeClr w14:val="tx1"/>
                  </w14:solidFill>
                </w14:textFill>
              </w:rPr>
              <w:t>、烟尘等有毒有害烟气对周围环境的影响。此外，扑救火灾时产生的消防废水、伴随泄漏物料以及污染雨水沿地面漫流，可能会对地表水、地下水产生污染。</w:t>
            </w:r>
          </w:p>
          <w:p w14:paraId="6B3EB7C9">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7.4环境风险防范措施</w:t>
            </w:r>
          </w:p>
          <w:p w14:paraId="5BBEB324">
            <w:pPr>
              <w:pStyle w:val="85"/>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本项目风险防范具体措施如下：</w:t>
            </w:r>
          </w:p>
          <w:p w14:paraId="245FF128">
            <w:pPr>
              <w:snapToGrid w:val="0"/>
              <w:spacing w:line="360" w:lineRule="auto"/>
              <w:ind w:firstLine="561"/>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①根据生产计划，合理采购和储存生物质燃料，尽量减少厂内储存量。</w:t>
            </w:r>
          </w:p>
          <w:p w14:paraId="2CE2906D">
            <w:pPr>
              <w:snapToGrid w:val="0"/>
              <w:spacing w:line="360" w:lineRule="auto"/>
              <w:ind w:firstLine="561"/>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②仓库内应保持低温和通风，严禁明火，定期巡视仓库。</w:t>
            </w:r>
          </w:p>
          <w:p w14:paraId="4BB5BE39">
            <w:pPr>
              <w:snapToGrid w:val="0"/>
              <w:spacing w:line="360" w:lineRule="auto"/>
              <w:ind w:firstLine="480" w:firstLineChars="200"/>
              <w:textAlignment w:val="baseline"/>
              <w:rPr>
                <w:rStyle w:val="64"/>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③加强消防安全管理，设置防火安全设备。</w:t>
            </w:r>
          </w:p>
          <w:p w14:paraId="7A499EF1">
            <w:pPr>
              <w:pStyle w:val="104"/>
              <w:rPr>
                <w:rStyle w:val="64"/>
                <w:color w:val="000000" w:themeColor="text1"/>
                <w:kern w:val="2"/>
                <w:szCs w:val="24"/>
                <w14:textFill>
                  <w14:solidFill>
                    <w14:schemeClr w14:val="tx1"/>
                  </w14:solidFill>
                </w14:textFill>
              </w:rPr>
            </w:pPr>
            <w:r>
              <w:rPr>
                <w:rStyle w:val="64"/>
                <w:color w:val="000000" w:themeColor="text1"/>
                <w:kern w:val="2"/>
                <w:szCs w:val="24"/>
                <w14:textFill>
                  <w14:solidFill>
                    <w14:schemeClr w14:val="tx1"/>
                  </w14:solidFill>
                </w14:textFill>
              </w:rPr>
              <w:t>④制定灭火及应急疏散方案，制定岗位防火责任制及安全操作规程，定期检查执行情况。</w:t>
            </w:r>
          </w:p>
          <w:p w14:paraId="18822566">
            <w:pPr>
              <w:pStyle w:val="104"/>
              <w:rPr>
                <w:color w:val="000000" w:themeColor="text1"/>
                <w:lang w:eastAsia="ja-JP"/>
                <w14:textFill>
                  <w14:solidFill>
                    <w14:schemeClr w14:val="tx1"/>
                  </w14:solidFill>
                </w14:textFill>
              </w:rPr>
            </w:pPr>
            <w:r>
              <w:rPr>
                <w:color w:val="000000" w:themeColor="text1"/>
                <w:lang w:eastAsia="ja-JP"/>
                <w14:textFill>
                  <w14:solidFill>
                    <w14:schemeClr w14:val="tx1"/>
                  </w14:solidFill>
                </w14:textFill>
              </w:rPr>
              <w:t>⑤</w:t>
            </w:r>
            <w:r>
              <w:rPr>
                <w:color w:val="000000" w:themeColor="text1"/>
                <w:szCs w:val="24"/>
                <w14:textFill>
                  <w14:solidFill>
                    <w14:schemeClr w14:val="tx1"/>
                  </w14:solidFill>
                </w14:textFill>
              </w:rPr>
              <w:t>项目废机油等保管应做到防火防爆、通风、降温、挡光照、避风雨、自控报警。储存管理应符合《危险化学品安全管理条例》、《仓库防火安全管理规则》等规范要求。</w:t>
            </w:r>
          </w:p>
          <w:p w14:paraId="099C6FB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eastAsia="ja-JP"/>
                <w14:textFill>
                  <w14:solidFill>
                    <w14:schemeClr w14:val="tx1"/>
                  </w14:solidFill>
                </w14:textFill>
              </w:rPr>
              <w:t>⑥</w:t>
            </w:r>
            <w:r>
              <w:rPr>
                <w:color w:val="000000" w:themeColor="text1"/>
                <w:sz w:val="24"/>
                <w14:textFill>
                  <w14:solidFill>
                    <w14:schemeClr w14:val="tx1"/>
                  </w14:solidFill>
                </w14:textFill>
              </w:rPr>
              <w:t>废机油存放处设置围堰，并设有泄漏液体收集装置，危废贮存点采取重点防渗。</w:t>
            </w:r>
          </w:p>
          <w:p w14:paraId="7C39AD4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eastAsia="ja-JP"/>
                <w14:textFill>
                  <w14:solidFill>
                    <w14:schemeClr w14:val="tx1"/>
                  </w14:solidFill>
                </w14:textFill>
              </w:rPr>
              <w:t>⑦设置火灾报警系统，该系统由火灾报警控制器、火灾探测器、手动报警按钮等组成，以利于自动预警和及时组织灭火扑救</w:t>
            </w:r>
            <w:r>
              <w:rPr>
                <w:color w:val="000000" w:themeColor="text1"/>
                <w:sz w:val="24"/>
                <w14:textFill>
                  <w14:solidFill>
                    <w14:schemeClr w14:val="tx1"/>
                  </w14:solidFill>
                </w14:textFill>
              </w:rPr>
              <w:t>；</w:t>
            </w:r>
          </w:p>
          <w:p w14:paraId="184F2B0D">
            <w:pPr>
              <w:adjustRightInd w:val="0"/>
              <w:snapToGrid w:val="0"/>
              <w:spacing w:line="360" w:lineRule="auto"/>
              <w:ind w:firstLine="480" w:firstLineChars="200"/>
              <w:rPr>
                <w:color w:val="000000" w:themeColor="text1"/>
                <w:sz w:val="24"/>
                <w:lang w:eastAsia="ja-JP"/>
                <w14:textFill>
                  <w14:solidFill>
                    <w14:schemeClr w14:val="tx1"/>
                  </w14:solidFill>
                </w14:textFill>
              </w:rPr>
            </w:pPr>
            <w:r>
              <w:rPr>
                <w:color w:val="000000" w:themeColor="text1"/>
                <w:sz w:val="24"/>
                <w:lang w:eastAsia="ja-JP"/>
                <w14:textFill>
                  <w14:solidFill>
                    <w14:schemeClr w14:val="tx1"/>
                  </w14:solidFill>
                </w14:textFill>
              </w:rPr>
              <w:t>⑧</w:t>
            </w:r>
            <w:r>
              <w:rPr>
                <w:color w:val="000000" w:themeColor="text1"/>
                <w:sz w:val="24"/>
                <w14:textFill>
                  <w14:solidFill>
                    <w14:schemeClr w14:val="tx1"/>
                  </w14:solidFill>
                </w14:textFill>
              </w:rPr>
              <w:t>锅炉房内配备灭火器，在火灾初期迅速控制火势</w:t>
            </w:r>
            <w:r>
              <w:rPr>
                <w:color w:val="000000" w:themeColor="text1"/>
                <w:sz w:val="24"/>
                <w:lang w:eastAsia="ja-JP"/>
                <w14:textFill>
                  <w14:solidFill>
                    <w14:schemeClr w14:val="tx1"/>
                  </w14:solidFill>
                </w14:textFill>
              </w:rPr>
              <w:t>。</w:t>
            </w:r>
          </w:p>
          <w:p w14:paraId="2F7F2871">
            <w:pPr>
              <w:spacing w:line="360" w:lineRule="auto"/>
              <w:ind w:firstLine="480" w:firstLineChars="200"/>
              <w:rPr>
                <w:color w:val="000000" w:themeColor="text1"/>
                <w:sz w:val="24"/>
                <w14:textFill>
                  <w14:solidFill>
                    <w14:schemeClr w14:val="tx1"/>
                  </w14:solidFill>
                </w14:textFill>
              </w:rPr>
            </w:pPr>
            <w:r>
              <w:rPr>
                <w:color w:val="000000" w:themeColor="text1"/>
                <w:sz w:val="24"/>
                <w:lang w:eastAsia="ja-JP"/>
                <w14:textFill>
                  <w14:solidFill>
                    <w14:schemeClr w14:val="tx1"/>
                  </w14:solidFill>
                </w14:textFill>
              </w:rPr>
              <w:t>⑨</w:t>
            </w:r>
            <w:r>
              <w:rPr>
                <w:color w:val="000000" w:themeColor="text1"/>
                <w:sz w:val="24"/>
                <w14:textFill>
                  <w14:solidFill>
                    <w14:schemeClr w14:val="tx1"/>
                  </w14:solidFill>
                </w14:textFill>
              </w:rPr>
              <w:t>企业每年至少组织一次应急演练，对演练过程中出现的为题仔细分析原因，明确责任人。</w:t>
            </w:r>
          </w:p>
          <w:p w14:paraId="141F5650">
            <w:pPr>
              <w:snapToGrid w:val="0"/>
              <w:spacing w:line="360" w:lineRule="auto"/>
              <w:textAlignment w:val="baseline"/>
              <w:rPr>
                <w:rStyle w:val="64"/>
                <w:b/>
                <w:bCs/>
                <w:color w:val="000000" w:themeColor="text1"/>
                <w:sz w:val="24"/>
                <w14:textFill>
                  <w14:solidFill>
                    <w14:schemeClr w14:val="tx1"/>
                  </w14:solidFill>
                </w14:textFill>
              </w:rPr>
            </w:pPr>
            <w:r>
              <w:rPr>
                <w:rStyle w:val="64"/>
                <w:b/>
                <w:bCs/>
                <w:color w:val="000000" w:themeColor="text1"/>
                <w:sz w:val="24"/>
                <w14:textFill>
                  <w14:solidFill>
                    <w14:schemeClr w14:val="tx1"/>
                  </w14:solidFill>
                </w14:textFill>
              </w:rPr>
              <w:t>7.5突发事故产生的环境影响及应急处理措施</w:t>
            </w:r>
          </w:p>
          <w:p w14:paraId="7C1483B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根据本项目特征及所在地的环境特点，本评价将对上述事故引发的影响进行分析评价。</w:t>
            </w:r>
          </w:p>
          <w:p w14:paraId="2B2769B3">
            <w:pPr>
              <w:pStyle w:val="21"/>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本项目突发事故为生物质燃料发生火灾产生有毒气体</w:t>
            </w:r>
            <w:r>
              <w:rPr>
                <w:color w:val="000000" w:themeColor="text1"/>
                <w:kern w:val="44"/>
                <w:sz w:val="24"/>
                <w14:textFill>
                  <w14:solidFill>
                    <w14:schemeClr w14:val="tx1"/>
                  </w14:solidFill>
                </w14:textFill>
              </w:rPr>
              <w:t>，当事人或目击者通过应急电话，立即通知应急指挥部，或直接联络当地环保部门、公安部门、消防部门及其它有应急事故处理能力的当地部门，及时采取应急行动，确保在最短时间内将事故控制。</w:t>
            </w:r>
          </w:p>
          <w:p w14:paraId="4664518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项目产生火灾事故时，在不利风向时，周围是企业及员工及村庄等均会受到不同程度的影响。应急处理措施如下：</w:t>
            </w:r>
          </w:p>
          <w:p w14:paraId="2E8D8FE5">
            <w:pPr>
              <w:spacing w:line="360" w:lineRule="auto"/>
              <w:ind w:firstLine="480" w:firstLineChars="200"/>
              <w:rPr>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①</w:t>
            </w:r>
            <w:r>
              <w:rPr>
                <w:color w:val="000000" w:themeColor="text1"/>
                <w:sz w:val="24"/>
                <w14:textFill>
                  <w14:solidFill>
                    <w14:schemeClr w14:val="tx1"/>
                  </w14:solidFill>
                </w14:textFill>
              </w:rPr>
              <w:t>发生火灾时，应及时采取相应的灭火措施并疏散厂内员工，及时疏散周围的居民。</w:t>
            </w:r>
          </w:p>
          <w:p w14:paraId="693A00C5">
            <w:pPr>
              <w:spacing w:line="360" w:lineRule="auto"/>
              <w:ind w:firstLine="480" w:firstLineChars="200"/>
              <w:rPr>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②</w:t>
            </w:r>
            <w:r>
              <w:rPr>
                <w:color w:val="000000" w:themeColor="text1"/>
                <w:sz w:val="24"/>
                <w14:textFill>
                  <w14:solidFill>
                    <w14:schemeClr w14:val="tx1"/>
                  </w14:solidFill>
                </w14:textFill>
              </w:rPr>
              <w:t>事故发生时，救援人员必须佩戴理性的防毒过滤面具，同时穿好工作服，迅速判明事故当时的风向，可利用风标、旗帜等辨明风向，向上风向撤离，尽可能向侧、逆风向转移。</w:t>
            </w:r>
          </w:p>
          <w:p w14:paraId="3FDA8B7D">
            <w:pPr>
              <w:spacing w:line="360" w:lineRule="auto"/>
              <w:ind w:firstLine="480" w:firstLineChars="200"/>
              <w:rPr>
                <w:color w:val="000000" w:themeColor="text1"/>
                <w:sz w:val="24"/>
                <w14:textFill>
                  <w14:solidFill>
                    <w14:schemeClr w14:val="tx1"/>
                  </w14:solidFill>
                </w14:textFill>
              </w:rPr>
            </w:pPr>
            <w:r>
              <w:rPr>
                <w:rStyle w:val="64"/>
                <w:color w:val="000000" w:themeColor="text1"/>
                <w:sz w:val="24"/>
                <w14:textFill>
                  <w14:solidFill>
                    <w14:schemeClr w14:val="tx1"/>
                  </w14:solidFill>
                </w14:textFill>
              </w:rPr>
              <w:t>③</w:t>
            </w:r>
            <w:r>
              <w:rPr>
                <w:color w:val="000000" w:themeColor="text1"/>
                <w:sz w:val="24"/>
                <w14:textFill>
                  <w14:solidFill>
                    <w14:schemeClr w14:val="tx1"/>
                  </w14:solidFill>
                </w14:textFill>
              </w:rPr>
              <w:t>在事故发生位置四周用装满沙土的袋子围成围堰拦截消防废液，并在厂内采取导流方式将消防废液、泡沫等统一收集，集中处理，消除隐患后交由有资质单位处理。</w:t>
            </w:r>
          </w:p>
          <w:p w14:paraId="6BA5D115">
            <w:pPr>
              <w:spacing w:line="360" w:lineRule="auto"/>
              <w:ind w:firstLine="420" w:firstLineChars="200"/>
              <w:rPr>
                <w:color w:val="000000" w:themeColor="text1"/>
                <w:sz w:val="24"/>
                <w14:textFill>
                  <w14:solidFill>
                    <w14:schemeClr w14:val="tx1"/>
                  </w14:solidFill>
                </w14:textFill>
              </w:rPr>
            </w:pPr>
            <w:r>
              <w:rPr>
                <w:rStyle w:val="64"/>
                <w:color w:val="000000" w:themeColor="text1"/>
                <w14:textFill>
                  <w14:solidFill>
                    <w14:schemeClr w14:val="tx1"/>
                  </w14:solidFill>
                </w14:textFill>
              </w:rPr>
              <w:t>④</w:t>
            </w:r>
            <w:r>
              <w:rPr>
                <w:color w:val="000000" w:themeColor="text1"/>
                <w:sz w:val="24"/>
                <w14:textFill>
                  <w14:solidFill>
                    <w14:schemeClr w14:val="tx1"/>
                  </w14:solidFill>
                </w14:textFill>
              </w:rPr>
              <w:t>确认最近敏感点的位置，在迅速采取应急措施的情况下，敏感点区域的人员需在一定的时间内进行撤离和防护。</w:t>
            </w:r>
          </w:p>
          <w:p w14:paraId="20CDA623">
            <w:pPr>
              <w:spacing w:line="360" w:lineRule="auto"/>
              <w:ind w:firstLine="480" w:firstLineChars="200"/>
              <w:rPr>
                <w:color w:val="000000" w:themeColor="text1"/>
                <w:sz w:val="24"/>
                <w14:textFill>
                  <w14:solidFill>
                    <w14:schemeClr w14:val="tx1"/>
                  </w14:solidFill>
                </w14:textFill>
              </w:rPr>
            </w:pPr>
            <w:r>
              <w:rPr>
                <w:color w:val="000000" w:themeColor="text1"/>
                <w:sz w:val="24"/>
                <w:lang w:eastAsia="ja-JP"/>
                <w14:textFill>
                  <w14:solidFill>
                    <w14:schemeClr w14:val="tx1"/>
                  </w14:solidFill>
                </w14:textFill>
              </w:rPr>
              <w:t>⑤</w:t>
            </w:r>
            <w:r>
              <w:rPr>
                <w:color w:val="000000" w:themeColor="text1"/>
                <w:sz w:val="24"/>
                <w14:textFill>
                  <w14:solidFill>
                    <w14:schemeClr w14:val="tx1"/>
                  </w14:solidFill>
                </w14:textFill>
              </w:rPr>
              <w:t>事故发生后，相关部门要制定污染监测计划，对可能污染进行监测，根据现场监测结果，确定被转移、疏散群众返回时间，直至无异常方可停止监测工作。</w:t>
            </w:r>
          </w:p>
          <w:p w14:paraId="4AE9408C">
            <w:pPr>
              <w:pStyle w:val="104"/>
              <w:rPr>
                <w:color w:val="000000" w:themeColor="text1"/>
                <w14:textFill>
                  <w14:solidFill>
                    <w14:schemeClr w14:val="tx1"/>
                  </w14:solidFill>
                </w14:textFill>
              </w:rPr>
            </w:pPr>
            <w:r>
              <w:rPr>
                <w:color w:val="000000" w:themeColor="text1"/>
                <w:lang w:eastAsia="ja-JP"/>
                <w14:textFill>
                  <w14:solidFill>
                    <w14:schemeClr w14:val="tx1"/>
                  </w14:solidFill>
                </w14:textFill>
              </w:rPr>
              <w:t>⑥</w:t>
            </w:r>
            <w:r>
              <w:rPr>
                <w:color w:val="000000" w:themeColor="text1"/>
                <w:lang w:val="zh-CN"/>
                <w14:textFill>
                  <w14:solidFill>
                    <w14:schemeClr w14:val="tx1"/>
                  </w14:solidFill>
                </w14:textFill>
              </w:rPr>
              <w:t>危险废物防范措施：项目产生的危险废物为</w:t>
            </w:r>
            <w:r>
              <w:rPr>
                <w:color w:val="000000" w:themeColor="text1"/>
                <w14:textFill>
                  <w14:solidFill>
                    <w14:schemeClr w14:val="tx1"/>
                  </w14:solidFill>
                </w14:textFill>
              </w:rPr>
              <w:t>废机油</w:t>
            </w:r>
            <w:r>
              <w:rPr>
                <w:color w:val="000000" w:themeColor="text1"/>
                <w:lang w:val="zh-CN"/>
                <w14:textFill>
                  <w14:solidFill>
                    <w14:schemeClr w14:val="tx1"/>
                  </w14:solidFill>
                </w14:textFill>
              </w:rPr>
              <w:t>，收集后暂存，并定期交由有资质单位进行集中处置，根据《危险废物贮存污染控制标准》（GB18597-20</w:t>
            </w:r>
            <w:r>
              <w:rPr>
                <w:color w:val="000000" w:themeColor="text1"/>
                <w14:textFill>
                  <w14:solidFill>
                    <w14:schemeClr w14:val="tx1"/>
                  </w14:solidFill>
                </w14:textFill>
              </w:rPr>
              <w:t>23</w:t>
            </w:r>
            <w:r>
              <w:rPr>
                <w:color w:val="000000" w:themeColor="text1"/>
                <w:lang w:val="zh-CN"/>
                <w14:textFill>
                  <w14:solidFill>
                    <w14:schemeClr w14:val="tx1"/>
                  </w14:solidFill>
                </w14:textFill>
              </w:rPr>
              <w:t>），</w:t>
            </w:r>
            <w:r>
              <w:rPr>
                <w:color w:val="000000" w:themeColor="text1"/>
                <w14:textFill>
                  <w14:solidFill>
                    <w14:schemeClr w14:val="tx1"/>
                  </w14:solidFill>
                </w14:textFill>
              </w:rPr>
              <w:t>危废贮存点</w:t>
            </w:r>
            <w:r>
              <w:rPr>
                <w:color w:val="000000" w:themeColor="text1"/>
                <w:lang w:val="zh-CN"/>
                <w14:textFill>
                  <w14:solidFill>
                    <w14:schemeClr w14:val="tx1"/>
                  </w14:solidFill>
                </w14:textFill>
              </w:rPr>
              <w:t>地面为耐腐蚀、防渗的硬化地面，间内设有安全照明设施，其设计应满足《危险废物贮存污染控制标准》（GB18597-20</w:t>
            </w:r>
            <w:r>
              <w:rPr>
                <w:color w:val="000000" w:themeColor="text1"/>
                <w14:textFill>
                  <w14:solidFill>
                    <w14:schemeClr w14:val="tx1"/>
                  </w14:solidFill>
                </w14:textFill>
              </w:rPr>
              <w:t>23</w:t>
            </w:r>
            <w:r>
              <w:rPr>
                <w:color w:val="000000" w:themeColor="text1"/>
                <w:lang w:val="zh-CN"/>
                <w14:textFill>
                  <w14:solidFill>
                    <w14:schemeClr w14:val="tx1"/>
                  </w14:solidFill>
                </w14:textFill>
              </w:rPr>
              <w:t>）中危险废物贮存设施（仓库式）的设计原则：地面要用坚固防渗材料建造和设施内要有安全照明和观察窗口的要求。</w:t>
            </w:r>
            <w:r>
              <w:rPr>
                <w:color w:val="000000" w:themeColor="text1"/>
                <w14:textFill>
                  <w14:solidFill>
                    <w14:schemeClr w14:val="tx1"/>
                  </w14:solidFill>
                </w14:textFill>
              </w:rPr>
              <w:t>危废贮存点</w:t>
            </w:r>
            <w:r>
              <w:rPr>
                <w:color w:val="000000" w:themeColor="text1"/>
                <w:lang w:val="zh-CN"/>
                <w14:textFill>
                  <w14:solidFill>
                    <w14:schemeClr w14:val="tx1"/>
                  </w14:solidFill>
                </w14:textFill>
              </w:rPr>
              <w:t>应设置于距周边企业及居民较远位置。</w:t>
            </w:r>
          </w:p>
          <w:p w14:paraId="1BD167A0">
            <w:pPr>
              <w:pStyle w:val="104"/>
              <w:rPr>
                <w:color w:val="000000" w:themeColor="text1"/>
                <w:lang w:val="zh-CN"/>
                <w14:textFill>
                  <w14:solidFill>
                    <w14:schemeClr w14:val="tx1"/>
                  </w14:solidFill>
                </w14:textFill>
              </w:rPr>
            </w:pPr>
            <w:r>
              <w:rPr>
                <w:color w:val="000000" w:themeColor="text1"/>
                <w:lang w:eastAsia="ja-JP"/>
                <w14:textFill>
                  <w14:solidFill>
                    <w14:schemeClr w14:val="tx1"/>
                  </w14:solidFill>
                </w14:textFill>
              </w:rPr>
              <w:t>⑦</w:t>
            </w:r>
            <w:r>
              <w:rPr>
                <w:color w:val="000000" w:themeColor="text1"/>
                <w:lang w:val="zh-CN"/>
                <w14:textFill>
                  <w14:solidFill>
                    <w14:schemeClr w14:val="tx1"/>
                  </w14:solidFill>
                </w14:textFill>
              </w:rPr>
              <w:t>储存过程中的风险防范措施：</w:t>
            </w:r>
          </w:p>
          <w:p w14:paraId="1734A93E">
            <w:pPr>
              <w:pStyle w:val="104"/>
              <w:rPr>
                <w:color w:val="000000" w:themeColor="text1"/>
                <w:lang w:val="zh-CN"/>
                <w14:textFill>
                  <w14:solidFill>
                    <w14:schemeClr w14:val="tx1"/>
                  </w14:solidFill>
                </w14:textFill>
              </w:rPr>
            </w:pPr>
            <w:r>
              <w:rPr>
                <w:color w:val="000000" w:themeColor="text1"/>
                <w14:textFill>
                  <w14:solidFill>
                    <w14:schemeClr w14:val="tx1"/>
                  </w14:solidFill>
                </w14:textFill>
              </w:rPr>
              <w:t>A、</w:t>
            </w:r>
            <w:r>
              <w:rPr>
                <w:color w:val="000000" w:themeColor="text1"/>
                <w:lang w:val="zh-CN"/>
                <w14:textFill>
                  <w14:solidFill>
                    <w14:schemeClr w14:val="tx1"/>
                  </w14:solidFill>
                </w14:textFill>
              </w:rPr>
              <w:t>不同性质的物质储存区间应严格区分，隔开贮存，不得混存或久存。易燃物品应分别专库储藏。并按各类物质的要求配置相应的消防器材、降温设施、防护用品等。</w:t>
            </w:r>
          </w:p>
          <w:p w14:paraId="4C1C024C">
            <w:pPr>
              <w:pStyle w:val="104"/>
              <w:rPr>
                <w:color w:val="000000" w:themeColor="text1"/>
                <w:lang w:val="zh-CN"/>
                <w14:textFill>
                  <w14:solidFill>
                    <w14:schemeClr w14:val="tx1"/>
                  </w14:solidFill>
                </w14:textFill>
              </w:rPr>
            </w:pPr>
            <w:r>
              <w:rPr>
                <w:color w:val="000000" w:themeColor="text1"/>
                <w14:textFill>
                  <w14:solidFill>
                    <w14:schemeClr w14:val="tx1"/>
                  </w14:solidFill>
                </w14:textFill>
              </w:rPr>
              <w:t>B、</w:t>
            </w:r>
            <w:r>
              <w:rPr>
                <w:color w:val="000000" w:themeColor="text1"/>
                <w:lang w:val="zh-CN"/>
                <w14:textFill>
                  <w14:solidFill>
                    <w14:schemeClr w14:val="tx1"/>
                  </w14:solidFill>
                </w14:textFill>
              </w:rPr>
              <w:t>本项目</w:t>
            </w:r>
            <w:r>
              <w:rPr>
                <w:color w:val="000000" w:themeColor="text1"/>
                <w14:textFill>
                  <w14:solidFill>
                    <w14:schemeClr w14:val="tx1"/>
                  </w14:solidFill>
                </w14:textFill>
              </w:rPr>
              <w:t>废机油为桶装</w:t>
            </w:r>
            <w:r>
              <w:rPr>
                <w:color w:val="000000" w:themeColor="text1"/>
                <w:lang w:val="zh-CN"/>
                <w14:textFill>
                  <w14:solidFill>
                    <w14:schemeClr w14:val="tx1"/>
                  </w14:solidFill>
                </w14:textFill>
              </w:rPr>
              <w:t>，出现大面积泄漏情况的概率非常小，此外，储存区应采用防渗钢筋混凝土整体浇筑，并应符合现行国家标准《地下工程防水技术规范》（GB 50108）的有关规定。通过采取上述措施后，在事故情况下危险物质泄漏不会影响土壤、地下水。</w:t>
            </w:r>
          </w:p>
          <w:p w14:paraId="4AEFA6A1">
            <w:pPr>
              <w:pStyle w:val="104"/>
              <w:rPr>
                <w:color w:val="000000" w:themeColor="text1"/>
                <w:lang w:val="zh-CN"/>
                <w14:textFill>
                  <w14:solidFill>
                    <w14:schemeClr w14:val="tx1"/>
                  </w14:solidFill>
                </w14:textFill>
              </w:rPr>
            </w:pPr>
            <w:r>
              <w:rPr>
                <w:color w:val="000000" w:themeColor="text1"/>
                <w14:textFill>
                  <w14:solidFill>
                    <w14:schemeClr w14:val="tx1"/>
                  </w14:solidFill>
                </w14:textFill>
              </w:rPr>
              <w:t>C、</w:t>
            </w:r>
            <w:r>
              <w:rPr>
                <w:color w:val="000000" w:themeColor="text1"/>
                <w:lang w:val="zh-CN"/>
                <w14:textFill>
                  <w14:solidFill>
                    <w14:schemeClr w14:val="tx1"/>
                  </w14:solidFill>
                </w14:textFill>
              </w:rPr>
              <w:t>应按养护技术条件和操作规程的要求，严格进行各类物质装卸及储存的管理，文明作业。</w:t>
            </w:r>
          </w:p>
          <w:p w14:paraId="1DA4E8C6">
            <w:pPr>
              <w:pStyle w:val="104"/>
              <w:rPr>
                <w:color w:val="000000" w:themeColor="text1"/>
                <w:lang w:val="zh-CN"/>
                <w14:textFill>
                  <w14:solidFill>
                    <w14:schemeClr w14:val="tx1"/>
                  </w14:solidFill>
                </w14:textFill>
              </w:rPr>
            </w:pPr>
            <w:r>
              <w:rPr>
                <w:color w:val="000000" w:themeColor="text1"/>
                <w14:textFill>
                  <w14:solidFill>
                    <w14:schemeClr w14:val="tx1"/>
                  </w14:solidFill>
                </w14:textFill>
              </w:rPr>
              <w:t>D、本项目使用的机油危险废物（废机油）为桶装，能保证泄漏的危险物质在事故厂房内部得到有效处理，不会污染厂房外地面，一旦发生化学品泄漏事故，采用惰性材料吸收，然后用无火花工具集运至废物处理场所处置。</w:t>
            </w:r>
          </w:p>
          <w:p w14:paraId="65A8B3D2">
            <w:pPr>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7.6分析结论</w:t>
            </w:r>
          </w:p>
          <w:p w14:paraId="1FA92B81">
            <w:pPr>
              <w:snapToGrid w:val="0"/>
              <w:spacing w:line="360" w:lineRule="auto"/>
              <w:ind w:firstLine="420" w:firstLineChars="200"/>
              <w:textAlignment w:val="baseline"/>
              <w:rPr>
                <w:rStyle w:val="64"/>
                <w:color w:val="000000" w:themeColor="text1"/>
                <w:sz w:val="24"/>
                <w14:textFill>
                  <w14:solidFill>
                    <w14:schemeClr w14:val="tx1"/>
                  </w14:solidFill>
                </w14:textFill>
              </w:rPr>
            </w:pPr>
            <w:r>
              <w:rPr>
                <w:color w:val="000000" w:themeColor="text1"/>
                <w14:textFill>
                  <w14:solidFill>
                    <w14:schemeClr w14:val="tx1"/>
                  </w14:solidFill>
                </w14:textFill>
              </w:rPr>
              <w:t>项</w:t>
            </w:r>
            <w:r>
              <w:rPr>
                <w:rStyle w:val="64"/>
                <w:color w:val="000000" w:themeColor="text1"/>
                <w:sz w:val="24"/>
                <w14:textFill>
                  <w14:solidFill>
                    <w14:schemeClr w14:val="tx1"/>
                  </w14:solidFill>
                </w14:textFill>
              </w:rPr>
              <w:t>目营运过程中存在着一定的环境风险，但只要加强管理，建立健全相应的风险防范管理、应急措施，并在管理及运行中认真落实工程安全措施、消防措施及评价所提出的风险防范、管理措施，确保燃料安全存放，则其营运期的环境风险可接受。</w:t>
            </w:r>
          </w:p>
          <w:p w14:paraId="46254A75">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 xml:space="preserve">8、企业排污口规范化要求 </w:t>
            </w:r>
          </w:p>
          <w:p w14:paraId="205107C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企业在严格进行环境管理的同时还应遵照国家对排污口规范的要求，“三废”及噪声排放点设置明显标志，标志的设置应执行《排污单位污染物排放口二维码标识技术规范》（HJ1297-2023）、《环境保护图形标志排放口》（GB15562.1-1995）、《环境保护图形标志固体废物贮存（处置）场》（GB15562.2-1995）及《危险废物识别标志设置技术规范》(HJ1276-2022）中有关规定。</w:t>
            </w:r>
          </w:p>
          <w:p w14:paraId="7EFE5E5F">
            <w:pPr>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表4-2</w:t>
            </w:r>
            <w:r>
              <w:rPr>
                <w:rFonts w:hint="eastAsia"/>
                <w:b/>
                <w:bCs/>
                <w:color w:val="000000" w:themeColor="text1"/>
                <w:kern w:val="0"/>
                <w:szCs w:val="21"/>
                <w14:textFill>
                  <w14:solidFill>
                    <w14:schemeClr w14:val="tx1"/>
                  </w14:solidFill>
                </w14:textFill>
              </w:rPr>
              <w:t>4</w:t>
            </w:r>
            <w:r>
              <w:rPr>
                <w:b/>
                <w:bCs/>
                <w:color w:val="000000" w:themeColor="text1"/>
                <w:kern w:val="0"/>
                <w:szCs w:val="21"/>
                <w14:textFill>
                  <w14:solidFill>
                    <w14:schemeClr w14:val="tx1"/>
                  </w14:solidFill>
                </w14:textFill>
              </w:rPr>
              <w:t xml:space="preserve">  环境保护图形符号一览表</w:t>
            </w:r>
          </w:p>
          <w:tbl>
            <w:tblPr>
              <w:tblStyle w:val="31"/>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43"/>
              <w:gridCol w:w="1586"/>
              <w:gridCol w:w="1722"/>
              <w:gridCol w:w="1585"/>
              <w:gridCol w:w="1586"/>
            </w:tblGrid>
            <w:tr w14:paraId="43FE19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1" w:hRule="atLeast"/>
                <w:jc w:val="center"/>
              </w:trPr>
              <w:tc>
                <w:tcPr>
                  <w:tcW w:w="1743" w:type="dxa"/>
                  <w:tcBorders>
                    <w:tl2br w:val="nil"/>
                    <w:tr2bl w:val="nil"/>
                  </w:tcBorders>
                  <w:vAlign w:val="center"/>
                </w:tcPr>
                <w:p w14:paraId="45D77BB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953770" cy="953770"/>
                        <wp:effectExtent l="0" t="0" r="17780" b="17780"/>
                        <wp:docPr id="20"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953770" cy="953770"/>
                                </a:xfrm>
                                <a:prstGeom prst="rect">
                                  <a:avLst/>
                                </a:prstGeom>
                                <a:noFill/>
                                <a:ln>
                                  <a:noFill/>
                                </a:ln>
                                <a:effectLst/>
                              </pic:spPr>
                            </pic:pic>
                          </a:graphicData>
                        </a:graphic>
                      </wp:inline>
                    </w:drawing>
                  </w:r>
                </w:p>
                <w:p w14:paraId="4C74405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废气排放口</w:t>
                  </w:r>
                </w:p>
              </w:tc>
              <w:tc>
                <w:tcPr>
                  <w:tcW w:w="1586" w:type="dxa"/>
                  <w:tcBorders>
                    <w:tl2br w:val="nil"/>
                    <w:tr2bl w:val="nil"/>
                  </w:tcBorders>
                  <w:vAlign w:val="center"/>
                </w:tcPr>
                <w:p w14:paraId="44DA723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953770" cy="953770"/>
                        <wp:effectExtent l="0" t="0" r="17780" b="17780"/>
                        <wp:docPr id="25" name="图片 206" descr="C:\Users\Ethan\Pictures\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6" descr="C:\Users\Ethan\Pictures\781.g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953770" cy="953770"/>
                                </a:xfrm>
                                <a:prstGeom prst="rect">
                                  <a:avLst/>
                                </a:prstGeom>
                                <a:noFill/>
                                <a:ln>
                                  <a:noFill/>
                                </a:ln>
                                <a:effectLst/>
                              </pic:spPr>
                            </pic:pic>
                          </a:graphicData>
                        </a:graphic>
                      </wp:inline>
                    </w:drawing>
                  </w:r>
                </w:p>
                <w:p w14:paraId="76BEFCB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污水排放口</w:t>
                  </w:r>
                </w:p>
              </w:tc>
              <w:tc>
                <w:tcPr>
                  <w:tcW w:w="1722" w:type="dxa"/>
                  <w:tcBorders>
                    <w:tl2br w:val="nil"/>
                    <w:tr2bl w:val="nil"/>
                  </w:tcBorders>
                  <w:vAlign w:val="center"/>
                </w:tcPr>
                <w:p w14:paraId="7402AAF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953770" cy="953770"/>
                        <wp:effectExtent l="0" t="0" r="17780" b="17780"/>
                        <wp:docPr id="26"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953770" cy="953770"/>
                                </a:xfrm>
                                <a:prstGeom prst="rect">
                                  <a:avLst/>
                                </a:prstGeom>
                                <a:noFill/>
                                <a:ln>
                                  <a:noFill/>
                                </a:ln>
                                <a:effectLst/>
                              </pic:spPr>
                            </pic:pic>
                          </a:graphicData>
                        </a:graphic>
                      </wp:inline>
                    </w:drawing>
                  </w:r>
                </w:p>
                <w:p w14:paraId="5CBF435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噪声排放源</w:t>
                  </w:r>
                </w:p>
              </w:tc>
              <w:tc>
                <w:tcPr>
                  <w:tcW w:w="1585" w:type="dxa"/>
                  <w:tcBorders>
                    <w:tl2br w:val="nil"/>
                    <w:tr2bl w:val="nil"/>
                  </w:tcBorders>
                  <w:vAlign w:val="center"/>
                </w:tcPr>
                <w:p w14:paraId="7EEFE79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930275" cy="922020"/>
                        <wp:effectExtent l="0" t="0" r="3175" b="11430"/>
                        <wp:docPr id="34"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930275" cy="922020"/>
                                </a:xfrm>
                                <a:prstGeom prst="rect">
                                  <a:avLst/>
                                </a:prstGeom>
                                <a:noFill/>
                                <a:ln>
                                  <a:noFill/>
                                </a:ln>
                                <a:effectLst/>
                              </pic:spPr>
                            </pic:pic>
                          </a:graphicData>
                        </a:graphic>
                      </wp:inline>
                    </w:drawing>
                  </w:r>
                </w:p>
                <w:p w14:paraId="40D4DF2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固体废物提示</w:t>
                  </w:r>
                </w:p>
              </w:tc>
              <w:tc>
                <w:tcPr>
                  <w:tcW w:w="1586" w:type="dxa"/>
                  <w:tcBorders>
                    <w:tl2br w:val="nil"/>
                    <w:tr2bl w:val="nil"/>
                  </w:tcBorders>
                  <w:vAlign w:val="center"/>
                </w:tcPr>
                <w:p w14:paraId="3A186F41">
                  <w:pPr>
                    <w:jc w:val="center"/>
                    <w:rPr>
                      <w:color w:val="000000" w:themeColor="text1"/>
                      <w:szCs w:val="21"/>
                      <w14:textFill>
                        <w14:solidFill>
                          <w14:schemeClr w14:val="tx1"/>
                        </w14:solidFill>
                      </w14:textFill>
                    </w:rPr>
                  </w:pPr>
                  <w:r>
                    <w:rPr>
                      <w:color w:val="000000" w:themeColor="text1"/>
                      <w14:textFill>
                        <w14:solidFill>
                          <w14:schemeClr w14:val="tx1"/>
                        </w14:solidFill>
                      </w14:textFill>
                    </w:rPr>
                    <w:drawing>
                      <wp:inline distT="0" distB="0" distL="114300" distR="114300">
                        <wp:extent cx="921385" cy="921385"/>
                        <wp:effectExtent l="0" t="0" r="12065" b="12065"/>
                        <wp:docPr id="2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9"/>
                                <pic:cNvPicPr>
                                  <a:picLocks noChangeAspect="1"/>
                                </pic:cNvPicPr>
                              </pic:nvPicPr>
                              <pic:blipFill>
                                <a:blip r:embed="rId49"/>
                                <a:stretch>
                                  <a:fillRect/>
                                </a:stretch>
                              </pic:blipFill>
                              <pic:spPr>
                                <a:xfrm>
                                  <a:off x="0" y="0"/>
                                  <a:ext cx="921385" cy="921385"/>
                                </a:xfrm>
                                <a:prstGeom prst="rect">
                                  <a:avLst/>
                                </a:prstGeom>
                                <a:noFill/>
                                <a:ln>
                                  <a:noFill/>
                                </a:ln>
                              </pic:spPr>
                            </pic:pic>
                          </a:graphicData>
                        </a:graphic>
                      </wp:inline>
                    </w:drawing>
                  </w:r>
                </w:p>
                <w:p w14:paraId="2DCBFCB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危险废物标签</w:t>
                  </w:r>
                </w:p>
              </w:tc>
            </w:tr>
            <w:tr w14:paraId="16B075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1" w:hRule="atLeast"/>
                <w:jc w:val="center"/>
              </w:trPr>
              <w:tc>
                <w:tcPr>
                  <w:tcW w:w="1743" w:type="dxa"/>
                  <w:tcBorders>
                    <w:tl2br w:val="nil"/>
                    <w:tr2bl w:val="nil"/>
                  </w:tcBorders>
                  <w:vAlign w:val="center"/>
                </w:tcPr>
                <w:p w14:paraId="25411C6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953770" cy="937895"/>
                        <wp:effectExtent l="0" t="0" r="17780" b="14605"/>
                        <wp:docPr id="10"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0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953770" cy="937895"/>
                                </a:xfrm>
                                <a:prstGeom prst="rect">
                                  <a:avLst/>
                                </a:prstGeom>
                                <a:noFill/>
                                <a:ln>
                                  <a:noFill/>
                                </a:ln>
                                <a:effectLst/>
                              </pic:spPr>
                            </pic:pic>
                          </a:graphicData>
                        </a:graphic>
                      </wp:inline>
                    </w:drawing>
                  </w:r>
                </w:p>
                <w:p w14:paraId="731C0C4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废气排放口</w:t>
                  </w:r>
                </w:p>
              </w:tc>
              <w:tc>
                <w:tcPr>
                  <w:tcW w:w="1586" w:type="dxa"/>
                  <w:tcBorders>
                    <w:tl2br w:val="nil"/>
                    <w:tr2bl w:val="nil"/>
                  </w:tcBorders>
                  <w:vAlign w:val="center"/>
                </w:tcPr>
                <w:p w14:paraId="2BE4488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953770" cy="961390"/>
                        <wp:effectExtent l="0" t="0" r="17780" b="10160"/>
                        <wp:docPr id="19"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0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953770" cy="961390"/>
                                </a:xfrm>
                                <a:prstGeom prst="rect">
                                  <a:avLst/>
                                </a:prstGeom>
                                <a:noFill/>
                                <a:ln>
                                  <a:noFill/>
                                </a:ln>
                                <a:effectLst/>
                              </pic:spPr>
                            </pic:pic>
                          </a:graphicData>
                        </a:graphic>
                      </wp:inline>
                    </w:drawing>
                  </w:r>
                </w:p>
                <w:p w14:paraId="1070468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污水排放口</w:t>
                  </w:r>
                </w:p>
              </w:tc>
              <w:tc>
                <w:tcPr>
                  <w:tcW w:w="1722" w:type="dxa"/>
                  <w:tcBorders>
                    <w:tl2br w:val="nil"/>
                    <w:tr2bl w:val="nil"/>
                  </w:tcBorders>
                  <w:vAlign w:val="center"/>
                </w:tcPr>
                <w:p w14:paraId="422131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1064260" cy="953770"/>
                        <wp:effectExtent l="0" t="0" r="2540" b="17780"/>
                        <wp:docPr id="37"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1064260" cy="953770"/>
                                </a:xfrm>
                                <a:prstGeom prst="rect">
                                  <a:avLst/>
                                </a:prstGeom>
                                <a:noFill/>
                                <a:ln>
                                  <a:noFill/>
                                </a:ln>
                                <a:effectLst/>
                              </pic:spPr>
                            </pic:pic>
                          </a:graphicData>
                        </a:graphic>
                      </wp:inline>
                    </w:drawing>
                  </w:r>
                </w:p>
                <w:p w14:paraId="36EF336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噪声排放源</w:t>
                  </w:r>
                </w:p>
              </w:tc>
              <w:tc>
                <w:tcPr>
                  <w:tcW w:w="1585" w:type="dxa"/>
                  <w:tcBorders>
                    <w:tl2br w:val="nil"/>
                    <w:tr2bl w:val="nil"/>
                  </w:tcBorders>
                  <w:vAlign w:val="center"/>
                </w:tcPr>
                <w:p w14:paraId="3CDCED0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1048385" cy="953770"/>
                        <wp:effectExtent l="0" t="0" r="18415" b="17780"/>
                        <wp:docPr id="38"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048385" cy="953770"/>
                                </a:xfrm>
                                <a:prstGeom prst="rect">
                                  <a:avLst/>
                                </a:prstGeom>
                                <a:noFill/>
                                <a:ln>
                                  <a:noFill/>
                                </a:ln>
                                <a:effectLst/>
                              </pic:spPr>
                            </pic:pic>
                          </a:graphicData>
                        </a:graphic>
                      </wp:inline>
                    </w:drawing>
                  </w:r>
                </w:p>
                <w:p w14:paraId="60D3B78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一般固体废物</w:t>
                  </w:r>
                </w:p>
              </w:tc>
              <w:tc>
                <w:tcPr>
                  <w:tcW w:w="1586" w:type="dxa"/>
                  <w:tcBorders>
                    <w:tl2br w:val="nil"/>
                    <w:tr2bl w:val="nil"/>
                  </w:tcBorders>
                  <w:vAlign w:val="center"/>
                </w:tcPr>
                <w:p w14:paraId="7D16B7A0">
                  <w:pPr>
                    <w:rPr>
                      <w:color w:val="000000" w:themeColor="text1"/>
                      <w:szCs w:val="21"/>
                      <w14:textFill>
                        <w14:solidFill>
                          <w14:schemeClr w14:val="tx1"/>
                        </w14:solidFill>
                      </w14:textFill>
                    </w:rPr>
                  </w:pPr>
                  <w:r>
                    <w:rPr>
                      <w:color w:val="000000" w:themeColor="text1"/>
                      <w:szCs w:val="21"/>
                      <w14:textFill>
                        <w14:solidFill>
                          <w14:schemeClr w14:val="tx1"/>
                        </w14:solidFill>
                      </w14:textFill>
                    </w:rPr>
                    <w:drawing>
                      <wp:inline distT="0" distB="0" distL="114300" distR="114300">
                        <wp:extent cx="1020445" cy="828040"/>
                        <wp:effectExtent l="0" t="0" r="8255" b="10160"/>
                        <wp:docPr id="131" name="图片 30" descr="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0" descr="640"/>
                                <pic:cNvPicPr>
                                  <a:picLocks noChangeAspect="1"/>
                                </pic:cNvPicPr>
                              </pic:nvPicPr>
                              <pic:blipFill>
                                <a:blip r:embed="rId54"/>
                                <a:srcRect l="33634" t="50309" r="33742" b="13802"/>
                                <a:stretch>
                                  <a:fillRect/>
                                </a:stretch>
                              </pic:blipFill>
                              <pic:spPr>
                                <a:xfrm>
                                  <a:off x="0" y="0"/>
                                  <a:ext cx="1020445" cy="828040"/>
                                </a:xfrm>
                                <a:prstGeom prst="rect">
                                  <a:avLst/>
                                </a:prstGeom>
                                <a:noFill/>
                                <a:ln>
                                  <a:noFill/>
                                </a:ln>
                                <a:effectLst/>
                              </pic:spPr>
                            </pic:pic>
                          </a:graphicData>
                        </a:graphic>
                      </wp:inline>
                    </w:drawing>
                  </w:r>
                </w:p>
                <w:p w14:paraId="1B98ED1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危险废物标志</w:t>
                  </w:r>
                </w:p>
              </w:tc>
            </w:tr>
          </w:tbl>
          <w:p w14:paraId="6AB7806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排污口是本项目污染物进入环境，污染环境的信道，强化排污口的管理是实施污染物总量控制的基础工作之一，也是区域环境管理逐步实现污染物排放科学化、定量化的重要手段。具体管理原则如下：</w:t>
            </w:r>
          </w:p>
          <w:p w14:paraId="09EDD2E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①向环境排放的污染物的排放口必须规范化； </w:t>
            </w:r>
          </w:p>
          <w:p w14:paraId="469FE19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②列入总量控制的污染物、排污口列为管理的重点； </w:t>
            </w:r>
          </w:p>
          <w:p w14:paraId="6A07D78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③排污口应便于采样与计量监测，便于日常现场监督检查； </w:t>
            </w:r>
          </w:p>
          <w:p w14:paraId="7037924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④如实向环保管理部门申报排污口数量、位置及所排放的主要污染物种类、数量、浓度、排放去向等情况； </w:t>
            </w:r>
          </w:p>
          <w:p w14:paraId="0586A59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⑤工程固废堆存时，专用堆放场应设有防扬散、防流失、防渗漏措施。</w:t>
            </w:r>
          </w:p>
          <w:p w14:paraId="411DDF0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排污口立标管理对上述污染物排放口和固体废物堆场，应按照国家《排污单位污染物排放口二维码标识技术规范》（HJ1297-2023）、《环境保护图形标志》（GB15562.1-1995）与《环境保护图形标志固体废物贮存（处置）场》（GB1556.2-1995）规定，设置国家环保局统一制作的环境保护图形标志牌：</w:t>
            </w:r>
          </w:p>
          <w:p w14:paraId="2EA26A1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①污染物排放口的环保图形标志牌应设置在靠近采样点且醒目处，标志牌设置高度为其上边缘距离地面约2m；</w:t>
            </w:r>
          </w:p>
          <w:p w14:paraId="1F01E80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②重点排污单位的污染物排放口以设置立式标志牌为主，一般排污单位的污染物排放口，可根据情况设置立式或平面固定式标志牌。</w:t>
            </w:r>
          </w:p>
          <w:p w14:paraId="4AA4B32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③污染物排放口二维码：以二维码为载体对污染物排放口管理对象进行唯一标识，用于承载排污单位污染物排放口代码、信息服务地址等信息。</w:t>
            </w:r>
          </w:p>
          <w:p w14:paraId="3A3DA189">
            <w:pPr>
              <w:spacing w:line="360" w:lineRule="auto"/>
              <w:ind w:left="420" w:leftChars="200"/>
              <w:rPr>
                <w:color w:val="000000" w:themeColor="text1"/>
                <w:sz w:val="24"/>
                <w14:textFill>
                  <w14:solidFill>
                    <w14:schemeClr w14:val="tx1"/>
                  </w14:solidFill>
                </w14:textFill>
              </w:rPr>
            </w:pPr>
            <w:r>
              <w:rPr>
                <w:color w:val="000000" w:themeColor="text1"/>
                <w:sz w:val="24"/>
                <w14:textFill>
                  <w14:solidFill>
                    <w14:schemeClr w14:val="tx1"/>
                  </w14:solidFill>
                </w14:textFill>
              </w:rPr>
              <w:t>排污口建档管理要求如下：</w:t>
            </w:r>
          </w:p>
          <w:p w14:paraId="4DC65C0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①本项目应使用国家环保局统一印制的《中华人民共和国规范化排污口标志登记证》，并按要求填写有关内容；</w:t>
            </w:r>
          </w:p>
          <w:p w14:paraId="62DF8F9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②根据排污口管理内容要求，项目建成投产后，应将主要污染物种类、数量、浓度、排放去向，立标情况及设施运行情况记录于档案。</w:t>
            </w:r>
          </w:p>
          <w:p w14:paraId="7210B1B9">
            <w:pPr>
              <w:pStyle w:val="126"/>
              <w:spacing w:before="120" w:beforeLines="50"/>
              <w:ind w:firstLine="0" w:firstLineChars="0"/>
              <w:rPr>
                <w:color w:val="000000" w:themeColor="text1"/>
                <w:sz w:val="24"/>
                <w14:textFill>
                  <w14:solidFill>
                    <w14:schemeClr w14:val="tx1"/>
                  </w14:solidFill>
                </w14:textFill>
              </w:rPr>
            </w:pPr>
            <w:r>
              <w:rPr>
                <w:color w:val="000000" w:themeColor="text1"/>
                <w:sz w:val="24"/>
                <w14:textFill>
                  <w14:solidFill>
                    <w14:schemeClr w14:val="tx1"/>
                  </w14:solidFill>
                </w14:textFill>
              </w:rPr>
              <w:t>9、环保投资估算</w:t>
            </w:r>
          </w:p>
          <w:p w14:paraId="0025D2A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本项目总投资30万元，环保投资15万元，约占总投资的50%，详见下表。</w:t>
            </w:r>
          </w:p>
          <w:p w14:paraId="74A80584">
            <w:pPr>
              <w:pStyle w:val="146"/>
              <w:spacing w:before="0" w:beforeLines="0"/>
              <w:rPr>
                <w:color w:val="000000" w:themeColor="text1"/>
                <w14:textFill>
                  <w14:solidFill>
                    <w14:schemeClr w14:val="tx1"/>
                  </w14:solidFill>
                </w14:textFill>
              </w:rPr>
            </w:pPr>
            <w:r>
              <w:rPr>
                <w:color w:val="000000" w:themeColor="text1"/>
                <w:szCs w:val="21"/>
                <w14:textFill>
                  <w14:solidFill>
                    <w14:schemeClr w14:val="tx1"/>
                  </w14:solidFill>
                </w14:textFill>
              </w:rPr>
              <w:t>表4-25  环保投资估算一览表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684"/>
              <w:gridCol w:w="5308"/>
              <w:gridCol w:w="1312"/>
            </w:tblGrid>
            <w:tr w14:paraId="7CE1D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14" w:type="pct"/>
                  <w:vAlign w:val="center"/>
                </w:tcPr>
                <w:p w14:paraId="76FFA68B">
                  <w:pPr>
                    <w:jc w:val="center"/>
                    <w:rPr>
                      <w:color w:val="000000" w:themeColor="text1"/>
                      <w:kern w:val="0"/>
                      <w:szCs w:val="21"/>
                      <w:lang w:val="zh-CN"/>
                      <w14:textFill>
                        <w14:solidFill>
                          <w14:schemeClr w14:val="tx1"/>
                        </w14:solidFill>
                      </w14:textFill>
                    </w:rPr>
                  </w:pPr>
                  <w:r>
                    <w:rPr>
                      <w:color w:val="000000" w:themeColor="text1"/>
                      <w:kern w:val="0"/>
                      <w:szCs w:val="21"/>
                      <w:lang w:val="zh-CN"/>
                      <w14:textFill>
                        <w14:solidFill>
                          <w14:schemeClr w14:val="tx1"/>
                        </w14:solidFill>
                      </w14:textFill>
                    </w:rPr>
                    <w:t>项目</w:t>
                  </w:r>
                </w:p>
              </w:tc>
              <w:tc>
                <w:tcPr>
                  <w:tcW w:w="3194" w:type="pct"/>
                  <w:vAlign w:val="center"/>
                </w:tcPr>
                <w:p w14:paraId="1CD017A6">
                  <w:pPr>
                    <w:jc w:val="center"/>
                    <w:rPr>
                      <w:color w:val="000000" w:themeColor="text1"/>
                      <w:kern w:val="0"/>
                      <w:szCs w:val="21"/>
                      <w:lang w:val="zh-CN"/>
                      <w14:textFill>
                        <w14:solidFill>
                          <w14:schemeClr w14:val="tx1"/>
                        </w14:solidFill>
                      </w14:textFill>
                    </w:rPr>
                  </w:pPr>
                  <w:r>
                    <w:rPr>
                      <w:color w:val="000000" w:themeColor="text1"/>
                      <w:kern w:val="0"/>
                      <w:szCs w:val="21"/>
                      <w:lang w:val="zh-CN"/>
                      <w14:textFill>
                        <w14:solidFill>
                          <w14:schemeClr w14:val="tx1"/>
                        </w14:solidFill>
                      </w14:textFill>
                    </w:rPr>
                    <w:t>环保措施</w:t>
                  </w:r>
                </w:p>
              </w:tc>
              <w:tc>
                <w:tcPr>
                  <w:tcW w:w="790" w:type="pct"/>
                  <w:vAlign w:val="center"/>
                </w:tcPr>
                <w:p w14:paraId="3E294449">
                  <w:pPr>
                    <w:jc w:val="center"/>
                    <w:rPr>
                      <w:color w:val="000000" w:themeColor="text1"/>
                      <w:kern w:val="0"/>
                      <w:szCs w:val="21"/>
                      <w:lang w:val="zh-CN"/>
                      <w14:textFill>
                        <w14:solidFill>
                          <w14:schemeClr w14:val="tx1"/>
                        </w14:solidFill>
                      </w14:textFill>
                    </w:rPr>
                  </w:pPr>
                  <w:r>
                    <w:rPr>
                      <w:color w:val="000000" w:themeColor="text1"/>
                      <w:kern w:val="0"/>
                      <w:szCs w:val="21"/>
                      <w:lang w:val="zh-CN"/>
                      <w14:textFill>
                        <w14:solidFill>
                          <w14:schemeClr w14:val="tx1"/>
                        </w14:solidFill>
                      </w14:textFill>
                    </w:rPr>
                    <w:t>投资（万元</w:t>
                  </w:r>
                  <w:r>
                    <w:rPr>
                      <w:color w:val="000000" w:themeColor="text1"/>
                      <w:kern w:val="0"/>
                      <w:szCs w:val="21"/>
                      <w:lang w:val="zh-CN" w:eastAsia="en-US"/>
                      <w14:textFill>
                        <w14:solidFill>
                          <w14:schemeClr w14:val="tx1"/>
                        </w14:solidFill>
                      </w14:textFill>
                    </w:rPr>
                    <w:t>）</w:t>
                  </w:r>
                </w:p>
              </w:tc>
            </w:tr>
            <w:tr w14:paraId="1DC52C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14" w:type="pct"/>
                  <w:vAlign w:val="center"/>
                </w:tcPr>
                <w:p w14:paraId="49D551C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废气防治</w:t>
                  </w:r>
                </w:p>
              </w:tc>
              <w:tc>
                <w:tcPr>
                  <w:tcW w:w="3194" w:type="pct"/>
                  <w:vAlign w:val="center"/>
                </w:tcPr>
                <w:p w14:paraId="06D5173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配套低氮燃烧技术，废气经旋风+布袋除尘器+DA001(30m)高排气筒</w:t>
                  </w:r>
                </w:p>
              </w:tc>
              <w:tc>
                <w:tcPr>
                  <w:tcW w:w="790" w:type="pct"/>
                  <w:vAlign w:val="center"/>
                </w:tcPr>
                <w:p w14:paraId="0507A5C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10</w:t>
                  </w:r>
                </w:p>
              </w:tc>
            </w:tr>
            <w:tr w14:paraId="47CE11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14" w:type="pct"/>
                  <w:shd w:val="clear" w:color="auto" w:fill="auto"/>
                  <w:vAlign w:val="center"/>
                </w:tcPr>
                <w:p w14:paraId="444317D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废水防治</w:t>
                  </w:r>
                </w:p>
              </w:tc>
              <w:tc>
                <w:tcPr>
                  <w:tcW w:w="3194" w:type="pct"/>
                  <w:shd w:val="clear" w:color="auto" w:fill="auto"/>
                  <w:vAlign w:val="center"/>
                </w:tcPr>
                <w:p w14:paraId="5A66C57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化粪池（有效容积5m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790" w:type="pct"/>
                  <w:shd w:val="clear" w:color="auto" w:fill="auto"/>
                  <w:vAlign w:val="center"/>
                </w:tcPr>
                <w:p w14:paraId="4B46458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1.5</w:t>
                  </w:r>
                </w:p>
              </w:tc>
            </w:tr>
            <w:tr w14:paraId="0E60DC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14" w:type="pct"/>
                  <w:vAlign w:val="center"/>
                </w:tcPr>
                <w:p w14:paraId="45975AD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噪声防治</w:t>
                  </w:r>
                </w:p>
              </w:tc>
              <w:tc>
                <w:tcPr>
                  <w:tcW w:w="3194" w:type="pct"/>
                  <w:vAlign w:val="center"/>
                </w:tcPr>
                <w:p w14:paraId="682F7EFE">
                  <w:pPr>
                    <w:jc w:val="center"/>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采用低噪声设备、</w:t>
                  </w:r>
                  <w:r>
                    <w:rPr>
                      <w:bCs/>
                      <w:color w:val="000000" w:themeColor="text1"/>
                      <w:szCs w:val="21"/>
                      <w14:textFill>
                        <w14:solidFill>
                          <w14:schemeClr w14:val="tx1"/>
                        </w14:solidFill>
                      </w14:textFill>
                    </w:rPr>
                    <w:t>基础减振、建筑隔声</w:t>
                  </w:r>
                </w:p>
              </w:tc>
              <w:tc>
                <w:tcPr>
                  <w:tcW w:w="790" w:type="pct"/>
                  <w:vAlign w:val="center"/>
                </w:tcPr>
                <w:p w14:paraId="3E5DFBA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1.5</w:t>
                  </w:r>
                </w:p>
              </w:tc>
            </w:tr>
            <w:tr w14:paraId="0F0FA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014" w:type="pct"/>
                  <w:vAlign w:val="center"/>
                </w:tcPr>
                <w:p w14:paraId="0E951EC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固废防治</w:t>
                  </w:r>
                </w:p>
              </w:tc>
              <w:tc>
                <w:tcPr>
                  <w:tcW w:w="3194" w:type="pct"/>
                  <w:vAlign w:val="center"/>
                </w:tcPr>
                <w:p w14:paraId="35AE1F2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一般固废间（建筑面积50m</w:t>
                  </w:r>
                  <w:r>
                    <w:rPr>
                      <w:color w:val="000000" w:themeColor="text1"/>
                      <w:kern w:val="0"/>
                      <w:szCs w:val="21"/>
                      <w:vertAlign w:val="superscript"/>
                      <w14:textFill>
                        <w14:solidFill>
                          <w14:schemeClr w14:val="tx1"/>
                        </w14:solidFill>
                      </w14:textFill>
                    </w:rPr>
                    <w:t>2</w:t>
                  </w:r>
                  <w:r>
                    <w:rPr>
                      <w:color w:val="000000" w:themeColor="text1"/>
                      <w:kern w:val="0"/>
                      <w:szCs w:val="21"/>
                      <w14:textFill>
                        <w14:solidFill>
                          <w14:schemeClr w14:val="tx1"/>
                        </w14:solidFill>
                      </w14:textFill>
                    </w:rPr>
                    <w:t>），危废贮存点（5m</w:t>
                  </w:r>
                  <w:r>
                    <w:rPr>
                      <w:color w:val="000000" w:themeColor="text1"/>
                      <w:kern w:val="0"/>
                      <w:szCs w:val="21"/>
                      <w:vertAlign w:val="superscript"/>
                      <w14:textFill>
                        <w14:solidFill>
                          <w14:schemeClr w14:val="tx1"/>
                        </w14:solidFill>
                      </w14:textFill>
                    </w:rPr>
                    <w:t>2</w:t>
                  </w:r>
                  <w:r>
                    <w:rPr>
                      <w:color w:val="000000" w:themeColor="text1"/>
                      <w:kern w:val="0"/>
                      <w:szCs w:val="21"/>
                      <w14:textFill>
                        <w14:solidFill>
                          <w14:schemeClr w14:val="tx1"/>
                        </w14:solidFill>
                      </w14:textFill>
                    </w:rPr>
                    <w:t>）</w:t>
                  </w:r>
                </w:p>
              </w:tc>
              <w:tc>
                <w:tcPr>
                  <w:tcW w:w="790" w:type="pct"/>
                  <w:vAlign w:val="center"/>
                </w:tcPr>
                <w:p w14:paraId="2D99F56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r>
            <w:tr w14:paraId="48CF4F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209" w:type="pct"/>
                  <w:gridSpan w:val="2"/>
                  <w:vAlign w:val="center"/>
                </w:tcPr>
                <w:p w14:paraId="42C2C97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合计</w:t>
                  </w:r>
                </w:p>
              </w:tc>
              <w:tc>
                <w:tcPr>
                  <w:tcW w:w="790" w:type="pct"/>
                  <w:vAlign w:val="center"/>
                </w:tcPr>
                <w:p w14:paraId="78041F2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r>
          </w:tbl>
          <w:p w14:paraId="2F274EBF">
            <w:pPr>
              <w:pStyle w:val="23"/>
              <w:rPr>
                <w:color w:val="000000" w:themeColor="text1"/>
                <w:sz w:val="24"/>
                <w14:textFill>
                  <w14:solidFill>
                    <w14:schemeClr w14:val="tx1"/>
                  </w14:solidFill>
                </w14:textFill>
              </w:rPr>
            </w:pPr>
          </w:p>
          <w:p w14:paraId="23E6C9C0">
            <w:pPr>
              <w:rPr>
                <w:color w:val="000000" w:themeColor="text1"/>
                <w:sz w:val="24"/>
                <w14:textFill>
                  <w14:solidFill>
                    <w14:schemeClr w14:val="tx1"/>
                  </w14:solidFill>
                </w14:textFill>
              </w:rPr>
            </w:pPr>
          </w:p>
          <w:p w14:paraId="7B363457">
            <w:pPr>
              <w:pStyle w:val="23"/>
              <w:rPr>
                <w:color w:val="000000" w:themeColor="text1"/>
                <w:sz w:val="24"/>
                <w14:textFill>
                  <w14:solidFill>
                    <w14:schemeClr w14:val="tx1"/>
                  </w14:solidFill>
                </w14:textFill>
              </w:rPr>
            </w:pPr>
          </w:p>
          <w:p w14:paraId="0F6FE996">
            <w:pPr>
              <w:rPr>
                <w:color w:val="000000" w:themeColor="text1"/>
                <w:sz w:val="24"/>
                <w14:textFill>
                  <w14:solidFill>
                    <w14:schemeClr w14:val="tx1"/>
                  </w14:solidFill>
                </w14:textFill>
              </w:rPr>
            </w:pPr>
          </w:p>
          <w:p w14:paraId="4ADD83F9">
            <w:pPr>
              <w:rPr>
                <w:color w:val="000000" w:themeColor="text1"/>
                <w:sz w:val="24"/>
                <w14:textFill>
                  <w14:solidFill>
                    <w14:schemeClr w14:val="tx1"/>
                  </w14:solidFill>
                </w14:textFill>
              </w:rPr>
            </w:pPr>
          </w:p>
          <w:p w14:paraId="40415B43">
            <w:pPr>
              <w:rPr>
                <w:color w:val="000000" w:themeColor="text1"/>
                <w:sz w:val="24"/>
                <w14:textFill>
                  <w14:solidFill>
                    <w14:schemeClr w14:val="tx1"/>
                  </w14:solidFill>
                </w14:textFill>
              </w:rPr>
            </w:pPr>
          </w:p>
          <w:p w14:paraId="3D717C13">
            <w:pPr>
              <w:rPr>
                <w:color w:val="000000" w:themeColor="text1"/>
                <w:sz w:val="24"/>
                <w14:textFill>
                  <w14:solidFill>
                    <w14:schemeClr w14:val="tx1"/>
                  </w14:solidFill>
                </w14:textFill>
              </w:rPr>
            </w:pPr>
          </w:p>
          <w:p w14:paraId="57D42E46">
            <w:pPr>
              <w:rPr>
                <w:color w:val="000000" w:themeColor="text1"/>
                <w:sz w:val="24"/>
                <w14:textFill>
                  <w14:solidFill>
                    <w14:schemeClr w14:val="tx1"/>
                  </w14:solidFill>
                </w14:textFill>
              </w:rPr>
            </w:pPr>
          </w:p>
          <w:p w14:paraId="4A8C7CC2">
            <w:pPr>
              <w:rPr>
                <w:color w:val="000000" w:themeColor="text1"/>
                <w:sz w:val="24"/>
                <w14:textFill>
                  <w14:solidFill>
                    <w14:schemeClr w14:val="tx1"/>
                  </w14:solidFill>
                </w14:textFill>
              </w:rPr>
            </w:pPr>
          </w:p>
          <w:p w14:paraId="79DB1CEB">
            <w:pPr>
              <w:rPr>
                <w:color w:val="000000" w:themeColor="text1"/>
                <w:sz w:val="24"/>
                <w14:textFill>
                  <w14:solidFill>
                    <w14:schemeClr w14:val="tx1"/>
                  </w14:solidFill>
                </w14:textFill>
              </w:rPr>
            </w:pPr>
          </w:p>
          <w:p w14:paraId="71E8A364">
            <w:pPr>
              <w:rPr>
                <w:color w:val="000000" w:themeColor="text1"/>
                <w:sz w:val="24"/>
                <w14:textFill>
                  <w14:solidFill>
                    <w14:schemeClr w14:val="tx1"/>
                  </w14:solidFill>
                </w14:textFill>
              </w:rPr>
            </w:pPr>
          </w:p>
          <w:p w14:paraId="6929E5CB">
            <w:pPr>
              <w:rPr>
                <w:color w:val="000000" w:themeColor="text1"/>
                <w:sz w:val="24"/>
                <w14:textFill>
                  <w14:solidFill>
                    <w14:schemeClr w14:val="tx1"/>
                  </w14:solidFill>
                </w14:textFill>
              </w:rPr>
            </w:pPr>
          </w:p>
          <w:p w14:paraId="4DE2B2B9">
            <w:pPr>
              <w:rPr>
                <w:color w:val="000000" w:themeColor="text1"/>
                <w:sz w:val="24"/>
                <w14:textFill>
                  <w14:solidFill>
                    <w14:schemeClr w14:val="tx1"/>
                  </w14:solidFill>
                </w14:textFill>
              </w:rPr>
            </w:pPr>
          </w:p>
          <w:p w14:paraId="6265715D">
            <w:pPr>
              <w:rPr>
                <w:color w:val="000000" w:themeColor="text1"/>
                <w:sz w:val="24"/>
                <w14:textFill>
                  <w14:solidFill>
                    <w14:schemeClr w14:val="tx1"/>
                  </w14:solidFill>
                </w14:textFill>
              </w:rPr>
            </w:pPr>
          </w:p>
          <w:p w14:paraId="18B1CFA3">
            <w:pPr>
              <w:rPr>
                <w:color w:val="000000" w:themeColor="text1"/>
                <w:sz w:val="24"/>
                <w14:textFill>
                  <w14:solidFill>
                    <w14:schemeClr w14:val="tx1"/>
                  </w14:solidFill>
                </w14:textFill>
              </w:rPr>
            </w:pPr>
          </w:p>
          <w:p w14:paraId="29434B22">
            <w:pPr>
              <w:rPr>
                <w:color w:val="000000" w:themeColor="text1"/>
                <w:sz w:val="24"/>
                <w14:textFill>
                  <w14:solidFill>
                    <w14:schemeClr w14:val="tx1"/>
                  </w14:solidFill>
                </w14:textFill>
              </w:rPr>
            </w:pPr>
          </w:p>
          <w:p w14:paraId="6ACFF268">
            <w:pPr>
              <w:rPr>
                <w:color w:val="000000" w:themeColor="text1"/>
                <w:sz w:val="24"/>
                <w14:textFill>
                  <w14:solidFill>
                    <w14:schemeClr w14:val="tx1"/>
                  </w14:solidFill>
                </w14:textFill>
              </w:rPr>
            </w:pPr>
          </w:p>
          <w:p w14:paraId="0ADDC87A">
            <w:pPr>
              <w:rPr>
                <w:color w:val="000000" w:themeColor="text1"/>
                <w:sz w:val="24"/>
                <w14:textFill>
                  <w14:solidFill>
                    <w14:schemeClr w14:val="tx1"/>
                  </w14:solidFill>
                </w14:textFill>
              </w:rPr>
            </w:pPr>
          </w:p>
          <w:p w14:paraId="7C5C0FAF">
            <w:pPr>
              <w:rPr>
                <w:color w:val="000000" w:themeColor="text1"/>
                <w:sz w:val="24"/>
                <w14:textFill>
                  <w14:solidFill>
                    <w14:schemeClr w14:val="tx1"/>
                  </w14:solidFill>
                </w14:textFill>
              </w:rPr>
            </w:pPr>
          </w:p>
          <w:p w14:paraId="365F7A85">
            <w:pPr>
              <w:pStyle w:val="23"/>
              <w:rPr>
                <w:color w:val="000000" w:themeColor="text1"/>
                <w14:textFill>
                  <w14:solidFill>
                    <w14:schemeClr w14:val="tx1"/>
                  </w14:solidFill>
                </w14:textFill>
              </w:rPr>
            </w:pPr>
          </w:p>
        </w:tc>
      </w:tr>
    </w:tbl>
    <w:p w14:paraId="511FB4A5">
      <w:pPr>
        <w:adjustRightInd w:val="0"/>
        <w:snapToGrid w:val="0"/>
        <w:spacing w:line="360" w:lineRule="auto"/>
        <w:rPr>
          <w:b/>
          <w:color w:val="000000" w:themeColor="text1"/>
          <w:kern w:val="0"/>
          <w:sz w:val="28"/>
          <w:szCs w:val="28"/>
          <w14:textFill>
            <w14:solidFill>
              <w14:schemeClr w14:val="tx1"/>
            </w14:solidFill>
          </w14:textFill>
        </w:rPr>
        <w:sectPr>
          <w:pgSz w:w="11907" w:h="16840"/>
          <w:pgMar w:top="1417" w:right="1417" w:bottom="1417" w:left="1417" w:header="851" w:footer="850" w:gutter="0"/>
          <w:cols w:space="720" w:num="1"/>
          <w:docGrid w:linePitch="312" w:charSpace="0"/>
        </w:sectPr>
      </w:pPr>
    </w:p>
    <w:p w14:paraId="51B3B9C0">
      <w:pPr>
        <w:pStyle w:val="27"/>
        <w:spacing w:before="0" w:beforeAutospacing="0" w:after="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eastAsia="黑体"/>
          <w:snapToGrid w:val="0"/>
          <w:color w:val="000000" w:themeColor="text1"/>
          <w:sz w:val="30"/>
          <w:szCs w:val="30"/>
          <w14:textFill>
            <w14:solidFill>
              <w14:schemeClr w14:val="tx1"/>
            </w14:solidFill>
          </w14:textFill>
        </w:rPr>
        <w:t>五、</w:t>
      </w:r>
      <w:bookmarkStart w:id="33" w:name="_Hlk54167917"/>
      <w:r>
        <w:rPr>
          <w:rFonts w:ascii="Times New Roman" w:hAnsi="Times New Roman" w:eastAsia="黑体"/>
          <w:snapToGrid w:val="0"/>
          <w:color w:val="000000" w:themeColor="text1"/>
          <w:sz w:val="30"/>
          <w:szCs w:val="30"/>
          <w14:textFill>
            <w14:solidFill>
              <w14:schemeClr w14:val="tx1"/>
            </w14:solidFill>
          </w14:textFill>
        </w:rPr>
        <w:t>环境保护措施监督检查清单</w:t>
      </w:r>
      <w:bookmarkEnd w:id="33"/>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409"/>
        <w:gridCol w:w="1667"/>
        <w:gridCol w:w="1650"/>
        <w:gridCol w:w="2138"/>
        <w:gridCol w:w="2424"/>
      </w:tblGrid>
      <w:tr w14:paraId="557DC78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tcPr>
          <w:p w14:paraId="337C0B37">
            <w:pPr>
              <w:adjustRightInd w:val="0"/>
              <w:snapToGrid w:val="0"/>
              <w:ind w:left="-105" w:leftChars="-50" w:right="-105" w:rightChars="-50"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-66675</wp:posOffset>
                      </wp:positionH>
                      <wp:positionV relativeFrom="paragraph">
                        <wp:posOffset>-17780</wp:posOffset>
                      </wp:positionV>
                      <wp:extent cx="882015" cy="394335"/>
                      <wp:effectExtent l="1905" t="4445" r="11430" b="20320"/>
                      <wp:wrapNone/>
                      <wp:docPr id="1" name="直线 22"/>
                      <wp:cNvGraphicFramePr/>
                      <a:graphic xmlns:a="http://schemas.openxmlformats.org/drawingml/2006/main">
                        <a:graphicData uri="http://schemas.microsoft.com/office/word/2010/wordprocessingShape">
                          <wps:wsp>
                            <wps:cNvCnPr/>
                            <wps:spPr>
                              <a:xfrm>
                                <a:off x="0" y="0"/>
                                <a:ext cx="882015" cy="3943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2" o:spid="_x0000_s1026" o:spt="20" style="position:absolute;left:0pt;margin-left:-5.25pt;margin-top:-1.4pt;height:31.05pt;width:69.45pt;z-index:251662336;mso-width-relative:page;mso-height-relative:page;" filled="f" stroked="t" coordsize="21600,21600" o:gfxdata="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6QfQtcAAAAJAQAA&#10;DwAAAAAAAAABACAAAAAiAAAAZHJzL2Rvd25yZXYueG1sUEsBAhQAFAAAAAgAh07iQHnJO3/hAQAA&#10;1AMAAA4AAAAAAAAAAQAgAAAAJgEAAGRycy9lMm9Eb2MueG1sUEsFBgAAAAAGAAYAWQEAAHkFAAAA&#10;AA==&#10;">
                      <v:fill on="f" focussize="0,0"/>
                      <v:stroke color="#000000" joinstyle="round"/>
                      <v:imagedata o:title=""/>
                      <o:lock v:ext="edit" aspectratio="f"/>
                    </v:line>
                  </w:pict>
                </mc:Fallback>
              </mc:AlternateContent>
            </w:r>
            <w:r>
              <w:rPr>
                <w:color w:val="000000" w:themeColor="text1"/>
                <w:sz w:val="24"/>
                <w14:textFill>
                  <w14:solidFill>
                    <w14:schemeClr w14:val="tx1"/>
                  </w14:solidFill>
                </w14:textFill>
              </w:rPr>
              <w:t>内容</w:t>
            </w:r>
          </w:p>
          <w:p w14:paraId="4BD98047">
            <w:pPr>
              <w:adjustRightInd w:val="0"/>
              <w:snapToGrid w:val="0"/>
              <w:ind w:left="-105" w:leftChars="-50" w:right="-105" w:rightChars="-50" w:firstLine="240" w:firstLineChars="100"/>
              <w:rPr>
                <w:color w:val="000000" w:themeColor="text1"/>
                <w:sz w:val="24"/>
                <w14:textFill>
                  <w14:solidFill>
                    <w14:schemeClr w14:val="tx1"/>
                  </w14:solidFill>
                </w14:textFill>
              </w:rPr>
            </w:pPr>
            <w:r>
              <w:rPr>
                <w:color w:val="000000" w:themeColor="text1"/>
                <w:sz w:val="24"/>
                <w14:textFill>
                  <w14:solidFill>
                    <w14:schemeClr w14:val="tx1"/>
                  </w14:solidFill>
                </w14:textFill>
              </w:rPr>
              <w:t>要素</w:t>
            </w:r>
          </w:p>
        </w:tc>
        <w:tc>
          <w:tcPr>
            <w:tcW w:w="1667" w:type="dxa"/>
            <w:vAlign w:val="center"/>
          </w:tcPr>
          <w:p w14:paraId="1F454D4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排放口(编号、名称)/污染源</w:t>
            </w:r>
          </w:p>
        </w:tc>
        <w:tc>
          <w:tcPr>
            <w:tcW w:w="1650" w:type="dxa"/>
            <w:vAlign w:val="center"/>
          </w:tcPr>
          <w:p w14:paraId="0869657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污染物项目</w:t>
            </w:r>
          </w:p>
        </w:tc>
        <w:tc>
          <w:tcPr>
            <w:tcW w:w="2138" w:type="dxa"/>
            <w:vAlign w:val="center"/>
          </w:tcPr>
          <w:p w14:paraId="372C831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环境保护措施</w:t>
            </w:r>
          </w:p>
        </w:tc>
        <w:tc>
          <w:tcPr>
            <w:tcW w:w="2424" w:type="dxa"/>
            <w:vAlign w:val="center"/>
          </w:tcPr>
          <w:p w14:paraId="3C887F3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执行标准</w:t>
            </w:r>
          </w:p>
        </w:tc>
      </w:tr>
      <w:tr w14:paraId="2727825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Merge w:val="restart"/>
            <w:vAlign w:val="center"/>
          </w:tcPr>
          <w:p w14:paraId="4EBC4972">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大气环境</w:t>
            </w:r>
          </w:p>
        </w:tc>
        <w:tc>
          <w:tcPr>
            <w:tcW w:w="1667" w:type="dxa"/>
            <w:vAlign w:val="center"/>
          </w:tcPr>
          <w:p w14:paraId="71D3769A">
            <w:pPr>
              <w:spacing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DA001（30m）排气筒</w:t>
            </w:r>
          </w:p>
        </w:tc>
        <w:tc>
          <w:tcPr>
            <w:tcW w:w="1650" w:type="dxa"/>
            <w:vAlign w:val="center"/>
          </w:tcPr>
          <w:p w14:paraId="4D0E973A">
            <w:pPr>
              <w:pStyle w:val="148"/>
              <w:spacing w:line="312" w:lineRule="auto"/>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颗粒物、SO</w:t>
            </w:r>
            <w:r>
              <w:rPr>
                <w:rFonts w:eastAsia="宋体"/>
                <w:color w:val="000000" w:themeColor="text1"/>
                <w:sz w:val="24"/>
                <w:szCs w:val="24"/>
                <w:vertAlign w:val="subscript"/>
                <w14:textFill>
                  <w14:solidFill>
                    <w14:schemeClr w14:val="tx1"/>
                  </w14:solidFill>
                </w14:textFill>
              </w:rPr>
              <w:t>2</w:t>
            </w:r>
            <w:r>
              <w:rPr>
                <w:rFonts w:eastAsia="宋体"/>
                <w:color w:val="000000" w:themeColor="text1"/>
                <w:sz w:val="24"/>
                <w:szCs w:val="24"/>
                <w14:textFill>
                  <w14:solidFill>
                    <w14:schemeClr w14:val="tx1"/>
                  </w14:solidFill>
                </w14:textFill>
              </w:rPr>
              <w:t>、NOx、烟气黑度</w:t>
            </w:r>
          </w:p>
        </w:tc>
        <w:tc>
          <w:tcPr>
            <w:tcW w:w="2138" w:type="dxa"/>
            <w:vAlign w:val="center"/>
          </w:tcPr>
          <w:p w14:paraId="2C917515">
            <w:pPr>
              <w:pStyle w:val="148"/>
              <w:wordWrap w:val="0"/>
              <w:spacing w:line="312" w:lineRule="auto"/>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低氮燃烧技术+旋风除尘+布袋除尘+30m高排气筒</w:t>
            </w:r>
          </w:p>
        </w:tc>
        <w:tc>
          <w:tcPr>
            <w:tcW w:w="2424" w:type="dxa"/>
            <w:vAlign w:val="center"/>
          </w:tcPr>
          <w:p w14:paraId="4DE5833E">
            <w:pPr>
              <w:widowControl/>
              <w:wordWrap w:val="0"/>
              <w:snapToGrid w:val="0"/>
              <w:spacing w:line="312" w:lineRule="auto"/>
              <w:jc w:val="center"/>
              <w:textAlignment w:val="baseline"/>
              <w:rPr>
                <w:rStyle w:val="64"/>
                <w:color w:val="000000" w:themeColor="text1"/>
                <w:sz w:val="24"/>
                <w14:textFill>
                  <w14:solidFill>
                    <w14:schemeClr w14:val="tx1"/>
                  </w14:solidFill>
                </w14:textFill>
              </w:rPr>
            </w:pPr>
            <w:r>
              <w:rPr>
                <w:color w:val="000000" w:themeColor="text1"/>
                <w:sz w:val="24"/>
                <w14:textFill>
                  <w14:solidFill>
                    <w14:schemeClr w14:val="tx1"/>
                  </w14:solidFill>
                </w14:textFill>
              </w:rPr>
              <w:t>《锅炉大气污染物排放标准》（GB13271-2014）表3</w:t>
            </w:r>
          </w:p>
        </w:tc>
      </w:tr>
      <w:tr w14:paraId="7BACA3D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Merge w:val="continue"/>
            <w:vAlign w:val="center"/>
          </w:tcPr>
          <w:p w14:paraId="58AD28B7">
            <w:pPr>
              <w:adjustRightInd w:val="0"/>
              <w:snapToGrid w:val="0"/>
              <w:jc w:val="center"/>
              <w:rPr>
                <w:color w:val="000000" w:themeColor="text1"/>
                <w:sz w:val="24"/>
                <w14:textFill>
                  <w14:solidFill>
                    <w14:schemeClr w14:val="tx1"/>
                  </w14:solidFill>
                </w14:textFill>
              </w:rPr>
            </w:pPr>
          </w:p>
        </w:tc>
        <w:tc>
          <w:tcPr>
            <w:tcW w:w="1667" w:type="dxa"/>
            <w:vAlign w:val="center"/>
          </w:tcPr>
          <w:p w14:paraId="5B4BC492">
            <w:pPr>
              <w:spacing w:line="312"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炉渣清理</w:t>
            </w:r>
          </w:p>
        </w:tc>
        <w:tc>
          <w:tcPr>
            <w:tcW w:w="1650" w:type="dxa"/>
            <w:vAlign w:val="center"/>
          </w:tcPr>
          <w:p w14:paraId="7B6313F2">
            <w:pPr>
              <w:pStyle w:val="148"/>
              <w:spacing w:line="312" w:lineRule="auto"/>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颗粒物</w:t>
            </w:r>
          </w:p>
        </w:tc>
        <w:tc>
          <w:tcPr>
            <w:tcW w:w="2138" w:type="dxa"/>
            <w:vAlign w:val="center"/>
          </w:tcPr>
          <w:p w14:paraId="3092A42D">
            <w:pPr>
              <w:pStyle w:val="148"/>
              <w:wordWrap w:val="0"/>
              <w:spacing w:line="312" w:lineRule="auto"/>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湿式作业</w:t>
            </w:r>
          </w:p>
        </w:tc>
        <w:tc>
          <w:tcPr>
            <w:tcW w:w="2424" w:type="dxa"/>
            <w:vAlign w:val="center"/>
          </w:tcPr>
          <w:p w14:paraId="59371281">
            <w:pPr>
              <w:pStyle w:val="148"/>
              <w:wordWrap w:val="0"/>
              <w:spacing w:line="312" w:lineRule="auto"/>
              <w:rPr>
                <w:rFonts w:eastAsia="宋体"/>
                <w:color w:val="000000" w:themeColor="text1"/>
                <w:sz w:val="24"/>
                <w:szCs w:val="24"/>
                <w14:textFill>
                  <w14:solidFill>
                    <w14:schemeClr w14:val="tx1"/>
                  </w14:solidFill>
                </w14:textFill>
              </w:rPr>
            </w:pPr>
            <w:r>
              <w:rPr>
                <w:rFonts w:eastAsia="宋体"/>
                <w:color w:val="000000" w:themeColor="text1"/>
                <w:sz w:val="24"/>
                <w:szCs w:val="24"/>
                <w14:textFill>
                  <w14:solidFill>
                    <w14:schemeClr w14:val="tx1"/>
                  </w14:solidFill>
                </w14:textFill>
              </w:rPr>
              <w:t>《大气污染物综合排放标准》（GB16297-1996）表2</w:t>
            </w:r>
          </w:p>
        </w:tc>
      </w:tr>
      <w:tr w14:paraId="490C9B6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Merge w:val="restart"/>
            <w:vAlign w:val="center"/>
          </w:tcPr>
          <w:p w14:paraId="4AD5E10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地表水环境</w:t>
            </w:r>
          </w:p>
        </w:tc>
        <w:tc>
          <w:tcPr>
            <w:tcW w:w="1667" w:type="dxa"/>
            <w:vAlign w:val="center"/>
          </w:tcPr>
          <w:p w14:paraId="040BF4B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软水制备废水</w:t>
            </w:r>
          </w:p>
        </w:tc>
        <w:tc>
          <w:tcPr>
            <w:tcW w:w="1650" w:type="dxa"/>
            <w:vMerge w:val="restart"/>
            <w:vAlign w:val="center"/>
          </w:tcPr>
          <w:p w14:paraId="74BC5C95">
            <w:pPr>
              <w:adjustRightInd w:val="0"/>
              <w:snapToGrid w:val="0"/>
              <w:spacing w:before="48" w:beforeLines="20" w:line="288"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pH、COD、SS、BOD</w:t>
            </w:r>
            <w:r>
              <w:rPr>
                <w:color w:val="000000" w:themeColor="text1"/>
                <w:sz w:val="24"/>
                <w:vertAlign w:val="subscript"/>
                <w14:textFill>
                  <w14:solidFill>
                    <w14:schemeClr w14:val="tx1"/>
                  </w14:solidFill>
                </w14:textFill>
              </w:rPr>
              <w:t>5</w:t>
            </w:r>
            <w:r>
              <w:rPr>
                <w:color w:val="000000" w:themeColor="text1"/>
                <w:sz w:val="24"/>
                <w14:textFill>
                  <w14:solidFill>
                    <w14:schemeClr w14:val="tx1"/>
                  </w14:solidFill>
                </w14:textFill>
              </w:rPr>
              <w:t>、</w:t>
            </w:r>
            <w:r>
              <w:rPr>
                <w:color w:val="000000" w:themeColor="text1"/>
                <w:sz w:val="24"/>
                <w:szCs w:val="32"/>
                <w14:textFill>
                  <w14:solidFill>
                    <w14:schemeClr w14:val="tx1"/>
                  </w14:solidFill>
                </w14:textFill>
              </w:rPr>
              <w:t>NH</w:t>
            </w:r>
            <w:r>
              <w:rPr>
                <w:color w:val="000000" w:themeColor="text1"/>
                <w:sz w:val="24"/>
                <w:szCs w:val="32"/>
                <w:vertAlign w:val="subscript"/>
                <w14:textFill>
                  <w14:solidFill>
                    <w14:schemeClr w14:val="tx1"/>
                  </w14:solidFill>
                </w14:textFill>
              </w:rPr>
              <w:t>3</w:t>
            </w:r>
            <w:r>
              <w:rPr>
                <w:color w:val="000000" w:themeColor="text1"/>
                <w:sz w:val="24"/>
                <w:szCs w:val="32"/>
                <w14:textFill>
                  <w14:solidFill>
                    <w14:schemeClr w14:val="tx1"/>
                  </w14:solidFill>
                </w14:textFill>
              </w:rPr>
              <w:t>-N、溶解性总固体、磷酸盐</w:t>
            </w:r>
          </w:p>
        </w:tc>
        <w:tc>
          <w:tcPr>
            <w:tcW w:w="2138" w:type="dxa"/>
            <w:vAlign w:val="center"/>
          </w:tcPr>
          <w:p w14:paraId="5B37E945">
            <w:pPr>
              <w:widowControl/>
              <w:wordWrap w:val="0"/>
              <w:snapToGrid w:val="0"/>
              <w:jc w:val="center"/>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炉渣清理时洒水降尘</w:t>
            </w:r>
          </w:p>
        </w:tc>
        <w:tc>
          <w:tcPr>
            <w:tcW w:w="2424" w:type="dxa"/>
            <w:vAlign w:val="center"/>
          </w:tcPr>
          <w:p w14:paraId="4ECEA742">
            <w:pPr>
              <w:widowControl/>
              <w:wordWrap w:val="0"/>
              <w:snapToGrid w:val="0"/>
              <w:jc w:val="center"/>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不外排</w:t>
            </w:r>
          </w:p>
        </w:tc>
      </w:tr>
      <w:tr w14:paraId="69C976E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Merge w:val="continue"/>
            <w:vAlign w:val="center"/>
          </w:tcPr>
          <w:p w14:paraId="12D8DCB2">
            <w:pPr>
              <w:adjustRightInd w:val="0"/>
              <w:snapToGrid w:val="0"/>
              <w:jc w:val="center"/>
              <w:rPr>
                <w:color w:val="000000" w:themeColor="text1"/>
                <w:sz w:val="24"/>
                <w14:textFill>
                  <w14:solidFill>
                    <w14:schemeClr w14:val="tx1"/>
                  </w14:solidFill>
                </w14:textFill>
              </w:rPr>
            </w:pPr>
          </w:p>
        </w:tc>
        <w:tc>
          <w:tcPr>
            <w:tcW w:w="1667" w:type="dxa"/>
            <w:vAlign w:val="center"/>
          </w:tcPr>
          <w:p w14:paraId="386BFF7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蒸汽发生器排污水</w:t>
            </w:r>
          </w:p>
        </w:tc>
        <w:tc>
          <w:tcPr>
            <w:tcW w:w="1650" w:type="dxa"/>
            <w:vMerge w:val="continue"/>
            <w:vAlign w:val="center"/>
          </w:tcPr>
          <w:p w14:paraId="5D62FE62">
            <w:pPr>
              <w:adjustRightInd w:val="0"/>
              <w:snapToGrid w:val="0"/>
              <w:spacing w:before="48" w:beforeLines="20" w:line="288" w:lineRule="auto"/>
              <w:jc w:val="center"/>
              <w:rPr>
                <w:color w:val="000000" w:themeColor="text1"/>
                <w:sz w:val="24"/>
                <w14:textFill>
                  <w14:solidFill>
                    <w14:schemeClr w14:val="tx1"/>
                  </w14:solidFill>
                </w14:textFill>
              </w:rPr>
            </w:pPr>
          </w:p>
        </w:tc>
        <w:tc>
          <w:tcPr>
            <w:tcW w:w="2138" w:type="dxa"/>
            <w:vAlign w:val="center"/>
          </w:tcPr>
          <w:p w14:paraId="6FDBD9EF">
            <w:pPr>
              <w:widowControl/>
              <w:wordWrap w:val="0"/>
              <w:snapToGrid w:val="0"/>
              <w:jc w:val="center"/>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由化粪池处理后，经管网排入峡河乡污水处理设施</w:t>
            </w:r>
          </w:p>
        </w:tc>
        <w:tc>
          <w:tcPr>
            <w:tcW w:w="2424" w:type="dxa"/>
            <w:vAlign w:val="center"/>
          </w:tcPr>
          <w:p w14:paraId="2CB907B4">
            <w:pPr>
              <w:widowControl/>
              <w:wordWrap w:val="0"/>
              <w:snapToGrid w:val="0"/>
              <w:jc w:val="center"/>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《污水综合排放标准》（GB8978-1996）、《辽宁省污水综合排放标准》（DB21/1627-2008</w:t>
            </w:r>
          </w:p>
        </w:tc>
      </w:tr>
      <w:tr w14:paraId="0FC9B3E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Align w:val="center"/>
          </w:tcPr>
          <w:p w14:paraId="04CD649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声环境</w:t>
            </w:r>
          </w:p>
        </w:tc>
        <w:tc>
          <w:tcPr>
            <w:tcW w:w="1667" w:type="dxa"/>
            <w:vAlign w:val="center"/>
          </w:tcPr>
          <w:p w14:paraId="0F6719F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风机、水泵等</w:t>
            </w:r>
          </w:p>
        </w:tc>
        <w:tc>
          <w:tcPr>
            <w:tcW w:w="1650" w:type="dxa"/>
            <w:vAlign w:val="center"/>
          </w:tcPr>
          <w:p w14:paraId="0FBD172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噪声</w:t>
            </w:r>
          </w:p>
        </w:tc>
        <w:tc>
          <w:tcPr>
            <w:tcW w:w="2138" w:type="dxa"/>
            <w:vAlign w:val="center"/>
          </w:tcPr>
          <w:p w14:paraId="545019E1">
            <w:pPr>
              <w:wordWrap w:val="0"/>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低噪声设备、基础减振、建筑物隔声</w:t>
            </w:r>
          </w:p>
        </w:tc>
        <w:tc>
          <w:tcPr>
            <w:tcW w:w="2424" w:type="dxa"/>
            <w:vAlign w:val="center"/>
          </w:tcPr>
          <w:p w14:paraId="7D0DD91E">
            <w:pPr>
              <w:wordWrap w:val="0"/>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《工业企业厂界环境噪声排放标准》（GB12348-2008）1类标准</w:t>
            </w:r>
          </w:p>
        </w:tc>
      </w:tr>
      <w:tr w14:paraId="65F31DC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Align w:val="center"/>
          </w:tcPr>
          <w:p w14:paraId="64792A93">
            <w:pPr>
              <w:adjustRightInd w:val="0"/>
              <w:snapToGrid w:val="0"/>
              <w:spacing w:before="48" w:beforeLines="20" w:line="288"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电磁辐射</w:t>
            </w:r>
          </w:p>
        </w:tc>
        <w:tc>
          <w:tcPr>
            <w:tcW w:w="1667" w:type="dxa"/>
            <w:vAlign w:val="center"/>
          </w:tcPr>
          <w:p w14:paraId="5EF0E25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650" w:type="dxa"/>
            <w:vAlign w:val="center"/>
          </w:tcPr>
          <w:p w14:paraId="143D3D3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138" w:type="dxa"/>
            <w:vAlign w:val="center"/>
          </w:tcPr>
          <w:p w14:paraId="4F046F32">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424" w:type="dxa"/>
            <w:vAlign w:val="center"/>
          </w:tcPr>
          <w:p w14:paraId="25E3B60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1C4F55E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Align w:val="center"/>
          </w:tcPr>
          <w:p w14:paraId="10DD4D1D">
            <w:pPr>
              <w:adjustRightInd w:val="0"/>
              <w:snapToGrid w:val="0"/>
              <w:spacing w:before="48" w:beforeLines="20" w:line="288"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固体废物</w:t>
            </w:r>
          </w:p>
        </w:tc>
        <w:tc>
          <w:tcPr>
            <w:tcW w:w="7879" w:type="dxa"/>
            <w:gridSpan w:val="4"/>
            <w:vAlign w:val="center"/>
          </w:tcPr>
          <w:p w14:paraId="2EE92D5B">
            <w:pPr>
              <w:snapToGrid w:val="0"/>
              <w:spacing w:before="48" w:beforeLines="20"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废布袋、废离子交换树脂定期由厂家回收处理；除尘灰、炉渣、污暂存于一般固废间，定期外售处理；废机油、废油桶暂存于危废贮存点，定期委托有资质单位处置。</w:t>
            </w:r>
          </w:p>
        </w:tc>
      </w:tr>
      <w:tr w14:paraId="0667FBD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Align w:val="center"/>
          </w:tcPr>
          <w:p w14:paraId="12C1F872">
            <w:pPr>
              <w:adjustRightInd w:val="0"/>
              <w:snapToGrid w:val="0"/>
              <w:spacing w:before="48" w:beforeLines="20" w:line="288"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土壤及地下水污染防治措施</w:t>
            </w:r>
          </w:p>
        </w:tc>
        <w:tc>
          <w:tcPr>
            <w:tcW w:w="7879" w:type="dxa"/>
            <w:gridSpan w:val="4"/>
            <w:vAlign w:val="center"/>
          </w:tcPr>
          <w:p w14:paraId="3631C7B7">
            <w:pPr>
              <w:widowControl/>
              <w:spacing w:before="48" w:beforeLines="2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采取分区防渗措施，危废贮存点为重点防渗区；锅炉房、燃料贮存库、一般固废间为一般防渗处理；生产车间依托原有防渗措施为一般防渗，办公区及其他区域依托原有防渗措施采取地面硬化处理等简单处理。原有构筑物满足相关防渗要求，本项目建设完成后，建设单位应定期检查地面破损情况，发现问题及时处理。</w:t>
            </w:r>
          </w:p>
        </w:tc>
      </w:tr>
      <w:tr w14:paraId="12DFC8B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Align w:val="center"/>
          </w:tcPr>
          <w:p w14:paraId="2673A14B">
            <w:pPr>
              <w:adjustRightInd w:val="0"/>
              <w:snapToGrid w:val="0"/>
              <w:spacing w:before="48" w:beforeLines="20" w:line="288"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生态保护措施</w:t>
            </w:r>
          </w:p>
        </w:tc>
        <w:tc>
          <w:tcPr>
            <w:tcW w:w="7879" w:type="dxa"/>
            <w:gridSpan w:val="4"/>
            <w:vAlign w:val="center"/>
          </w:tcPr>
          <w:p w14:paraId="61391384">
            <w:pPr>
              <w:adjustRightInd w:val="0"/>
              <w:snapToGrid w:val="0"/>
              <w:spacing w:before="48" w:beforeLines="20"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不涉及</w:t>
            </w:r>
          </w:p>
        </w:tc>
      </w:tr>
      <w:tr w14:paraId="7B78A04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Align w:val="center"/>
          </w:tcPr>
          <w:p w14:paraId="6D412AA0">
            <w:pPr>
              <w:adjustRightInd w:val="0"/>
              <w:snapToGrid w:val="0"/>
              <w:spacing w:before="48" w:beforeLines="20" w:line="288" w:lineRule="auto"/>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环境风险</w:t>
            </w:r>
          </w:p>
          <w:p w14:paraId="60234B9D">
            <w:pPr>
              <w:adjustRightInd w:val="0"/>
              <w:snapToGrid w:val="0"/>
              <w:spacing w:before="48" w:beforeLines="20" w:line="288" w:lineRule="auto"/>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防范措施</w:t>
            </w:r>
          </w:p>
        </w:tc>
        <w:tc>
          <w:tcPr>
            <w:tcW w:w="7879" w:type="dxa"/>
            <w:gridSpan w:val="4"/>
            <w:vAlign w:val="center"/>
          </w:tcPr>
          <w:p w14:paraId="1D159D9B">
            <w:pPr>
              <w:widowControl/>
              <w:spacing w:before="48" w:beforeLines="2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①根据生产计划，合理采购和储存生物质燃料，尽量减少厂内储存量。</w:t>
            </w:r>
          </w:p>
          <w:p w14:paraId="2017119D">
            <w:pPr>
              <w:widowControl/>
              <w:spacing w:before="48" w:beforeLines="2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②仓库内应保持低温和通风，严禁明火，定期巡视仓库。</w:t>
            </w:r>
          </w:p>
          <w:p w14:paraId="283AF873">
            <w:pPr>
              <w:widowControl/>
              <w:spacing w:before="48" w:beforeLines="2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③加强消防安全管理，设置防火安全设备</w:t>
            </w:r>
            <w:r>
              <w:rPr>
                <w:rStyle w:val="64"/>
                <w:color w:val="000000" w:themeColor="text1"/>
                <w:sz w:val="24"/>
                <w14:textFill>
                  <w14:solidFill>
                    <w14:schemeClr w14:val="tx1"/>
                  </w14:solidFill>
                </w14:textFill>
              </w:rPr>
              <w:t>、消防设施、事故照明设施，加强固体废物储存管理，</w:t>
            </w:r>
            <w:r>
              <w:rPr>
                <w:color w:val="000000" w:themeColor="text1"/>
                <w:sz w:val="24"/>
                <w14:textFill>
                  <w14:solidFill>
                    <w14:schemeClr w14:val="tx1"/>
                  </w14:solidFill>
                </w14:textFill>
              </w:rPr>
              <w:t>在完善项目环境、安全管理的前提下，确保正常操作、合理生产</w:t>
            </w:r>
            <w:r>
              <w:rPr>
                <w:rStyle w:val="64"/>
                <w:color w:val="000000" w:themeColor="text1"/>
                <w:sz w:val="24"/>
                <w14:textFill>
                  <w14:solidFill>
                    <w14:schemeClr w14:val="tx1"/>
                  </w14:solidFill>
                </w14:textFill>
              </w:rPr>
              <w:t>，对环境风险较小</w:t>
            </w:r>
            <w:r>
              <w:rPr>
                <w:color w:val="000000" w:themeColor="text1"/>
                <w:sz w:val="24"/>
                <w14:textFill>
                  <w14:solidFill>
                    <w14:schemeClr w14:val="tx1"/>
                  </w14:solidFill>
                </w14:textFill>
              </w:rPr>
              <w:t>。</w:t>
            </w:r>
          </w:p>
          <w:p w14:paraId="32172899">
            <w:pPr>
              <w:widowControl/>
              <w:spacing w:before="48" w:beforeLines="20" w:line="360" w:lineRule="auto"/>
              <w:ind w:firstLine="480" w:firstLineChars="200"/>
              <w:rPr>
                <w:color w:val="000000" w:themeColor="text1"/>
                <w14:textFill>
                  <w14:solidFill>
                    <w14:schemeClr w14:val="tx1"/>
                  </w14:solidFill>
                </w14:textFill>
              </w:rPr>
            </w:pPr>
            <w:r>
              <w:rPr>
                <w:color w:val="000000" w:themeColor="text1"/>
                <w:sz w:val="24"/>
                <w14:textFill>
                  <w14:solidFill>
                    <w14:schemeClr w14:val="tx1"/>
                  </w14:solidFill>
                </w14:textFill>
              </w:rPr>
              <w:t>④制定灭火及应急疏散方案，制定岗位防火责任制及安全操作规程，定期检查执行情况。</w:t>
            </w:r>
          </w:p>
        </w:tc>
      </w:tr>
      <w:tr w14:paraId="7F205FA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409" w:type="dxa"/>
            <w:vAlign w:val="center"/>
          </w:tcPr>
          <w:p w14:paraId="12017562">
            <w:pPr>
              <w:adjustRightInd w:val="0"/>
              <w:snapToGrid w:val="0"/>
              <w:spacing w:before="48" w:beforeLines="20" w:line="288" w:lineRule="auto"/>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其他环境</w:t>
            </w:r>
          </w:p>
          <w:p w14:paraId="2C2D0036">
            <w:pPr>
              <w:adjustRightInd w:val="0"/>
              <w:snapToGrid w:val="0"/>
              <w:spacing w:before="48" w:beforeLines="20" w:line="288" w:lineRule="auto"/>
              <w:jc w:val="center"/>
              <w:rPr>
                <w:color w:val="000000" w:themeColor="text1"/>
                <w:spacing w:val="-8"/>
                <w:sz w:val="24"/>
                <w14:textFill>
                  <w14:solidFill>
                    <w14:schemeClr w14:val="tx1"/>
                  </w14:solidFill>
                </w14:textFill>
              </w:rPr>
            </w:pPr>
            <w:r>
              <w:rPr>
                <w:color w:val="000000" w:themeColor="text1"/>
                <w:spacing w:val="-8"/>
                <w:sz w:val="24"/>
                <w14:textFill>
                  <w14:solidFill>
                    <w14:schemeClr w14:val="tx1"/>
                  </w14:solidFill>
                </w14:textFill>
              </w:rPr>
              <w:t>管理要求</w:t>
            </w:r>
          </w:p>
        </w:tc>
        <w:tc>
          <w:tcPr>
            <w:tcW w:w="7879" w:type="dxa"/>
            <w:gridSpan w:val="4"/>
            <w:vAlign w:val="center"/>
          </w:tcPr>
          <w:p w14:paraId="170D1A71">
            <w:pPr>
              <w:pStyle w:val="85"/>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企业在生产管理中制定的主要环境管理内容和实行的环境管理情况如下：</w:t>
            </w:r>
          </w:p>
          <w:p w14:paraId="49A0130B">
            <w:pPr>
              <w:pStyle w:val="85"/>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①组织学习和贯彻执行国家及地方的环保方针、政策、法令、条例，进行环境保护教育，提高职工的环境保护意识。</w:t>
            </w:r>
          </w:p>
          <w:p w14:paraId="4166B9D1">
            <w:pPr>
              <w:pStyle w:val="85"/>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②编制并实施企业环境保护工作的长期规划及年度污染控制计划。</w:t>
            </w:r>
          </w:p>
          <w:p w14:paraId="3D5AA702">
            <w:pPr>
              <w:pStyle w:val="85"/>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③建立环境管理岗位制度，制定操作规程，专人负责环保设施的运行管理、排污监督和考核，固体废物的收集、贮存，事故应急措施等内容，建立管理台账档案。</w:t>
            </w:r>
          </w:p>
          <w:p w14:paraId="7036FA4F">
            <w:pPr>
              <w:pStyle w:val="85"/>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④负责委托进行项目环境影响评价、竣工验收及上报相关报告，落实并监督环保设施的“三同时”，并在生产过程中检查环保装置的运行和日常维护情况。</w:t>
            </w:r>
          </w:p>
          <w:p w14:paraId="179F4DB0">
            <w:pPr>
              <w:pStyle w:val="85"/>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⑤进行企业内部排污口和环保设施的日常管理和对相关岗位监督考核。</w:t>
            </w:r>
          </w:p>
          <w:p w14:paraId="34F8F16F">
            <w:pPr>
              <w:pStyle w:val="85"/>
              <w:ind w:firstLine="480"/>
              <w:rPr>
                <w:color w:val="000000" w:themeColor="text1"/>
                <w:szCs w:val="24"/>
                <w14:textFill>
                  <w14:solidFill>
                    <w14:schemeClr w14:val="tx1"/>
                  </w14:solidFill>
                </w14:textFill>
              </w:rPr>
            </w:pPr>
            <w:r>
              <w:rPr>
                <w:color w:val="000000" w:themeColor="text1"/>
                <w:szCs w:val="24"/>
                <w14:textFill>
                  <w14:solidFill>
                    <w14:schemeClr w14:val="tx1"/>
                  </w14:solidFill>
                </w14:textFill>
              </w:rPr>
              <w:t>⑥</w:t>
            </w:r>
            <w:r>
              <w:rPr>
                <w:color w:val="000000" w:themeColor="text1"/>
                <w:szCs w:val="24"/>
                <w:lang w:val="en-US"/>
                <w14:textFill>
                  <w14:solidFill>
                    <w14:schemeClr w14:val="tx1"/>
                  </w14:solidFill>
                </w14:textFill>
              </w:rPr>
              <w:t>及时申请排污许可证</w:t>
            </w:r>
            <w:r>
              <w:rPr>
                <w:color w:val="000000" w:themeColor="text1"/>
                <w:szCs w:val="24"/>
                <w14:textFill>
                  <w14:solidFill>
                    <w14:schemeClr w14:val="tx1"/>
                  </w14:solidFill>
                </w14:textFill>
              </w:rPr>
              <w:t>。</w:t>
            </w:r>
          </w:p>
          <w:p w14:paraId="66866DBB">
            <w:pPr>
              <w:pStyle w:val="85"/>
              <w:ind w:firstLine="480"/>
              <w:rPr>
                <w:color w:val="000000" w:themeColor="text1"/>
                <w:szCs w:val="24"/>
                <w:lang w:val="en-US"/>
                <w14:textFill>
                  <w14:solidFill>
                    <w14:schemeClr w14:val="tx1"/>
                  </w14:solidFill>
                </w14:textFill>
              </w:rPr>
            </w:pPr>
            <w:r>
              <w:rPr>
                <w:color w:val="000000" w:themeColor="text1"/>
                <w:szCs w:val="24"/>
                <w:lang w:val="en-US"/>
                <w14:textFill>
                  <w14:solidFill>
                    <w14:schemeClr w14:val="tx1"/>
                  </w14:solidFill>
                </w14:textFill>
              </w:rPr>
              <w:t>⑦按照《排污单位污染物排放口监测点位设置技术规范》HJ1405-2024要求，排气筒应设置采样平台，工作平台长度应≥2m，监测断面直径（圆形）或者在监测孔方向的长度（矩形）≤1m的平台宽度应≥1.5.m。在手工监测断面处设置手工监测孔，其内径应满足相关污染物和排气参数的监测需要，一般应≥80mm。工作平台与坠落高度基准面之间距离超过0.5 m且不足2m时，应设置固定式钢梯到达工作平台，工作平台与坠落高度基准面之间距离不小于2m时，应安装钢斜梯、转梯到达监测平台，不得仅设置钢直梯。</w:t>
            </w:r>
          </w:p>
          <w:p w14:paraId="5B46C8D6">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⑧按照监测计划定期对响应污染物进行监测。</w:t>
            </w:r>
          </w:p>
          <w:p w14:paraId="518007B2">
            <w:pPr>
              <w:pStyle w:val="23"/>
              <w:rPr>
                <w:color w:val="000000" w:themeColor="text1"/>
                <w:sz w:val="24"/>
                <w:szCs w:val="24"/>
                <w14:textFill>
                  <w14:solidFill>
                    <w14:schemeClr w14:val="tx1"/>
                  </w14:solidFill>
                </w14:textFill>
              </w:rPr>
            </w:pPr>
          </w:p>
          <w:p w14:paraId="2642A3CF">
            <w:pPr>
              <w:rPr>
                <w:color w:val="000000" w:themeColor="text1"/>
                <w:sz w:val="24"/>
                <w14:textFill>
                  <w14:solidFill>
                    <w14:schemeClr w14:val="tx1"/>
                  </w14:solidFill>
                </w14:textFill>
              </w:rPr>
            </w:pPr>
          </w:p>
          <w:p w14:paraId="79BA8BF8">
            <w:pPr>
              <w:pStyle w:val="23"/>
              <w:rPr>
                <w:color w:val="000000" w:themeColor="text1"/>
                <w:sz w:val="24"/>
                <w:szCs w:val="24"/>
                <w14:textFill>
                  <w14:solidFill>
                    <w14:schemeClr w14:val="tx1"/>
                  </w14:solidFill>
                </w14:textFill>
              </w:rPr>
            </w:pPr>
          </w:p>
          <w:p w14:paraId="24C271BB">
            <w:pPr>
              <w:rPr>
                <w:color w:val="000000" w:themeColor="text1"/>
                <w:sz w:val="24"/>
                <w14:textFill>
                  <w14:solidFill>
                    <w14:schemeClr w14:val="tx1"/>
                  </w14:solidFill>
                </w14:textFill>
              </w:rPr>
            </w:pPr>
          </w:p>
          <w:p w14:paraId="77E54990">
            <w:pPr>
              <w:pStyle w:val="23"/>
              <w:rPr>
                <w:color w:val="000000" w:themeColor="text1"/>
                <w:sz w:val="24"/>
                <w:szCs w:val="24"/>
                <w14:textFill>
                  <w14:solidFill>
                    <w14:schemeClr w14:val="tx1"/>
                  </w14:solidFill>
                </w14:textFill>
              </w:rPr>
            </w:pPr>
          </w:p>
          <w:p w14:paraId="1FF44092">
            <w:pPr>
              <w:pStyle w:val="23"/>
              <w:rPr>
                <w:color w:val="000000" w:themeColor="text1"/>
                <w14:textFill>
                  <w14:solidFill>
                    <w14:schemeClr w14:val="tx1"/>
                  </w14:solidFill>
                </w14:textFill>
              </w:rPr>
            </w:pPr>
          </w:p>
        </w:tc>
      </w:tr>
    </w:tbl>
    <w:p w14:paraId="40662B65">
      <w:pPr>
        <w:pStyle w:val="27"/>
        <w:spacing w:before="0" w:beforeAutospacing="0" w:after="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snapToGrid w:val="0"/>
          <w:color w:val="000000" w:themeColor="text1"/>
          <w14:textFill>
            <w14:solidFill>
              <w14:schemeClr w14:val="tx1"/>
            </w14:solidFill>
          </w14:textFill>
        </w:rPr>
        <w:br w:type="page"/>
      </w:r>
      <w:r>
        <w:rPr>
          <w:rFonts w:ascii="Times New Roman" w:hAnsi="Times New Roman" w:eastAsia="黑体"/>
          <w:snapToGrid w:val="0"/>
          <w:color w:val="000000" w:themeColor="text1"/>
          <w:sz w:val="30"/>
          <w:szCs w:val="30"/>
          <w14:textFill>
            <w14:solidFill>
              <w14:schemeClr w14:val="tx1"/>
            </w14:solidFill>
          </w14:textFill>
        </w:rPr>
        <w:t>六、结论</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288"/>
      </w:tblGrid>
      <w:tr w14:paraId="12AC729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1991" w:hRule="atLeast"/>
          <w:jc w:val="center"/>
        </w:trPr>
        <w:tc>
          <w:tcPr>
            <w:tcW w:w="9288" w:type="dxa"/>
          </w:tcPr>
          <w:p w14:paraId="6B61BA5B">
            <w:pPr>
              <w:pStyle w:val="7"/>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本项目建设符合国家相关产业政策，选址合理。项目投产后废气、废水、噪声、固体废物通过采取污染防治措施可得到有效处置，污染物满足达标排放要求，对周围环境影响较小，不会改变区域环境质量现状。</w:t>
            </w:r>
          </w:p>
          <w:p w14:paraId="1E077904">
            <w:pPr>
              <w:pStyle w:val="7"/>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本项目存在未批先建行为，本次环评对其补充环保手续，建设单位在项目投产前完成整改要求，方可满足环保审批要求。</w:t>
            </w:r>
            <w:r>
              <w:rPr>
                <w:color w:val="000000" w:themeColor="text1"/>
                <w:kern w:val="0"/>
                <w:sz w:val="24"/>
                <w:lang w:bidi="ar"/>
                <w14:textFill>
                  <w14:solidFill>
                    <w14:schemeClr w14:val="tx1"/>
                  </w14:solidFill>
                </w14:textFill>
              </w:rPr>
              <w:t>在此基础上，在认真落实相关环保和风险防范措施的基础上，</w:t>
            </w:r>
            <w:r>
              <w:rPr>
                <w:color w:val="000000" w:themeColor="text1"/>
                <w:sz w:val="24"/>
                <w14:textFill>
                  <w14:solidFill>
                    <w14:schemeClr w14:val="tx1"/>
                  </w14:solidFill>
                </w14:textFill>
              </w:rPr>
              <w:t>从环保角度分析，项目建设可行。</w:t>
            </w:r>
          </w:p>
          <w:p w14:paraId="4832FAC8">
            <w:pPr>
              <w:widowControl/>
              <w:spacing w:line="360" w:lineRule="auto"/>
              <w:ind w:firstLine="480" w:firstLineChars="200"/>
              <w:rPr>
                <w:color w:val="000000" w:themeColor="text1"/>
                <w:kern w:val="0"/>
                <w:sz w:val="24"/>
                <w:lang w:bidi="ar"/>
                <w14:textFill>
                  <w14:solidFill>
                    <w14:schemeClr w14:val="tx1"/>
                  </w14:solidFill>
                </w14:textFill>
              </w:rPr>
            </w:pPr>
          </w:p>
          <w:p w14:paraId="0FC78E6B">
            <w:pPr>
              <w:widowControl/>
              <w:spacing w:line="360" w:lineRule="auto"/>
              <w:ind w:firstLine="480" w:firstLineChars="200"/>
              <w:rPr>
                <w:color w:val="000000" w:themeColor="text1"/>
                <w:kern w:val="0"/>
                <w:sz w:val="24"/>
                <w:lang w:bidi="ar"/>
                <w14:textFill>
                  <w14:solidFill>
                    <w14:schemeClr w14:val="tx1"/>
                  </w14:solidFill>
                </w14:textFill>
              </w:rPr>
            </w:pPr>
          </w:p>
          <w:p w14:paraId="10E79A30">
            <w:pPr>
              <w:widowControl/>
              <w:spacing w:line="360" w:lineRule="auto"/>
              <w:ind w:firstLine="480" w:firstLineChars="200"/>
              <w:rPr>
                <w:color w:val="000000" w:themeColor="text1"/>
                <w:kern w:val="0"/>
                <w:sz w:val="24"/>
                <w:lang w:bidi="ar"/>
                <w14:textFill>
                  <w14:solidFill>
                    <w14:schemeClr w14:val="tx1"/>
                  </w14:solidFill>
                </w14:textFill>
              </w:rPr>
            </w:pPr>
          </w:p>
          <w:p w14:paraId="716D2B73">
            <w:pPr>
              <w:widowControl/>
              <w:spacing w:line="360" w:lineRule="auto"/>
              <w:ind w:firstLine="480" w:firstLineChars="200"/>
              <w:rPr>
                <w:color w:val="000000" w:themeColor="text1"/>
                <w:kern w:val="0"/>
                <w:sz w:val="24"/>
                <w:lang w:bidi="ar"/>
                <w14:textFill>
                  <w14:solidFill>
                    <w14:schemeClr w14:val="tx1"/>
                  </w14:solidFill>
                </w14:textFill>
              </w:rPr>
            </w:pPr>
          </w:p>
          <w:p w14:paraId="76C3A6A7">
            <w:pPr>
              <w:widowControl/>
              <w:spacing w:line="360" w:lineRule="auto"/>
              <w:ind w:firstLine="480" w:firstLineChars="200"/>
              <w:rPr>
                <w:color w:val="000000" w:themeColor="text1"/>
                <w:kern w:val="0"/>
                <w:sz w:val="24"/>
                <w:lang w:bidi="ar"/>
                <w14:textFill>
                  <w14:solidFill>
                    <w14:schemeClr w14:val="tx1"/>
                  </w14:solidFill>
                </w14:textFill>
              </w:rPr>
            </w:pPr>
          </w:p>
          <w:p w14:paraId="4D44705D">
            <w:pPr>
              <w:widowControl/>
              <w:spacing w:line="360" w:lineRule="auto"/>
              <w:ind w:firstLine="480" w:firstLineChars="200"/>
              <w:rPr>
                <w:color w:val="000000" w:themeColor="text1"/>
                <w:kern w:val="0"/>
                <w:sz w:val="24"/>
                <w:lang w:bidi="ar"/>
                <w14:textFill>
                  <w14:solidFill>
                    <w14:schemeClr w14:val="tx1"/>
                  </w14:solidFill>
                </w14:textFill>
              </w:rPr>
            </w:pPr>
          </w:p>
          <w:p w14:paraId="3CF70FFE">
            <w:pPr>
              <w:widowControl/>
              <w:spacing w:line="360" w:lineRule="auto"/>
              <w:ind w:firstLine="480" w:firstLineChars="200"/>
              <w:rPr>
                <w:color w:val="000000" w:themeColor="text1"/>
                <w:kern w:val="0"/>
                <w:sz w:val="24"/>
                <w:lang w:bidi="ar"/>
                <w14:textFill>
                  <w14:solidFill>
                    <w14:schemeClr w14:val="tx1"/>
                  </w14:solidFill>
                </w14:textFill>
              </w:rPr>
            </w:pPr>
          </w:p>
          <w:p w14:paraId="036A8FE0">
            <w:pPr>
              <w:widowControl/>
              <w:spacing w:line="360" w:lineRule="auto"/>
              <w:ind w:firstLine="480" w:firstLineChars="200"/>
              <w:rPr>
                <w:color w:val="000000" w:themeColor="text1"/>
                <w:kern w:val="0"/>
                <w:sz w:val="24"/>
                <w:lang w:bidi="ar"/>
                <w14:textFill>
                  <w14:solidFill>
                    <w14:schemeClr w14:val="tx1"/>
                  </w14:solidFill>
                </w14:textFill>
              </w:rPr>
            </w:pPr>
          </w:p>
          <w:p w14:paraId="63D7EC66">
            <w:pPr>
              <w:widowControl/>
              <w:spacing w:line="360" w:lineRule="auto"/>
              <w:ind w:firstLine="480" w:firstLineChars="200"/>
              <w:rPr>
                <w:color w:val="000000" w:themeColor="text1"/>
                <w:kern w:val="0"/>
                <w:sz w:val="24"/>
                <w:lang w:bidi="ar"/>
                <w14:textFill>
                  <w14:solidFill>
                    <w14:schemeClr w14:val="tx1"/>
                  </w14:solidFill>
                </w14:textFill>
              </w:rPr>
            </w:pPr>
          </w:p>
          <w:p w14:paraId="47383F34">
            <w:pPr>
              <w:widowControl/>
              <w:spacing w:line="360" w:lineRule="auto"/>
              <w:ind w:firstLine="480" w:firstLineChars="200"/>
              <w:rPr>
                <w:color w:val="000000" w:themeColor="text1"/>
                <w:kern w:val="0"/>
                <w:sz w:val="24"/>
                <w:lang w:bidi="ar"/>
                <w14:textFill>
                  <w14:solidFill>
                    <w14:schemeClr w14:val="tx1"/>
                  </w14:solidFill>
                </w14:textFill>
              </w:rPr>
            </w:pPr>
          </w:p>
          <w:p w14:paraId="3ADA7C9C">
            <w:pPr>
              <w:widowControl/>
              <w:spacing w:line="360" w:lineRule="auto"/>
              <w:ind w:firstLine="480" w:firstLineChars="200"/>
              <w:rPr>
                <w:color w:val="000000" w:themeColor="text1"/>
                <w:kern w:val="0"/>
                <w:sz w:val="24"/>
                <w:lang w:bidi="ar"/>
                <w14:textFill>
                  <w14:solidFill>
                    <w14:schemeClr w14:val="tx1"/>
                  </w14:solidFill>
                </w14:textFill>
              </w:rPr>
            </w:pPr>
          </w:p>
          <w:p w14:paraId="6C547491">
            <w:pPr>
              <w:widowControl/>
              <w:spacing w:line="360" w:lineRule="auto"/>
              <w:ind w:firstLine="480" w:firstLineChars="200"/>
              <w:rPr>
                <w:color w:val="000000" w:themeColor="text1"/>
                <w:kern w:val="0"/>
                <w:sz w:val="24"/>
                <w:lang w:bidi="ar"/>
                <w14:textFill>
                  <w14:solidFill>
                    <w14:schemeClr w14:val="tx1"/>
                  </w14:solidFill>
                </w14:textFill>
              </w:rPr>
            </w:pPr>
          </w:p>
          <w:p w14:paraId="57C52F47">
            <w:pPr>
              <w:widowControl/>
              <w:spacing w:line="360" w:lineRule="auto"/>
              <w:ind w:firstLine="480" w:firstLineChars="200"/>
              <w:rPr>
                <w:color w:val="000000" w:themeColor="text1"/>
                <w:kern w:val="0"/>
                <w:sz w:val="24"/>
                <w:lang w:bidi="ar"/>
                <w14:textFill>
                  <w14:solidFill>
                    <w14:schemeClr w14:val="tx1"/>
                  </w14:solidFill>
                </w14:textFill>
              </w:rPr>
            </w:pPr>
          </w:p>
          <w:p w14:paraId="71CD49D1">
            <w:pPr>
              <w:widowControl/>
              <w:spacing w:line="360" w:lineRule="auto"/>
              <w:ind w:firstLine="480" w:firstLineChars="200"/>
              <w:rPr>
                <w:color w:val="000000" w:themeColor="text1"/>
                <w:kern w:val="0"/>
                <w:sz w:val="24"/>
                <w:lang w:bidi="ar"/>
                <w14:textFill>
                  <w14:solidFill>
                    <w14:schemeClr w14:val="tx1"/>
                  </w14:solidFill>
                </w14:textFill>
              </w:rPr>
            </w:pPr>
          </w:p>
          <w:p w14:paraId="55D9504C">
            <w:pPr>
              <w:widowControl/>
              <w:spacing w:line="360" w:lineRule="auto"/>
              <w:ind w:firstLine="480" w:firstLineChars="200"/>
              <w:rPr>
                <w:color w:val="000000" w:themeColor="text1"/>
                <w:kern w:val="0"/>
                <w:sz w:val="24"/>
                <w:lang w:bidi="ar"/>
                <w14:textFill>
                  <w14:solidFill>
                    <w14:schemeClr w14:val="tx1"/>
                  </w14:solidFill>
                </w14:textFill>
              </w:rPr>
            </w:pPr>
          </w:p>
          <w:p w14:paraId="192069A0">
            <w:pPr>
              <w:widowControl/>
              <w:spacing w:line="360" w:lineRule="auto"/>
              <w:ind w:firstLine="480" w:firstLineChars="200"/>
              <w:rPr>
                <w:color w:val="000000" w:themeColor="text1"/>
                <w:kern w:val="0"/>
                <w:sz w:val="24"/>
                <w:lang w:bidi="ar"/>
                <w14:textFill>
                  <w14:solidFill>
                    <w14:schemeClr w14:val="tx1"/>
                  </w14:solidFill>
                </w14:textFill>
              </w:rPr>
            </w:pPr>
          </w:p>
          <w:p w14:paraId="4248B9FC">
            <w:pPr>
              <w:widowControl/>
              <w:spacing w:line="360" w:lineRule="auto"/>
              <w:ind w:firstLine="480" w:firstLineChars="200"/>
              <w:rPr>
                <w:color w:val="000000" w:themeColor="text1"/>
                <w:kern w:val="0"/>
                <w:sz w:val="24"/>
                <w:lang w:bidi="ar"/>
                <w14:textFill>
                  <w14:solidFill>
                    <w14:schemeClr w14:val="tx1"/>
                  </w14:solidFill>
                </w14:textFill>
              </w:rPr>
            </w:pPr>
          </w:p>
          <w:p w14:paraId="135F3A90">
            <w:pPr>
              <w:widowControl/>
              <w:spacing w:line="360" w:lineRule="auto"/>
              <w:ind w:firstLine="480" w:firstLineChars="200"/>
              <w:rPr>
                <w:color w:val="000000" w:themeColor="text1"/>
                <w:kern w:val="0"/>
                <w:sz w:val="24"/>
                <w:lang w:bidi="ar"/>
                <w14:textFill>
                  <w14:solidFill>
                    <w14:schemeClr w14:val="tx1"/>
                  </w14:solidFill>
                </w14:textFill>
              </w:rPr>
            </w:pPr>
          </w:p>
          <w:p w14:paraId="72C848B8">
            <w:pPr>
              <w:widowControl/>
              <w:spacing w:line="360" w:lineRule="auto"/>
              <w:ind w:firstLine="480" w:firstLineChars="200"/>
              <w:rPr>
                <w:color w:val="000000" w:themeColor="text1"/>
                <w:kern w:val="0"/>
                <w:sz w:val="24"/>
                <w:lang w:bidi="ar"/>
                <w14:textFill>
                  <w14:solidFill>
                    <w14:schemeClr w14:val="tx1"/>
                  </w14:solidFill>
                </w14:textFill>
              </w:rPr>
            </w:pPr>
          </w:p>
          <w:p w14:paraId="298C3009">
            <w:pPr>
              <w:widowControl/>
              <w:spacing w:line="360" w:lineRule="auto"/>
              <w:ind w:firstLine="480" w:firstLineChars="200"/>
              <w:rPr>
                <w:color w:val="000000" w:themeColor="text1"/>
                <w:kern w:val="0"/>
                <w:sz w:val="24"/>
                <w:lang w:bidi="ar"/>
                <w14:textFill>
                  <w14:solidFill>
                    <w14:schemeClr w14:val="tx1"/>
                  </w14:solidFill>
                </w14:textFill>
              </w:rPr>
            </w:pPr>
          </w:p>
          <w:p w14:paraId="4B13109A">
            <w:pPr>
              <w:widowControl/>
              <w:spacing w:line="360" w:lineRule="auto"/>
              <w:ind w:firstLine="480" w:firstLineChars="200"/>
              <w:rPr>
                <w:color w:val="000000" w:themeColor="text1"/>
                <w:kern w:val="0"/>
                <w:sz w:val="24"/>
                <w:lang w:bidi="ar"/>
                <w14:textFill>
                  <w14:solidFill>
                    <w14:schemeClr w14:val="tx1"/>
                  </w14:solidFill>
                </w14:textFill>
              </w:rPr>
            </w:pPr>
          </w:p>
          <w:p w14:paraId="35AFA7AF">
            <w:pPr>
              <w:widowControl/>
              <w:spacing w:line="360" w:lineRule="auto"/>
              <w:ind w:firstLine="480" w:firstLineChars="200"/>
              <w:rPr>
                <w:color w:val="000000" w:themeColor="text1"/>
                <w:kern w:val="0"/>
                <w:sz w:val="24"/>
                <w:lang w:bidi="ar"/>
                <w14:textFill>
                  <w14:solidFill>
                    <w14:schemeClr w14:val="tx1"/>
                  </w14:solidFill>
                </w14:textFill>
              </w:rPr>
            </w:pPr>
          </w:p>
          <w:p w14:paraId="40EC469F">
            <w:pPr>
              <w:widowControl/>
              <w:spacing w:line="360" w:lineRule="auto"/>
              <w:ind w:firstLine="480" w:firstLineChars="200"/>
              <w:rPr>
                <w:color w:val="000000" w:themeColor="text1"/>
                <w:kern w:val="0"/>
                <w:sz w:val="24"/>
                <w:lang w:bidi="ar"/>
                <w14:textFill>
                  <w14:solidFill>
                    <w14:schemeClr w14:val="tx1"/>
                  </w14:solidFill>
                </w14:textFill>
              </w:rPr>
            </w:pPr>
          </w:p>
          <w:p w14:paraId="5E52016B">
            <w:pPr>
              <w:widowControl/>
              <w:spacing w:line="360" w:lineRule="auto"/>
              <w:ind w:firstLine="480" w:firstLineChars="200"/>
              <w:rPr>
                <w:color w:val="000000" w:themeColor="text1"/>
                <w:kern w:val="0"/>
                <w:sz w:val="24"/>
                <w:lang w:bidi="ar"/>
                <w14:textFill>
                  <w14:solidFill>
                    <w14:schemeClr w14:val="tx1"/>
                  </w14:solidFill>
                </w14:textFill>
              </w:rPr>
            </w:pPr>
          </w:p>
          <w:p w14:paraId="73656FA1">
            <w:pPr>
              <w:spacing w:line="360" w:lineRule="auto"/>
              <w:rPr>
                <w:color w:val="000000" w:themeColor="text1"/>
                <w:sz w:val="24"/>
                <w14:textFill>
                  <w14:solidFill>
                    <w14:schemeClr w14:val="tx1"/>
                  </w14:solidFill>
                </w14:textFill>
              </w:rPr>
            </w:pPr>
          </w:p>
        </w:tc>
      </w:tr>
    </w:tbl>
    <w:p w14:paraId="668691CD">
      <w:pPr>
        <w:rPr>
          <w:color w:val="000000" w:themeColor="text1"/>
          <w14:textFill>
            <w14:solidFill>
              <w14:schemeClr w14:val="tx1"/>
            </w14:solidFill>
          </w14:textFill>
        </w:rPr>
        <w:sectPr>
          <w:pgSz w:w="11906" w:h="16838"/>
          <w:pgMar w:top="1417" w:right="1417" w:bottom="1417" w:left="1417" w:header="851" w:footer="851" w:gutter="0"/>
          <w:cols w:space="720" w:num="1"/>
          <w:docGrid w:linePitch="312" w:charSpace="0"/>
        </w:sectPr>
      </w:pPr>
    </w:p>
    <w:p w14:paraId="4235282C">
      <w:pPr>
        <w:pStyle w:val="27"/>
        <w:adjustRightInd w:val="0"/>
        <w:snapToGrid w:val="0"/>
        <w:spacing w:before="0" w:beforeAutospacing="0" w:after="0" w:afterAutospacing="0"/>
        <w:outlineLvl w:val="0"/>
        <w:rPr>
          <w:rFonts w:ascii="Times New Roman" w:hAnsi="Times New Roman" w:eastAsia="黑体"/>
          <w:snapToGrid w:val="0"/>
          <w:color w:val="000000" w:themeColor="text1"/>
          <w:sz w:val="32"/>
          <w:szCs w:val="32"/>
          <w14:textFill>
            <w14:solidFill>
              <w14:schemeClr w14:val="tx1"/>
            </w14:solidFill>
          </w14:textFill>
        </w:rPr>
      </w:pPr>
      <w:r>
        <w:rPr>
          <w:rFonts w:ascii="Times New Roman" w:hAnsi="Times New Roman" w:eastAsia="黑体"/>
          <w:snapToGrid w:val="0"/>
          <w:color w:val="000000" w:themeColor="text1"/>
          <w:sz w:val="32"/>
          <w:szCs w:val="32"/>
          <w14:textFill>
            <w14:solidFill>
              <w14:schemeClr w14:val="tx1"/>
            </w14:solidFill>
          </w14:textFill>
        </w:rPr>
        <w:t>附表</w:t>
      </w:r>
    </w:p>
    <w:p w14:paraId="28747D6B">
      <w:pPr>
        <w:pStyle w:val="27"/>
        <w:adjustRightInd w:val="0"/>
        <w:snapToGrid w:val="0"/>
        <w:spacing w:before="0" w:beforeAutospacing="0" w:after="0" w:afterAutospacing="0"/>
        <w:jc w:val="center"/>
        <w:outlineLvl w:val="0"/>
        <w:rPr>
          <w:rFonts w:ascii="Times New Roman" w:hAnsi="Times New Roman" w:eastAsia="方正小标宋_GBK"/>
          <w:snapToGrid w:val="0"/>
          <w:color w:val="000000" w:themeColor="text1"/>
          <w:sz w:val="28"/>
          <w:szCs w:val="28"/>
          <w14:textFill>
            <w14:solidFill>
              <w14:schemeClr w14:val="tx1"/>
            </w14:solidFill>
          </w14:textFill>
        </w:rPr>
      </w:pPr>
      <w:r>
        <w:rPr>
          <w:rFonts w:ascii="Times New Roman" w:hAnsi="Times New Roman" w:eastAsia="方正小标宋_GBK"/>
          <w:snapToGrid w:val="0"/>
          <w:color w:val="000000" w:themeColor="text1"/>
          <w:sz w:val="28"/>
          <w:szCs w:val="28"/>
          <w14:textFill>
            <w14:solidFill>
              <w14:schemeClr w14:val="tx1"/>
            </w14:solidFill>
          </w14:textFill>
        </w:rPr>
        <w:t>建设项目污染物排放量汇总表t/a</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83"/>
        <w:gridCol w:w="754"/>
        <w:gridCol w:w="1454"/>
        <w:gridCol w:w="1453"/>
        <w:gridCol w:w="1454"/>
        <w:gridCol w:w="1453"/>
        <w:gridCol w:w="1454"/>
        <w:gridCol w:w="1453"/>
        <w:gridCol w:w="1456"/>
      </w:tblGrid>
      <w:tr w14:paraId="02EAD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tcBorders>
              <w:tl2br w:val="single" w:color="auto" w:sz="4" w:space="0"/>
            </w:tcBorders>
            <w:tcMar>
              <w:left w:w="28" w:type="dxa"/>
              <w:right w:w="28" w:type="dxa"/>
            </w:tcMar>
            <w:vAlign w:val="center"/>
          </w:tcPr>
          <w:p w14:paraId="54020ED4">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 xml:space="preserve">    项目</w:t>
            </w:r>
          </w:p>
          <w:p w14:paraId="71C5B3F5">
            <w:pPr>
              <w:pStyle w:val="77"/>
              <w:spacing w:beforeLines="0" w:afterLines="0" w:line="240" w:lineRule="auto"/>
              <w:ind w:firstLine="198" w:firstLineChars="10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分类</w:t>
            </w:r>
          </w:p>
        </w:tc>
        <w:tc>
          <w:tcPr>
            <w:tcW w:w="1483" w:type="dxa"/>
            <w:tcMar>
              <w:left w:w="28" w:type="dxa"/>
              <w:right w:w="28" w:type="dxa"/>
            </w:tcMar>
            <w:vAlign w:val="center"/>
          </w:tcPr>
          <w:p w14:paraId="0491F0AB">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污染物名称</w:t>
            </w:r>
          </w:p>
        </w:tc>
        <w:tc>
          <w:tcPr>
            <w:tcW w:w="754" w:type="dxa"/>
            <w:tcMar>
              <w:left w:w="28" w:type="dxa"/>
              <w:right w:w="28" w:type="dxa"/>
            </w:tcMar>
            <w:vAlign w:val="center"/>
          </w:tcPr>
          <w:p w14:paraId="6906B349">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单位</w:t>
            </w:r>
          </w:p>
        </w:tc>
        <w:tc>
          <w:tcPr>
            <w:tcW w:w="1454" w:type="dxa"/>
            <w:tcMar>
              <w:left w:w="28" w:type="dxa"/>
              <w:right w:w="28" w:type="dxa"/>
            </w:tcMar>
            <w:vAlign w:val="center"/>
          </w:tcPr>
          <w:p w14:paraId="3800A5C8">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现有工程</w:t>
            </w:r>
          </w:p>
          <w:p w14:paraId="1524B8C4">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排放量（固体废物产生量）</w:t>
            </w: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1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①</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453" w:type="dxa"/>
            <w:tcMar>
              <w:left w:w="28" w:type="dxa"/>
              <w:right w:w="28" w:type="dxa"/>
            </w:tcMar>
            <w:vAlign w:val="center"/>
          </w:tcPr>
          <w:p w14:paraId="1C4A5CC5">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现有工程</w:t>
            </w:r>
          </w:p>
          <w:p w14:paraId="34988583">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许可排放量</w:t>
            </w:r>
          </w:p>
          <w:p w14:paraId="2B4B69E3">
            <w:pPr>
              <w:pStyle w:val="77"/>
              <w:spacing w:beforeLines="0" w:afterLines="0"/>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2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snapToGrid w:val="0"/>
                <w:color w:val="000000" w:themeColor="text1"/>
                <w:spacing w:val="-6"/>
                <w:kern w:val="21"/>
                <w:szCs w:val="21"/>
                <w14:textFill>
                  <w14:solidFill>
                    <w14:schemeClr w14:val="tx1"/>
                  </w14:solidFill>
                </w14:textFill>
              </w:rPr>
              <w:t>②</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454" w:type="dxa"/>
            <w:tcMar>
              <w:left w:w="28" w:type="dxa"/>
              <w:right w:w="28" w:type="dxa"/>
            </w:tcMar>
            <w:vAlign w:val="center"/>
          </w:tcPr>
          <w:p w14:paraId="2DAB3FC0">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在建工程</w:t>
            </w:r>
          </w:p>
          <w:p w14:paraId="7026B151">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排放量（固体废物产生量）</w:t>
            </w: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3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③</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453" w:type="dxa"/>
            <w:tcMar>
              <w:left w:w="28" w:type="dxa"/>
              <w:right w:w="28" w:type="dxa"/>
            </w:tcMar>
            <w:vAlign w:val="center"/>
          </w:tcPr>
          <w:p w14:paraId="6328C557">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本项目</w:t>
            </w:r>
          </w:p>
          <w:p w14:paraId="4E6967DC">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排放量（固体废物产生量）</w:t>
            </w: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4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④</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454" w:type="dxa"/>
            <w:tcMar>
              <w:left w:w="28" w:type="dxa"/>
              <w:right w:w="28" w:type="dxa"/>
            </w:tcMar>
            <w:vAlign w:val="center"/>
          </w:tcPr>
          <w:p w14:paraId="65BDE271">
            <w:pPr>
              <w:pStyle w:val="77"/>
              <w:spacing w:beforeLines="0" w:afterLines="0" w:line="240" w:lineRule="auto"/>
              <w:rPr>
                <w:rFonts w:ascii="Times New Roman" w:eastAsia="黑体"/>
                <w:snapToGrid w:val="0"/>
                <w:color w:val="000000" w:themeColor="text1"/>
                <w:spacing w:val="-16"/>
                <w:kern w:val="21"/>
                <w:szCs w:val="21"/>
                <w14:textFill>
                  <w14:solidFill>
                    <w14:schemeClr w14:val="tx1"/>
                  </w14:solidFill>
                </w14:textFill>
              </w:rPr>
            </w:pPr>
            <w:r>
              <w:rPr>
                <w:rFonts w:ascii="Times New Roman" w:eastAsia="黑体"/>
                <w:snapToGrid w:val="0"/>
                <w:color w:val="000000" w:themeColor="text1"/>
                <w:spacing w:val="-16"/>
                <w:kern w:val="21"/>
                <w:szCs w:val="21"/>
                <w14:textFill>
                  <w14:solidFill>
                    <w14:schemeClr w14:val="tx1"/>
                  </w14:solidFill>
                </w14:textFill>
              </w:rPr>
              <w:t>以新带老削减量</w:t>
            </w:r>
          </w:p>
          <w:p w14:paraId="3DC23BC7">
            <w:pPr>
              <w:pStyle w:val="77"/>
              <w:spacing w:beforeLines="0" w:afterLines="0" w:line="240" w:lineRule="auto"/>
              <w:rPr>
                <w:rFonts w:ascii="Times New Roman" w:eastAsia="黑体"/>
                <w:snapToGrid w:val="0"/>
                <w:color w:val="000000" w:themeColor="text1"/>
                <w:spacing w:val="-16"/>
                <w:kern w:val="21"/>
                <w:szCs w:val="21"/>
                <w14:textFill>
                  <w14:solidFill>
                    <w14:schemeClr w14:val="tx1"/>
                  </w14:solidFill>
                </w14:textFill>
              </w:rPr>
            </w:pPr>
            <w:r>
              <w:rPr>
                <w:rFonts w:ascii="Times New Roman" w:eastAsia="黑体"/>
                <w:snapToGrid w:val="0"/>
                <w:color w:val="000000" w:themeColor="text1"/>
                <w:spacing w:val="-16"/>
                <w:kern w:val="21"/>
                <w:szCs w:val="21"/>
                <w14:textFill>
                  <w14:solidFill>
                    <w14:schemeClr w14:val="tx1"/>
                  </w14:solidFill>
                </w14:textFill>
              </w:rPr>
              <w:t>（新建项目不填）</w:t>
            </w:r>
            <w:r>
              <w:rPr>
                <w:rFonts w:ascii="Times New Roman" w:eastAsia="黑体"/>
                <w:snapToGrid w:val="0"/>
                <w:color w:val="000000" w:themeColor="text1"/>
                <w:spacing w:val="-16"/>
                <w:kern w:val="21"/>
                <w:szCs w:val="21"/>
                <w14:textFill>
                  <w14:solidFill>
                    <w14:schemeClr w14:val="tx1"/>
                  </w14:solidFill>
                </w14:textFill>
              </w:rPr>
              <w:fldChar w:fldCharType="begin"/>
            </w:r>
            <w:r>
              <w:rPr>
                <w:rFonts w:ascii="Times New Roman" w:eastAsia="黑体"/>
                <w:snapToGrid w:val="0"/>
                <w:color w:val="000000" w:themeColor="text1"/>
                <w:spacing w:val="-16"/>
                <w:kern w:val="21"/>
                <w:szCs w:val="21"/>
                <w14:textFill>
                  <w14:solidFill>
                    <w14:schemeClr w14:val="tx1"/>
                  </w14:solidFill>
                </w14:textFill>
              </w:rPr>
              <w:instrText xml:space="preserve"> = 5 \* GB3 \* MERGEFORMAT </w:instrText>
            </w:r>
            <w:r>
              <w:rPr>
                <w:rFonts w:ascii="Times New Roman" w:eastAsia="黑体"/>
                <w:snapToGrid w:val="0"/>
                <w:color w:val="000000" w:themeColor="text1"/>
                <w:spacing w:val="-1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⑤</w:t>
            </w:r>
            <w:r>
              <w:rPr>
                <w:rFonts w:ascii="Times New Roman" w:eastAsia="黑体"/>
                <w:snapToGrid w:val="0"/>
                <w:color w:val="000000" w:themeColor="text1"/>
                <w:spacing w:val="-16"/>
                <w:kern w:val="21"/>
                <w:szCs w:val="21"/>
                <w14:textFill>
                  <w14:solidFill>
                    <w14:schemeClr w14:val="tx1"/>
                  </w14:solidFill>
                </w14:textFill>
              </w:rPr>
              <w:fldChar w:fldCharType="end"/>
            </w:r>
          </w:p>
        </w:tc>
        <w:tc>
          <w:tcPr>
            <w:tcW w:w="1453" w:type="dxa"/>
            <w:tcMar>
              <w:left w:w="28" w:type="dxa"/>
              <w:right w:w="28" w:type="dxa"/>
            </w:tcMar>
            <w:vAlign w:val="center"/>
          </w:tcPr>
          <w:p w14:paraId="503F7C34">
            <w:pPr>
              <w:pStyle w:val="77"/>
              <w:spacing w:beforeLines="0" w:afterLines="0" w:line="240" w:lineRule="auto"/>
              <w:rPr>
                <w:rFonts w:ascii="Times New Roman" w:eastAsia="黑体"/>
                <w:snapToGrid w:val="0"/>
                <w:color w:val="000000" w:themeColor="text1"/>
                <w:spacing w:val="-16"/>
                <w:kern w:val="21"/>
                <w:szCs w:val="21"/>
                <w14:textFill>
                  <w14:solidFill>
                    <w14:schemeClr w14:val="tx1"/>
                  </w14:solidFill>
                </w14:textFill>
              </w:rPr>
            </w:pPr>
            <w:r>
              <w:rPr>
                <w:rFonts w:ascii="Times New Roman" w:eastAsia="黑体"/>
                <w:snapToGrid w:val="0"/>
                <w:color w:val="000000" w:themeColor="text1"/>
                <w:spacing w:val="-16"/>
                <w:kern w:val="21"/>
                <w:szCs w:val="21"/>
                <w14:textFill>
                  <w14:solidFill>
                    <w14:schemeClr w14:val="tx1"/>
                  </w14:solidFill>
                </w14:textFill>
              </w:rPr>
              <w:t>本项目建成后</w:t>
            </w:r>
          </w:p>
          <w:p w14:paraId="6AE84983">
            <w:pPr>
              <w:pStyle w:val="77"/>
              <w:spacing w:beforeLines="0" w:afterLines="0" w:line="240" w:lineRule="auto"/>
              <w:rPr>
                <w:rFonts w:ascii="Times New Roman" w:eastAsia="黑体"/>
                <w:snapToGrid w:val="0"/>
                <w:color w:val="000000" w:themeColor="text1"/>
                <w:spacing w:val="-16"/>
                <w:kern w:val="21"/>
                <w:szCs w:val="21"/>
                <w14:textFill>
                  <w14:solidFill>
                    <w14:schemeClr w14:val="tx1"/>
                  </w14:solidFill>
                </w14:textFill>
              </w:rPr>
            </w:pPr>
            <w:r>
              <w:rPr>
                <w:rFonts w:ascii="Times New Roman" w:eastAsia="黑体"/>
                <w:snapToGrid w:val="0"/>
                <w:color w:val="000000" w:themeColor="text1"/>
                <w:spacing w:val="-16"/>
                <w:kern w:val="21"/>
                <w:szCs w:val="21"/>
                <w14:textFill>
                  <w14:solidFill>
                    <w14:schemeClr w14:val="tx1"/>
                  </w14:solidFill>
                </w14:textFill>
              </w:rPr>
              <w:t>全厂排放量（固体废物产生量）</w:t>
            </w:r>
            <w:r>
              <w:rPr>
                <w:rFonts w:ascii="Times New Roman" w:eastAsia="黑体"/>
                <w:snapToGrid w:val="0"/>
                <w:color w:val="000000" w:themeColor="text1"/>
                <w:spacing w:val="-16"/>
                <w:kern w:val="21"/>
                <w:szCs w:val="21"/>
                <w14:textFill>
                  <w14:solidFill>
                    <w14:schemeClr w14:val="tx1"/>
                  </w14:solidFill>
                </w14:textFill>
              </w:rPr>
              <w:fldChar w:fldCharType="begin"/>
            </w:r>
            <w:r>
              <w:rPr>
                <w:rFonts w:ascii="Times New Roman" w:eastAsia="黑体"/>
                <w:snapToGrid w:val="0"/>
                <w:color w:val="000000" w:themeColor="text1"/>
                <w:spacing w:val="-16"/>
                <w:kern w:val="21"/>
                <w:szCs w:val="21"/>
                <w14:textFill>
                  <w14:solidFill>
                    <w14:schemeClr w14:val="tx1"/>
                  </w14:solidFill>
                </w14:textFill>
              </w:rPr>
              <w:instrText xml:space="preserve"> = 6 \* GB3 \* MERGEFORMAT </w:instrText>
            </w:r>
            <w:r>
              <w:rPr>
                <w:rFonts w:ascii="Times New Roman" w:eastAsia="黑体"/>
                <w:snapToGrid w:val="0"/>
                <w:color w:val="000000" w:themeColor="text1"/>
                <w:spacing w:val="-1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⑥</w:t>
            </w:r>
            <w:r>
              <w:rPr>
                <w:rFonts w:ascii="Times New Roman" w:eastAsia="黑体"/>
                <w:snapToGrid w:val="0"/>
                <w:color w:val="000000" w:themeColor="text1"/>
                <w:spacing w:val="-16"/>
                <w:kern w:val="21"/>
                <w:szCs w:val="21"/>
                <w14:textFill>
                  <w14:solidFill>
                    <w14:schemeClr w14:val="tx1"/>
                  </w14:solidFill>
                </w14:textFill>
              </w:rPr>
              <w:fldChar w:fldCharType="end"/>
            </w:r>
          </w:p>
        </w:tc>
        <w:tc>
          <w:tcPr>
            <w:tcW w:w="1456" w:type="dxa"/>
            <w:tcMar>
              <w:left w:w="28" w:type="dxa"/>
              <w:right w:w="28" w:type="dxa"/>
            </w:tcMar>
            <w:vAlign w:val="center"/>
          </w:tcPr>
          <w:p w14:paraId="185EAA25">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变化量</w:t>
            </w:r>
          </w:p>
          <w:p w14:paraId="77A1C517">
            <w:pPr>
              <w:pStyle w:val="77"/>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7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⑦</w:t>
            </w:r>
            <w:r>
              <w:rPr>
                <w:rFonts w:ascii="Times New Roman" w:eastAsia="黑体"/>
                <w:snapToGrid w:val="0"/>
                <w:color w:val="000000" w:themeColor="text1"/>
                <w:spacing w:val="-6"/>
                <w:kern w:val="21"/>
                <w:szCs w:val="21"/>
                <w14:textFill>
                  <w14:solidFill>
                    <w14:schemeClr w14:val="tx1"/>
                  </w14:solidFill>
                </w14:textFill>
              </w:rPr>
              <w:fldChar w:fldCharType="end"/>
            </w:r>
          </w:p>
        </w:tc>
      </w:tr>
      <w:tr w14:paraId="11AF93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restart"/>
            <w:vAlign w:val="center"/>
          </w:tcPr>
          <w:p w14:paraId="7B793E02">
            <w:pPr>
              <w:pStyle w:val="77"/>
              <w:spacing w:beforeLines="0" w:afterLines="0" w:line="240" w:lineRule="auto"/>
              <w:rPr>
                <w:rFonts w:ascii="Times New Roman"/>
                <w:snapToGrid w:val="0"/>
                <w:color w:val="FF0000"/>
                <w:kern w:val="21"/>
                <w:szCs w:val="21"/>
              </w:rPr>
            </w:pPr>
            <w:r>
              <w:rPr>
                <w:rFonts w:ascii="Times New Roman"/>
                <w:snapToGrid w:val="0"/>
                <w:color w:val="FF0000"/>
                <w:kern w:val="21"/>
                <w:szCs w:val="21"/>
              </w:rPr>
              <w:t>废气</w:t>
            </w:r>
          </w:p>
        </w:tc>
        <w:tc>
          <w:tcPr>
            <w:tcW w:w="1483" w:type="dxa"/>
            <w:shd w:val="clear" w:color="auto" w:fill="auto"/>
            <w:vAlign w:val="center"/>
          </w:tcPr>
          <w:p w14:paraId="52D3F222">
            <w:pPr>
              <w:jc w:val="center"/>
              <w:rPr>
                <w:color w:val="FF0000"/>
                <w:szCs w:val="21"/>
              </w:rPr>
            </w:pPr>
            <w:r>
              <w:rPr>
                <w:color w:val="FF0000"/>
                <w:szCs w:val="21"/>
              </w:rPr>
              <w:t>颗粒物</w:t>
            </w:r>
          </w:p>
        </w:tc>
        <w:tc>
          <w:tcPr>
            <w:tcW w:w="754" w:type="dxa"/>
            <w:vAlign w:val="center"/>
          </w:tcPr>
          <w:p w14:paraId="0CBB607C">
            <w:pPr>
              <w:jc w:val="center"/>
              <w:rPr>
                <w:snapToGrid w:val="0"/>
                <w:color w:val="FF0000"/>
                <w:kern w:val="21"/>
                <w:szCs w:val="21"/>
              </w:rPr>
            </w:pPr>
            <w:r>
              <w:rPr>
                <w:color w:val="FF0000"/>
                <w:szCs w:val="21"/>
              </w:rPr>
              <w:t>t/a</w:t>
            </w:r>
          </w:p>
        </w:tc>
        <w:tc>
          <w:tcPr>
            <w:tcW w:w="1454" w:type="dxa"/>
            <w:shd w:val="clear" w:color="auto" w:fill="auto"/>
            <w:vAlign w:val="center"/>
          </w:tcPr>
          <w:p w14:paraId="693398AB">
            <w:pPr>
              <w:jc w:val="center"/>
              <w:rPr>
                <w:color w:val="FF0000"/>
                <w:szCs w:val="21"/>
              </w:rPr>
            </w:pPr>
            <w:r>
              <w:rPr>
                <w:snapToGrid w:val="0"/>
                <w:color w:val="FF0000"/>
                <w:kern w:val="21"/>
                <w:szCs w:val="21"/>
              </w:rPr>
              <w:t>0</w:t>
            </w:r>
          </w:p>
        </w:tc>
        <w:tc>
          <w:tcPr>
            <w:tcW w:w="1453" w:type="dxa"/>
            <w:shd w:val="clear" w:color="auto" w:fill="auto"/>
            <w:vAlign w:val="center"/>
          </w:tcPr>
          <w:p w14:paraId="17B860B1">
            <w:pPr>
              <w:jc w:val="center"/>
              <w:rPr>
                <w:color w:val="FF0000"/>
                <w:szCs w:val="21"/>
              </w:rPr>
            </w:pPr>
            <w:r>
              <w:rPr>
                <w:snapToGrid w:val="0"/>
                <w:color w:val="FF0000"/>
                <w:kern w:val="21"/>
                <w:szCs w:val="21"/>
              </w:rPr>
              <w:t>0</w:t>
            </w:r>
          </w:p>
        </w:tc>
        <w:tc>
          <w:tcPr>
            <w:tcW w:w="1454" w:type="dxa"/>
            <w:vAlign w:val="center"/>
          </w:tcPr>
          <w:p w14:paraId="5469C642">
            <w:pPr>
              <w:pStyle w:val="77"/>
              <w:spacing w:beforeLines="0" w:afterLines="0" w:line="240" w:lineRule="auto"/>
              <w:rPr>
                <w:rFonts w:ascii="Times New Roman"/>
                <w:snapToGrid w:val="0"/>
                <w:color w:val="FF0000"/>
                <w:kern w:val="21"/>
                <w:szCs w:val="21"/>
              </w:rPr>
            </w:pPr>
            <w:r>
              <w:rPr>
                <w:rFonts w:ascii="Times New Roman"/>
                <w:snapToGrid w:val="0"/>
                <w:color w:val="FF0000"/>
                <w:kern w:val="21"/>
                <w:szCs w:val="21"/>
              </w:rPr>
              <w:t>0</w:t>
            </w:r>
          </w:p>
        </w:tc>
        <w:tc>
          <w:tcPr>
            <w:tcW w:w="1453" w:type="dxa"/>
            <w:shd w:val="clear" w:color="auto" w:fill="auto"/>
            <w:vAlign w:val="center"/>
          </w:tcPr>
          <w:p w14:paraId="3BB3BABF">
            <w:pPr>
              <w:widowControl/>
              <w:jc w:val="center"/>
              <w:textAlignment w:val="center"/>
              <w:rPr>
                <w:color w:val="FF0000"/>
                <w:szCs w:val="21"/>
              </w:rPr>
            </w:pPr>
            <w:r>
              <w:rPr>
                <w:color w:val="FF0000"/>
                <w:szCs w:val="21"/>
              </w:rPr>
              <w:t>0.</w:t>
            </w:r>
            <w:r>
              <w:rPr>
                <w:rFonts w:hint="eastAsia"/>
                <w:color w:val="FF0000"/>
                <w:szCs w:val="21"/>
              </w:rPr>
              <w:t>1394</w:t>
            </w:r>
          </w:p>
        </w:tc>
        <w:tc>
          <w:tcPr>
            <w:tcW w:w="1454" w:type="dxa"/>
            <w:shd w:val="clear" w:color="auto" w:fill="auto"/>
            <w:vAlign w:val="center"/>
          </w:tcPr>
          <w:p w14:paraId="61B08749">
            <w:pPr>
              <w:jc w:val="center"/>
              <w:rPr>
                <w:color w:val="FF0000"/>
                <w:szCs w:val="21"/>
              </w:rPr>
            </w:pPr>
            <w:r>
              <w:rPr>
                <w:snapToGrid w:val="0"/>
                <w:color w:val="FF0000"/>
                <w:kern w:val="21"/>
                <w:szCs w:val="21"/>
              </w:rPr>
              <w:t>0</w:t>
            </w:r>
          </w:p>
        </w:tc>
        <w:tc>
          <w:tcPr>
            <w:tcW w:w="1453" w:type="dxa"/>
            <w:shd w:val="clear" w:color="auto" w:fill="auto"/>
            <w:vAlign w:val="center"/>
          </w:tcPr>
          <w:p w14:paraId="37E6C8F4">
            <w:pPr>
              <w:widowControl/>
              <w:jc w:val="center"/>
              <w:textAlignment w:val="center"/>
              <w:rPr>
                <w:color w:val="FF0000"/>
                <w:szCs w:val="21"/>
              </w:rPr>
            </w:pPr>
            <w:r>
              <w:rPr>
                <w:color w:val="FF0000"/>
                <w:szCs w:val="21"/>
              </w:rPr>
              <w:t>0.1</w:t>
            </w:r>
            <w:r>
              <w:rPr>
                <w:rFonts w:hint="eastAsia"/>
                <w:color w:val="FF0000"/>
                <w:szCs w:val="21"/>
              </w:rPr>
              <w:t>394</w:t>
            </w:r>
          </w:p>
        </w:tc>
        <w:tc>
          <w:tcPr>
            <w:tcW w:w="1456" w:type="dxa"/>
            <w:shd w:val="clear" w:color="auto" w:fill="auto"/>
            <w:vAlign w:val="center"/>
          </w:tcPr>
          <w:p w14:paraId="77946CD1">
            <w:pPr>
              <w:widowControl/>
              <w:jc w:val="center"/>
              <w:textAlignment w:val="center"/>
              <w:rPr>
                <w:color w:val="FF0000"/>
                <w:szCs w:val="21"/>
              </w:rPr>
            </w:pPr>
            <w:r>
              <w:rPr>
                <w:color w:val="FF0000"/>
                <w:szCs w:val="21"/>
              </w:rPr>
              <w:t>+0.1</w:t>
            </w:r>
            <w:r>
              <w:rPr>
                <w:rFonts w:hint="eastAsia"/>
                <w:color w:val="FF0000"/>
                <w:szCs w:val="21"/>
              </w:rPr>
              <w:t>394</w:t>
            </w:r>
          </w:p>
        </w:tc>
      </w:tr>
      <w:tr w14:paraId="1750B3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340C466D">
            <w:pPr>
              <w:pStyle w:val="77"/>
              <w:spacing w:beforeLines="0" w:afterLines="0" w:line="240" w:lineRule="auto"/>
              <w:rPr>
                <w:rFonts w:ascii="Times New Roman"/>
                <w:snapToGrid w:val="0"/>
                <w:color w:val="FF0000"/>
                <w:kern w:val="21"/>
                <w:szCs w:val="21"/>
              </w:rPr>
            </w:pPr>
          </w:p>
        </w:tc>
        <w:tc>
          <w:tcPr>
            <w:tcW w:w="1483" w:type="dxa"/>
            <w:shd w:val="clear" w:color="auto" w:fill="auto"/>
            <w:vAlign w:val="center"/>
          </w:tcPr>
          <w:p w14:paraId="28E04874">
            <w:pPr>
              <w:jc w:val="center"/>
              <w:rPr>
                <w:color w:val="FF0000"/>
                <w:szCs w:val="21"/>
              </w:rPr>
            </w:pPr>
            <w:r>
              <w:rPr>
                <w:color w:val="FF0000"/>
                <w:szCs w:val="21"/>
              </w:rPr>
              <w:t>SO</w:t>
            </w:r>
            <w:r>
              <w:rPr>
                <w:color w:val="FF0000"/>
                <w:szCs w:val="21"/>
                <w:vertAlign w:val="subscript"/>
              </w:rPr>
              <w:t>2</w:t>
            </w:r>
          </w:p>
        </w:tc>
        <w:tc>
          <w:tcPr>
            <w:tcW w:w="754" w:type="dxa"/>
            <w:vAlign w:val="center"/>
          </w:tcPr>
          <w:p w14:paraId="746CDF52">
            <w:pPr>
              <w:widowControl/>
              <w:jc w:val="center"/>
              <w:textAlignment w:val="center"/>
              <w:rPr>
                <w:snapToGrid w:val="0"/>
                <w:color w:val="FF0000"/>
                <w:kern w:val="21"/>
                <w:szCs w:val="21"/>
              </w:rPr>
            </w:pPr>
            <w:r>
              <w:rPr>
                <w:color w:val="FF0000"/>
                <w:szCs w:val="21"/>
              </w:rPr>
              <w:t>t/a</w:t>
            </w:r>
          </w:p>
        </w:tc>
        <w:tc>
          <w:tcPr>
            <w:tcW w:w="1454" w:type="dxa"/>
            <w:shd w:val="clear" w:color="auto" w:fill="auto"/>
            <w:vAlign w:val="center"/>
          </w:tcPr>
          <w:p w14:paraId="34088296">
            <w:pPr>
              <w:widowControl/>
              <w:jc w:val="center"/>
              <w:textAlignment w:val="center"/>
              <w:rPr>
                <w:color w:val="FF0000"/>
                <w:szCs w:val="21"/>
              </w:rPr>
            </w:pPr>
            <w:r>
              <w:rPr>
                <w:snapToGrid w:val="0"/>
                <w:color w:val="FF0000"/>
                <w:kern w:val="21"/>
                <w:szCs w:val="21"/>
              </w:rPr>
              <w:t>0</w:t>
            </w:r>
          </w:p>
        </w:tc>
        <w:tc>
          <w:tcPr>
            <w:tcW w:w="1453" w:type="dxa"/>
            <w:shd w:val="clear" w:color="auto" w:fill="auto"/>
            <w:vAlign w:val="center"/>
          </w:tcPr>
          <w:p w14:paraId="05730AEF">
            <w:pPr>
              <w:widowControl/>
              <w:jc w:val="center"/>
              <w:textAlignment w:val="center"/>
              <w:rPr>
                <w:color w:val="FF0000"/>
                <w:szCs w:val="21"/>
              </w:rPr>
            </w:pPr>
            <w:r>
              <w:rPr>
                <w:snapToGrid w:val="0"/>
                <w:color w:val="FF0000"/>
                <w:kern w:val="21"/>
                <w:szCs w:val="21"/>
              </w:rPr>
              <w:t>0</w:t>
            </w:r>
          </w:p>
        </w:tc>
        <w:tc>
          <w:tcPr>
            <w:tcW w:w="1454" w:type="dxa"/>
            <w:vAlign w:val="center"/>
          </w:tcPr>
          <w:p w14:paraId="3A691A33">
            <w:pPr>
              <w:pStyle w:val="77"/>
              <w:spacing w:beforeLines="0" w:afterLines="0" w:line="240" w:lineRule="auto"/>
              <w:rPr>
                <w:rFonts w:ascii="Times New Roman"/>
                <w:snapToGrid w:val="0"/>
                <w:color w:val="FF0000"/>
                <w:kern w:val="21"/>
                <w:szCs w:val="21"/>
              </w:rPr>
            </w:pPr>
            <w:r>
              <w:rPr>
                <w:rFonts w:ascii="Times New Roman"/>
                <w:snapToGrid w:val="0"/>
                <w:color w:val="FF0000"/>
                <w:kern w:val="21"/>
                <w:szCs w:val="21"/>
              </w:rPr>
              <w:t>0</w:t>
            </w:r>
          </w:p>
        </w:tc>
        <w:tc>
          <w:tcPr>
            <w:tcW w:w="1453" w:type="dxa"/>
            <w:shd w:val="clear" w:color="auto" w:fill="auto"/>
            <w:vAlign w:val="center"/>
          </w:tcPr>
          <w:p w14:paraId="5A121A49">
            <w:pPr>
              <w:widowControl/>
              <w:jc w:val="center"/>
              <w:textAlignment w:val="center"/>
              <w:rPr>
                <w:color w:val="FF0000"/>
                <w:szCs w:val="21"/>
              </w:rPr>
            </w:pPr>
            <w:r>
              <w:rPr>
                <w:rFonts w:eastAsia="等线"/>
                <w:color w:val="FF0000"/>
                <w:kern w:val="0"/>
                <w:szCs w:val="21"/>
                <w:lang w:bidi="ar"/>
              </w:rPr>
              <w:t xml:space="preserve">0.050 </w:t>
            </w:r>
          </w:p>
        </w:tc>
        <w:tc>
          <w:tcPr>
            <w:tcW w:w="1454" w:type="dxa"/>
            <w:shd w:val="clear" w:color="auto" w:fill="auto"/>
            <w:vAlign w:val="center"/>
          </w:tcPr>
          <w:p w14:paraId="1408ECAF">
            <w:pPr>
              <w:widowControl/>
              <w:jc w:val="center"/>
              <w:textAlignment w:val="center"/>
              <w:rPr>
                <w:color w:val="FF0000"/>
                <w:szCs w:val="21"/>
              </w:rPr>
            </w:pPr>
            <w:r>
              <w:rPr>
                <w:snapToGrid w:val="0"/>
                <w:color w:val="FF0000"/>
                <w:kern w:val="21"/>
                <w:szCs w:val="21"/>
              </w:rPr>
              <w:t>0</w:t>
            </w:r>
          </w:p>
        </w:tc>
        <w:tc>
          <w:tcPr>
            <w:tcW w:w="1453" w:type="dxa"/>
            <w:shd w:val="clear" w:color="auto" w:fill="auto"/>
            <w:vAlign w:val="center"/>
          </w:tcPr>
          <w:p w14:paraId="07FE327D">
            <w:pPr>
              <w:widowControl/>
              <w:jc w:val="center"/>
              <w:textAlignment w:val="center"/>
              <w:rPr>
                <w:color w:val="FF0000"/>
                <w:szCs w:val="21"/>
              </w:rPr>
            </w:pPr>
            <w:r>
              <w:rPr>
                <w:rFonts w:eastAsia="等线"/>
                <w:color w:val="FF0000"/>
                <w:kern w:val="0"/>
                <w:szCs w:val="21"/>
                <w:lang w:bidi="ar"/>
              </w:rPr>
              <w:t xml:space="preserve">0.050 </w:t>
            </w:r>
          </w:p>
        </w:tc>
        <w:tc>
          <w:tcPr>
            <w:tcW w:w="1456" w:type="dxa"/>
            <w:shd w:val="clear" w:color="auto" w:fill="auto"/>
            <w:vAlign w:val="center"/>
          </w:tcPr>
          <w:p w14:paraId="7CC7C307">
            <w:pPr>
              <w:widowControl/>
              <w:jc w:val="center"/>
              <w:textAlignment w:val="center"/>
              <w:rPr>
                <w:color w:val="FF0000"/>
                <w:szCs w:val="21"/>
              </w:rPr>
            </w:pPr>
            <w:r>
              <w:rPr>
                <w:rFonts w:eastAsia="等线"/>
                <w:color w:val="FF0000"/>
                <w:kern w:val="0"/>
                <w:szCs w:val="21"/>
                <w:lang w:bidi="ar"/>
              </w:rPr>
              <w:t xml:space="preserve">+0.050 </w:t>
            </w:r>
          </w:p>
        </w:tc>
      </w:tr>
      <w:tr w14:paraId="3A81C5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449A15B2">
            <w:pPr>
              <w:pStyle w:val="77"/>
              <w:spacing w:beforeLines="0" w:afterLines="0" w:line="240" w:lineRule="auto"/>
              <w:rPr>
                <w:rFonts w:ascii="Times New Roman"/>
                <w:snapToGrid w:val="0"/>
                <w:color w:val="FF0000"/>
                <w:kern w:val="21"/>
                <w:szCs w:val="21"/>
              </w:rPr>
            </w:pPr>
          </w:p>
        </w:tc>
        <w:tc>
          <w:tcPr>
            <w:tcW w:w="1483" w:type="dxa"/>
            <w:shd w:val="clear" w:color="auto" w:fill="auto"/>
            <w:vAlign w:val="center"/>
          </w:tcPr>
          <w:p w14:paraId="50DB3917">
            <w:pPr>
              <w:jc w:val="center"/>
              <w:rPr>
                <w:color w:val="FF0000"/>
                <w:szCs w:val="21"/>
              </w:rPr>
            </w:pPr>
            <w:r>
              <w:rPr>
                <w:color w:val="FF0000"/>
                <w:szCs w:val="21"/>
              </w:rPr>
              <w:t>NOx</w:t>
            </w:r>
          </w:p>
        </w:tc>
        <w:tc>
          <w:tcPr>
            <w:tcW w:w="754" w:type="dxa"/>
            <w:vAlign w:val="center"/>
          </w:tcPr>
          <w:p w14:paraId="1496B2E2">
            <w:pPr>
              <w:jc w:val="center"/>
              <w:rPr>
                <w:snapToGrid w:val="0"/>
                <w:color w:val="FF0000"/>
                <w:kern w:val="21"/>
                <w:szCs w:val="21"/>
              </w:rPr>
            </w:pPr>
            <w:r>
              <w:rPr>
                <w:color w:val="FF0000"/>
                <w:szCs w:val="21"/>
              </w:rPr>
              <w:t>t/a</w:t>
            </w:r>
          </w:p>
        </w:tc>
        <w:tc>
          <w:tcPr>
            <w:tcW w:w="1454" w:type="dxa"/>
            <w:shd w:val="clear" w:color="auto" w:fill="auto"/>
            <w:vAlign w:val="center"/>
          </w:tcPr>
          <w:p w14:paraId="4D41244E">
            <w:pPr>
              <w:widowControl/>
              <w:jc w:val="center"/>
              <w:textAlignment w:val="center"/>
              <w:rPr>
                <w:color w:val="FF0000"/>
                <w:szCs w:val="21"/>
              </w:rPr>
            </w:pPr>
            <w:r>
              <w:rPr>
                <w:snapToGrid w:val="0"/>
                <w:color w:val="FF0000"/>
                <w:kern w:val="21"/>
                <w:szCs w:val="21"/>
              </w:rPr>
              <w:t>0</w:t>
            </w:r>
          </w:p>
        </w:tc>
        <w:tc>
          <w:tcPr>
            <w:tcW w:w="1453" w:type="dxa"/>
            <w:shd w:val="clear" w:color="auto" w:fill="auto"/>
            <w:vAlign w:val="center"/>
          </w:tcPr>
          <w:p w14:paraId="0A1C8B80">
            <w:pPr>
              <w:widowControl/>
              <w:jc w:val="center"/>
              <w:textAlignment w:val="center"/>
              <w:rPr>
                <w:color w:val="FF0000"/>
                <w:szCs w:val="21"/>
              </w:rPr>
            </w:pPr>
            <w:r>
              <w:rPr>
                <w:snapToGrid w:val="0"/>
                <w:color w:val="FF0000"/>
                <w:kern w:val="21"/>
                <w:szCs w:val="21"/>
              </w:rPr>
              <w:t>0</w:t>
            </w:r>
          </w:p>
        </w:tc>
        <w:tc>
          <w:tcPr>
            <w:tcW w:w="1454" w:type="dxa"/>
            <w:vAlign w:val="center"/>
          </w:tcPr>
          <w:p w14:paraId="0366F357">
            <w:pPr>
              <w:pStyle w:val="77"/>
              <w:spacing w:beforeLines="0" w:afterLines="0" w:line="240" w:lineRule="auto"/>
              <w:rPr>
                <w:rFonts w:ascii="Times New Roman"/>
                <w:snapToGrid w:val="0"/>
                <w:color w:val="FF0000"/>
                <w:kern w:val="21"/>
                <w:szCs w:val="21"/>
              </w:rPr>
            </w:pPr>
            <w:r>
              <w:rPr>
                <w:rFonts w:ascii="Times New Roman"/>
                <w:snapToGrid w:val="0"/>
                <w:color w:val="FF0000"/>
                <w:kern w:val="21"/>
                <w:szCs w:val="21"/>
              </w:rPr>
              <w:t>0</w:t>
            </w:r>
          </w:p>
        </w:tc>
        <w:tc>
          <w:tcPr>
            <w:tcW w:w="1453" w:type="dxa"/>
            <w:shd w:val="clear" w:color="auto" w:fill="auto"/>
            <w:vAlign w:val="center"/>
          </w:tcPr>
          <w:p w14:paraId="68A0BFDA">
            <w:pPr>
              <w:widowControl/>
              <w:jc w:val="center"/>
              <w:textAlignment w:val="center"/>
              <w:rPr>
                <w:color w:val="FF0000"/>
                <w:szCs w:val="21"/>
              </w:rPr>
            </w:pPr>
            <w:r>
              <w:rPr>
                <w:rFonts w:eastAsia="等线"/>
                <w:color w:val="FF0000"/>
                <w:kern w:val="0"/>
                <w:szCs w:val="21"/>
                <w:lang w:bidi="ar"/>
              </w:rPr>
              <w:t>0.45</w:t>
            </w:r>
            <w:r>
              <w:rPr>
                <w:rFonts w:hint="eastAsia" w:eastAsia="等线"/>
                <w:color w:val="FF0000"/>
                <w:kern w:val="0"/>
                <w:szCs w:val="21"/>
                <w:lang w:bidi="ar"/>
              </w:rPr>
              <w:t>7</w:t>
            </w:r>
          </w:p>
        </w:tc>
        <w:tc>
          <w:tcPr>
            <w:tcW w:w="1454" w:type="dxa"/>
            <w:shd w:val="clear" w:color="auto" w:fill="auto"/>
            <w:vAlign w:val="center"/>
          </w:tcPr>
          <w:p w14:paraId="77CE29F7">
            <w:pPr>
              <w:widowControl/>
              <w:jc w:val="center"/>
              <w:textAlignment w:val="center"/>
              <w:rPr>
                <w:color w:val="FF0000"/>
                <w:szCs w:val="21"/>
              </w:rPr>
            </w:pPr>
            <w:r>
              <w:rPr>
                <w:snapToGrid w:val="0"/>
                <w:color w:val="FF0000"/>
                <w:kern w:val="21"/>
                <w:szCs w:val="21"/>
              </w:rPr>
              <w:t>0</w:t>
            </w:r>
          </w:p>
        </w:tc>
        <w:tc>
          <w:tcPr>
            <w:tcW w:w="1453" w:type="dxa"/>
            <w:shd w:val="clear" w:color="auto" w:fill="auto"/>
            <w:vAlign w:val="center"/>
          </w:tcPr>
          <w:p w14:paraId="2EB4293A">
            <w:pPr>
              <w:widowControl/>
              <w:jc w:val="center"/>
              <w:textAlignment w:val="center"/>
              <w:rPr>
                <w:color w:val="FF0000"/>
                <w:szCs w:val="21"/>
              </w:rPr>
            </w:pPr>
            <w:r>
              <w:rPr>
                <w:rFonts w:eastAsia="等线"/>
                <w:color w:val="FF0000"/>
                <w:kern w:val="0"/>
                <w:szCs w:val="21"/>
                <w:lang w:bidi="ar"/>
              </w:rPr>
              <w:t>0.45</w:t>
            </w:r>
            <w:r>
              <w:rPr>
                <w:rFonts w:hint="eastAsia" w:eastAsia="等线"/>
                <w:color w:val="FF0000"/>
                <w:kern w:val="0"/>
                <w:szCs w:val="21"/>
                <w:lang w:bidi="ar"/>
              </w:rPr>
              <w:t>7</w:t>
            </w:r>
          </w:p>
        </w:tc>
        <w:tc>
          <w:tcPr>
            <w:tcW w:w="1456" w:type="dxa"/>
            <w:shd w:val="clear" w:color="auto" w:fill="auto"/>
            <w:vAlign w:val="center"/>
          </w:tcPr>
          <w:p w14:paraId="6E0651A1">
            <w:pPr>
              <w:widowControl/>
              <w:jc w:val="center"/>
              <w:textAlignment w:val="center"/>
              <w:rPr>
                <w:color w:val="FF0000"/>
                <w:szCs w:val="21"/>
              </w:rPr>
            </w:pPr>
            <w:r>
              <w:rPr>
                <w:rFonts w:eastAsia="等线"/>
                <w:color w:val="FF0000"/>
                <w:kern w:val="0"/>
                <w:szCs w:val="21"/>
                <w:lang w:bidi="ar"/>
              </w:rPr>
              <w:t>+0.45</w:t>
            </w:r>
            <w:r>
              <w:rPr>
                <w:rFonts w:hint="eastAsia" w:eastAsia="等线"/>
                <w:color w:val="FF0000"/>
                <w:kern w:val="0"/>
                <w:szCs w:val="21"/>
                <w:lang w:bidi="ar"/>
              </w:rPr>
              <w:t>7</w:t>
            </w:r>
          </w:p>
        </w:tc>
      </w:tr>
      <w:tr w14:paraId="1ACC81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restart"/>
            <w:shd w:val="clear" w:color="auto" w:fill="auto"/>
            <w:vAlign w:val="center"/>
          </w:tcPr>
          <w:p w14:paraId="249BF5BD">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1483" w:type="dxa"/>
            <w:shd w:val="clear" w:color="auto" w:fill="auto"/>
            <w:vAlign w:val="center"/>
          </w:tcPr>
          <w:p w14:paraId="6F757A3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废水量</w:t>
            </w:r>
          </w:p>
        </w:tc>
        <w:tc>
          <w:tcPr>
            <w:tcW w:w="754" w:type="dxa"/>
            <w:vAlign w:val="center"/>
          </w:tcPr>
          <w:p w14:paraId="220904D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35866CC1">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5F870DF4">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77570269">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3C1B810">
            <w:pPr>
              <w:widowControl/>
              <w:jc w:val="center"/>
              <w:textAlignment w:val="center"/>
              <w:rPr>
                <w:rFonts w:eastAsia="等线"/>
                <w:color w:val="000000" w:themeColor="text1"/>
                <w:kern w:val="0"/>
                <w:szCs w:val="21"/>
                <w:lang w:bidi="ar"/>
                <w14:textFill>
                  <w14:solidFill>
                    <w14:schemeClr w14:val="tx1"/>
                  </w14:solidFill>
                </w14:textFill>
              </w:rPr>
            </w:pPr>
            <w:r>
              <w:rPr>
                <w:rFonts w:hint="eastAsia" w:eastAsia="等线"/>
                <w:color w:val="000000" w:themeColor="text1"/>
                <w:kern w:val="0"/>
                <w:szCs w:val="21"/>
                <w:lang w:bidi="ar"/>
                <w14:textFill>
                  <w14:solidFill>
                    <w14:schemeClr w14:val="tx1"/>
                  </w14:solidFill>
                </w14:textFill>
              </w:rPr>
              <w:t>278</w:t>
            </w:r>
          </w:p>
        </w:tc>
        <w:tc>
          <w:tcPr>
            <w:tcW w:w="1454" w:type="dxa"/>
            <w:shd w:val="clear" w:color="auto" w:fill="auto"/>
            <w:vAlign w:val="center"/>
          </w:tcPr>
          <w:p w14:paraId="35819040">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3FE0F4A9">
            <w:pPr>
              <w:widowControl/>
              <w:jc w:val="center"/>
              <w:textAlignment w:val="center"/>
              <w:rPr>
                <w:rFonts w:eastAsia="等线"/>
                <w:color w:val="000000" w:themeColor="text1"/>
                <w:kern w:val="0"/>
                <w:szCs w:val="21"/>
                <w:lang w:bidi="ar"/>
                <w14:textFill>
                  <w14:solidFill>
                    <w14:schemeClr w14:val="tx1"/>
                  </w14:solidFill>
                </w14:textFill>
              </w:rPr>
            </w:pPr>
            <w:r>
              <w:rPr>
                <w:rFonts w:hint="eastAsia" w:eastAsia="等线"/>
                <w:color w:val="000000" w:themeColor="text1"/>
                <w:kern w:val="0"/>
                <w:szCs w:val="21"/>
                <w:lang w:bidi="ar"/>
                <w14:textFill>
                  <w14:solidFill>
                    <w14:schemeClr w14:val="tx1"/>
                  </w14:solidFill>
                </w14:textFill>
              </w:rPr>
              <w:t>278</w:t>
            </w:r>
          </w:p>
        </w:tc>
        <w:tc>
          <w:tcPr>
            <w:tcW w:w="1456" w:type="dxa"/>
            <w:shd w:val="clear" w:color="auto" w:fill="auto"/>
            <w:vAlign w:val="center"/>
          </w:tcPr>
          <w:p w14:paraId="353F1A0B">
            <w:pPr>
              <w:widowControl/>
              <w:jc w:val="center"/>
              <w:textAlignment w:val="center"/>
              <w:rPr>
                <w:rFonts w:eastAsia="等线"/>
                <w:color w:val="000000" w:themeColor="text1"/>
                <w:kern w:val="0"/>
                <w:szCs w:val="21"/>
                <w:lang w:bidi="ar"/>
                <w14:textFill>
                  <w14:solidFill>
                    <w14:schemeClr w14:val="tx1"/>
                  </w14:solidFill>
                </w14:textFill>
              </w:rPr>
            </w:pPr>
            <w:r>
              <w:rPr>
                <w:rFonts w:hint="eastAsia" w:eastAsia="等线"/>
                <w:color w:val="000000" w:themeColor="text1"/>
                <w:kern w:val="0"/>
                <w:szCs w:val="21"/>
                <w:lang w:bidi="ar"/>
                <w14:textFill>
                  <w14:solidFill>
                    <w14:schemeClr w14:val="tx1"/>
                  </w14:solidFill>
                </w14:textFill>
              </w:rPr>
              <w:t>+278</w:t>
            </w:r>
          </w:p>
        </w:tc>
      </w:tr>
      <w:tr w14:paraId="57CD8C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3ECEC95F">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3540ECC7">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COD</w:t>
            </w:r>
          </w:p>
        </w:tc>
        <w:tc>
          <w:tcPr>
            <w:tcW w:w="754" w:type="dxa"/>
            <w:vAlign w:val="center"/>
          </w:tcPr>
          <w:p w14:paraId="436BF8E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73EAB1DA">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7F53DAF">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582EB7F5">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A7A94E4">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0.074</w:t>
            </w:r>
          </w:p>
        </w:tc>
        <w:tc>
          <w:tcPr>
            <w:tcW w:w="1454" w:type="dxa"/>
            <w:shd w:val="clear" w:color="auto" w:fill="auto"/>
            <w:vAlign w:val="center"/>
          </w:tcPr>
          <w:p w14:paraId="7D7A7652">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16535DAD">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0.074</w:t>
            </w:r>
          </w:p>
        </w:tc>
        <w:tc>
          <w:tcPr>
            <w:tcW w:w="1456" w:type="dxa"/>
            <w:shd w:val="clear" w:color="auto" w:fill="auto"/>
            <w:vAlign w:val="center"/>
          </w:tcPr>
          <w:p w14:paraId="1AE05CF5">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0.074</w:t>
            </w:r>
          </w:p>
        </w:tc>
      </w:tr>
      <w:tr w14:paraId="115D6E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4AF88584">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5DF278DE">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BOD</w:t>
            </w:r>
            <w:r>
              <w:rPr>
                <w:color w:val="000000" w:themeColor="text1"/>
                <w:kern w:val="0"/>
                <w:szCs w:val="21"/>
                <w:vertAlign w:val="subscript"/>
                <w:lang w:bidi="ar"/>
                <w14:textFill>
                  <w14:solidFill>
                    <w14:schemeClr w14:val="tx1"/>
                  </w14:solidFill>
                </w14:textFill>
              </w:rPr>
              <w:t>5</w:t>
            </w:r>
          </w:p>
        </w:tc>
        <w:tc>
          <w:tcPr>
            <w:tcW w:w="754" w:type="dxa"/>
            <w:vAlign w:val="center"/>
          </w:tcPr>
          <w:p w14:paraId="389386C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72AA1CA4">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444C236C">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1F1D7D75">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16C90BD6">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0.016</w:t>
            </w:r>
          </w:p>
        </w:tc>
        <w:tc>
          <w:tcPr>
            <w:tcW w:w="1454" w:type="dxa"/>
            <w:shd w:val="clear" w:color="auto" w:fill="auto"/>
            <w:vAlign w:val="center"/>
          </w:tcPr>
          <w:p w14:paraId="39A3611C">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3440535">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0.016</w:t>
            </w:r>
          </w:p>
        </w:tc>
        <w:tc>
          <w:tcPr>
            <w:tcW w:w="1456" w:type="dxa"/>
            <w:shd w:val="clear" w:color="auto" w:fill="auto"/>
            <w:vAlign w:val="center"/>
          </w:tcPr>
          <w:p w14:paraId="7DA6294E">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0.016</w:t>
            </w:r>
          </w:p>
        </w:tc>
      </w:tr>
      <w:tr w14:paraId="2E81BF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3DBE9168">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4729B8B6">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SS</w:t>
            </w:r>
          </w:p>
        </w:tc>
        <w:tc>
          <w:tcPr>
            <w:tcW w:w="754" w:type="dxa"/>
            <w:vAlign w:val="center"/>
          </w:tcPr>
          <w:p w14:paraId="3ACB4D7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28AEEE31">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0BBDEC28">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0B53A2D0">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14B7A5C">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0.050</w:t>
            </w:r>
          </w:p>
        </w:tc>
        <w:tc>
          <w:tcPr>
            <w:tcW w:w="1454" w:type="dxa"/>
            <w:shd w:val="clear" w:color="auto" w:fill="auto"/>
            <w:vAlign w:val="center"/>
          </w:tcPr>
          <w:p w14:paraId="3023BA84">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48599D8D">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0.050</w:t>
            </w:r>
          </w:p>
        </w:tc>
        <w:tc>
          <w:tcPr>
            <w:tcW w:w="1456" w:type="dxa"/>
            <w:shd w:val="clear" w:color="auto" w:fill="auto"/>
            <w:vAlign w:val="center"/>
          </w:tcPr>
          <w:p w14:paraId="214D527B">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0.050</w:t>
            </w:r>
          </w:p>
        </w:tc>
      </w:tr>
      <w:tr w14:paraId="0E07EB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4EEBFAB2">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68F9593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氨氮</w:t>
            </w:r>
          </w:p>
        </w:tc>
        <w:tc>
          <w:tcPr>
            <w:tcW w:w="754" w:type="dxa"/>
            <w:vAlign w:val="center"/>
          </w:tcPr>
          <w:p w14:paraId="1CA2A8A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77FEB85F">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37C84F4D">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7643787C">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65CC1EC0">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0.002</w:t>
            </w:r>
          </w:p>
        </w:tc>
        <w:tc>
          <w:tcPr>
            <w:tcW w:w="1454" w:type="dxa"/>
            <w:shd w:val="clear" w:color="auto" w:fill="auto"/>
            <w:vAlign w:val="center"/>
          </w:tcPr>
          <w:p w14:paraId="394900FF">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40C955A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0.002</w:t>
            </w:r>
          </w:p>
        </w:tc>
        <w:tc>
          <w:tcPr>
            <w:tcW w:w="1456" w:type="dxa"/>
            <w:shd w:val="clear" w:color="auto" w:fill="auto"/>
            <w:vAlign w:val="center"/>
          </w:tcPr>
          <w:p w14:paraId="7CE246EF">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0.002</w:t>
            </w:r>
          </w:p>
        </w:tc>
      </w:tr>
      <w:tr w14:paraId="53F52A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3182A4E8">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17DFA091">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溶解性总固体</w:t>
            </w:r>
          </w:p>
        </w:tc>
        <w:tc>
          <w:tcPr>
            <w:tcW w:w="754" w:type="dxa"/>
            <w:vAlign w:val="center"/>
          </w:tcPr>
          <w:p w14:paraId="405E950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40B8D32B">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09885916">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0310E027">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6B658896">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0.004</w:t>
            </w:r>
          </w:p>
        </w:tc>
        <w:tc>
          <w:tcPr>
            <w:tcW w:w="1454" w:type="dxa"/>
            <w:shd w:val="clear" w:color="auto" w:fill="auto"/>
            <w:vAlign w:val="center"/>
          </w:tcPr>
          <w:p w14:paraId="38D4CC29">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1CE1D38A">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0.004</w:t>
            </w:r>
          </w:p>
        </w:tc>
        <w:tc>
          <w:tcPr>
            <w:tcW w:w="1456" w:type="dxa"/>
            <w:shd w:val="clear" w:color="auto" w:fill="auto"/>
            <w:vAlign w:val="center"/>
          </w:tcPr>
          <w:p w14:paraId="3BD3BD3D">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0.004</w:t>
            </w:r>
          </w:p>
        </w:tc>
      </w:tr>
      <w:tr w14:paraId="4C36E4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764468B6">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6D2C1FE3">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总磷</w:t>
            </w:r>
          </w:p>
        </w:tc>
        <w:tc>
          <w:tcPr>
            <w:tcW w:w="754" w:type="dxa"/>
            <w:vAlign w:val="center"/>
          </w:tcPr>
          <w:p w14:paraId="08367C2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6589C6AB">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10E1338E">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763DCA78">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6E89CA7">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0.001</w:t>
            </w:r>
          </w:p>
        </w:tc>
        <w:tc>
          <w:tcPr>
            <w:tcW w:w="1454" w:type="dxa"/>
            <w:shd w:val="clear" w:color="auto" w:fill="auto"/>
            <w:vAlign w:val="center"/>
          </w:tcPr>
          <w:p w14:paraId="6939545A">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5FEE7CFD">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0.001</w:t>
            </w:r>
          </w:p>
        </w:tc>
        <w:tc>
          <w:tcPr>
            <w:tcW w:w="1456" w:type="dxa"/>
            <w:shd w:val="clear" w:color="auto" w:fill="auto"/>
            <w:vAlign w:val="center"/>
          </w:tcPr>
          <w:p w14:paraId="6C0E4DAC">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0.001</w:t>
            </w:r>
          </w:p>
        </w:tc>
      </w:tr>
      <w:tr w14:paraId="6C2A1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750582BD">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2C8302B6">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总氮</w:t>
            </w:r>
          </w:p>
        </w:tc>
        <w:tc>
          <w:tcPr>
            <w:tcW w:w="754" w:type="dxa"/>
            <w:vAlign w:val="center"/>
          </w:tcPr>
          <w:p w14:paraId="0CB43F4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t/a</w:t>
            </w:r>
          </w:p>
        </w:tc>
        <w:tc>
          <w:tcPr>
            <w:tcW w:w="1454" w:type="dxa"/>
            <w:shd w:val="clear" w:color="auto" w:fill="auto"/>
            <w:vAlign w:val="center"/>
          </w:tcPr>
          <w:p w14:paraId="1724CBD0">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4CA6512">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06A5EBD7">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2FE2FE67">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0.004</w:t>
            </w:r>
          </w:p>
        </w:tc>
        <w:tc>
          <w:tcPr>
            <w:tcW w:w="1454" w:type="dxa"/>
            <w:shd w:val="clear" w:color="auto" w:fill="auto"/>
            <w:vAlign w:val="center"/>
          </w:tcPr>
          <w:p w14:paraId="38A270AC">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429C84F4">
            <w:pPr>
              <w:widowControl/>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0.004</w:t>
            </w:r>
          </w:p>
        </w:tc>
        <w:tc>
          <w:tcPr>
            <w:tcW w:w="1456" w:type="dxa"/>
            <w:shd w:val="clear" w:color="auto" w:fill="auto"/>
            <w:vAlign w:val="center"/>
          </w:tcPr>
          <w:p w14:paraId="409E27E0">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0.004</w:t>
            </w:r>
          </w:p>
        </w:tc>
      </w:tr>
      <w:tr w14:paraId="1D676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restart"/>
            <w:vAlign w:val="center"/>
          </w:tcPr>
          <w:p w14:paraId="6D9E06B4">
            <w:pPr>
              <w:pStyle w:val="77"/>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固体废物</w:t>
            </w:r>
          </w:p>
        </w:tc>
        <w:tc>
          <w:tcPr>
            <w:tcW w:w="1483" w:type="dxa"/>
            <w:shd w:val="clear" w:color="auto" w:fill="auto"/>
            <w:vAlign w:val="center"/>
          </w:tcPr>
          <w:p w14:paraId="243BD25A">
            <w:pPr>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除尘灰</w:t>
            </w:r>
          </w:p>
        </w:tc>
        <w:tc>
          <w:tcPr>
            <w:tcW w:w="754" w:type="dxa"/>
            <w:vAlign w:val="center"/>
          </w:tcPr>
          <w:p w14:paraId="1E529D51">
            <w:pPr>
              <w:pStyle w:val="77"/>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color w:val="000000" w:themeColor="text1"/>
                <w:szCs w:val="21"/>
                <w14:textFill>
                  <w14:solidFill>
                    <w14:schemeClr w14:val="tx1"/>
                  </w14:solidFill>
                </w14:textFill>
              </w:rPr>
              <w:t>t/a</w:t>
            </w:r>
          </w:p>
        </w:tc>
        <w:tc>
          <w:tcPr>
            <w:tcW w:w="1454" w:type="dxa"/>
            <w:shd w:val="clear" w:color="auto" w:fill="auto"/>
            <w:vAlign w:val="center"/>
          </w:tcPr>
          <w:p w14:paraId="195EB45B">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5755121F">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11F4C22C">
            <w:pPr>
              <w:pStyle w:val="77"/>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0</w:t>
            </w:r>
          </w:p>
        </w:tc>
        <w:tc>
          <w:tcPr>
            <w:tcW w:w="1453" w:type="dxa"/>
            <w:shd w:val="clear" w:color="auto" w:fill="auto"/>
            <w:vAlign w:val="center"/>
          </w:tcPr>
          <w:p w14:paraId="74FCA01C">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12.605</w:t>
            </w:r>
          </w:p>
        </w:tc>
        <w:tc>
          <w:tcPr>
            <w:tcW w:w="1454" w:type="dxa"/>
            <w:shd w:val="clear" w:color="auto" w:fill="auto"/>
            <w:vAlign w:val="center"/>
          </w:tcPr>
          <w:p w14:paraId="4960BF6B">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59334075">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12.605</w:t>
            </w:r>
          </w:p>
        </w:tc>
        <w:tc>
          <w:tcPr>
            <w:tcW w:w="1456" w:type="dxa"/>
            <w:shd w:val="clear" w:color="auto" w:fill="auto"/>
            <w:vAlign w:val="center"/>
          </w:tcPr>
          <w:p w14:paraId="2E79CF53">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+12.605</w:t>
            </w:r>
          </w:p>
        </w:tc>
      </w:tr>
      <w:tr w14:paraId="717058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4B6B7510">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27C4204A">
            <w:pPr>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炉渣</w:t>
            </w:r>
          </w:p>
        </w:tc>
        <w:tc>
          <w:tcPr>
            <w:tcW w:w="754" w:type="dxa"/>
            <w:vAlign w:val="center"/>
          </w:tcPr>
          <w:p w14:paraId="59AFE53D">
            <w:pPr>
              <w:pStyle w:val="77"/>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t/a</w:t>
            </w:r>
          </w:p>
        </w:tc>
        <w:tc>
          <w:tcPr>
            <w:tcW w:w="1454" w:type="dxa"/>
            <w:shd w:val="clear" w:color="auto" w:fill="auto"/>
            <w:vAlign w:val="center"/>
          </w:tcPr>
          <w:p w14:paraId="0C18135C">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66A8BAD">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6AE43FE9">
            <w:pPr>
              <w:pStyle w:val="77"/>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0</w:t>
            </w:r>
          </w:p>
        </w:tc>
        <w:tc>
          <w:tcPr>
            <w:tcW w:w="1453" w:type="dxa"/>
            <w:shd w:val="clear" w:color="auto" w:fill="auto"/>
            <w:vAlign w:val="center"/>
          </w:tcPr>
          <w:p w14:paraId="52B812E1">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23.5</w:t>
            </w:r>
          </w:p>
        </w:tc>
        <w:tc>
          <w:tcPr>
            <w:tcW w:w="1454" w:type="dxa"/>
            <w:shd w:val="clear" w:color="auto" w:fill="auto"/>
            <w:vAlign w:val="center"/>
          </w:tcPr>
          <w:p w14:paraId="00AB139E">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39D87F0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23.5</w:t>
            </w:r>
          </w:p>
        </w:tc>
        <w:tc>
          <w:tcPr>
            <w:tcW w:w="1456" w:type="dxa"/>
            <w:shd w:val="clear" w:color="auto" w:fill="auto"/>
            <w:vAlign w:val="center"/>
          </w:tcPr>
          <w:p w14:paraId="62A634F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+23.5</w:t>
            </w:r>
          </w:p>
        </w:tc>
      </w:tr>
      <w:tr w14:paraId="121189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59E0AF47">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1F2E5F1C">
            <w:pPr>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废布袋</w:t>
            </w:r>
          </w:p>
        </w:tc>
        <w:tc>
          <w:tcPr>
            <w:tcW w:w="754" w:type="dxa"/>
            <w:vAlign w:val="center"/>
          </w:tcPr>
          <w:p w14:paraId="16DE6FB0">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t/a</w:t>
            </w:r>
          </w:p>
        </w:tc>
        <w:tc>
          <w:tcPr>
            <w:tcW w:w="1454" w:type="dxa"/>
            <w:shd w:val="clear" w:color="auto" w:fill="auto"/>
            <w:vAlign w:val="center"/>
          </w:tcPr>
          <w:p w14:paraId="2C2E1B55">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152D7580">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2CA91919">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3C740B4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0.1</w:t>
            </w:r>
          </w:p>
        </w:tc>
        <w:tc>
          <w:tcPr>
            <w:tcW w:w="1454" w:type="dxa"/>
            <w:shd w:val="clear" w:color="auto" w:fill="auto"/>
            <w:vAlign w:val="center"/>
          </w:tcPr>
          <w:p w14:paraId="17F02331">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46BB490D">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0.1</w:t>
            </w:r>
          </w:p>
        </w:tc>
        <w:tc>
          <w:tcPr>
            <w:tcW w:w="1456" w:type="dxa"/>
            <w:shd w:val="clear" w:color="auto" w:fill="auto"/>
            <w:vAlign w:val="center"/>
          </w:tcPr>
          <w:p w14:paraId="0058E82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+0.1</w:t>
            </w:r>
          </w:p>
        </w:tc>
      </w:tr>
      <w:tr w14:paraId="023E9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4494463F">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0A890F1D">
            <w:pPr>
              <w:jc w:val="center"/>
              <w:rPr>
                <w:color w:val="000000" w:themeColor="text1"/>
                <w14:textFill>
                  <w14:solidFill>
                    <w14:schemeClr w14:val="tx1"/>
                  </w14:solidFill>
                </w14:textFill>
              </w:rPr>
            </w:pPr>
            <w:r>
              <w:rPr>
                <w:bCs/>
                <w:color w:val="000000" w:themeColor="text1"/>
                <w:kern w:val="0"/>
                <w:szCs w:val="21"/>
                <w14:textFill>
                  <w14:solidFill>
                    <w14:schemeClr w14:val="tx1"/>
                  </w14:solidFill>
                </w14:textFill>
              </w:rPr>
              <w:t>废离子交换树脂</w:t>
            </w:r>
          </w:p>
        </w:tc>
        <w:tc>
          <w:tcPr>
            <w:tcW w:w="754" w:type="dxa"/>
            <w:vAlign w:val="center"/>
          </w:tcPr>
          <w:p w14:paraId="5D47C5C0">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t/a</w:t>
            </w:r>
          </w:p>
        </w:tc>
        <w:tc>
          <w:tcPr>
            <w:tcW w:w="1454" w:type="dxa"/>
            <w:shd w:val="clear" w:color="auto" w:fill="auto"/>
            <w:vAlign w:val="center"/>
          </w:tcPr>
          <w:p w14:paraId="3AD6D97A">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390C3946">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2BD7CD9F">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5B39DF6">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0.2</w:t>
            </w:r>
          </w:p>
        </w:tc>
        <w:tc>
          <w:tcPr>
            <w:tcW w:w="1454" w:type="dxa"/>
            <w:shd w:val="clear" w:color="auto" w:fill="auto"/>
            <w:vAlign w:val="center"/>
          </w:tcPr>
          <w:p w14:paraId="328C44E7">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A54AA6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0.2</w:t>
            </w:r>
          </w:p>
        </w:tc>
        <w:tc>
          <w:tcPr>
            <w:tcW w:w="1456" w:type="dxa"/>
            <w:shd w:val="clear" w:color="auto" w:fill="auto"/>
            <w:vAlign w:val="center"/>
          </w:tcPr>
          <w:p w14:paraId="5FBD0E0B">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+0.2</w:t>
            </w:r>
          </w:p>
        </w:tc>
      </w:tr>
      <w:tr w14:paraId="0D430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4908D742">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579AD36A">
            <w:pPr>
              <w:jc w:val="center"/>
              <w:rPr>
                <w:color w:val="000000" w:themeColor="text1"/>
                <w14:textFill>
                  <w14:solidFill>
                    <w14:schemeClr w14:val="tx1"/>
                  </w14:solidFill>
                </w14:textFill>
              </w:rPr>
            </w:pPr>
            <w:r>
              <w:rPr>
                <w:bCs/>
                <w:color w:val="000000" w:themeColor="text1"/>
                <w:kern w:val="0"/>
                <w:szCs w:val="21"/>
                <w14:textFill>
                  <w14:solidFill>
                    <w14:schemeClr w14:val="tx1"/>
                  </w14:solidFill>
                </w14:textFill>
              </w:rPr>
              <w:t>废机油</w:t>
            </w:r>
          </w:p>
        </w:tc>
        <w:tc>
          <w:tcPr>
            <w:tcW w:w="754" w:type="dxa"/>
            <w:vAlign w:val="center"/>
          </w:tcPr>
          <w:p w14:paraId="0CEB9B06">
            <w:pPr>
              <w:pStyle w:val="77"/>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t/a</w:t>
            </w:r>
          </w:p>
        </w:tc>
        <w:tc>
          <w:tcPr>
            <w:tcW w:w="1454" w:type="dxa"/>
            <w:shd w:val="clear" w:color="auto" w:fill="auto"/>
            <w:vAlign w:val="center"/>
          </w:tcPr>
          <w:p w14:paraId="46F46550">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19625823">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26274F15">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764227B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0.02</w:t>
            </w:r>
          </w:p>
        </w:tc>
        <w:tc>
          <w:tcPr>
            <w:tcW w:w="1454" w:type="dxa"/>
            <w:shd w:val="clear" w:color="auto" w:fill="auto"/>
            <w:vAlign w:val="center"/>
          </w:tcPr>
          <w:p w14:paraId="6AFE7EFF">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44F2987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0.02</w:t>
            </w:r>
          </w:p>
        </w:tc>
        <w:tc>
          <w:tcPr>
            <w:tcW w:w="1456" w:type="dxa"/>
            <w:shd w:val="clear" w:color="auto" w:fill="auto"/>
            <w:vAlign w:val="center"/>
          </w:tcPr>
          <w:p w14:paraId="3377F9CF">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+0.02</w:t>
            </w:r>
          </w:p>
        </w:tc>
      </w:tr>
      <w:tr w14:paraId="77EF66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8" w:type="dxa"/>
            <w:vMerge w:val="continue"/>
            <w:vAlign w:val="center"/>
          </w:tcPr>
          <w:p w14:paraId="145CCF08">
            <w:pPr>
              <w:pStyle w:val="77"/>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83" w:type="dxa"/>
            <w:shd w:val="clear" w:color="auto" w:fill="auto"/>
            <w:vAlign w:val="center"/>
          </w:tcPr>
          <w:p w14:paraId="60D7F5A5">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废机油桶</w:t>
            </w:r>
          </w:p>
        </w:tc>
        <w:tc>
          <w:tcPr>
            <w:tcW w:w="754" w:type="dxa"/>
            <w:vAlign w:val="center"/>
          </w:tcPr>
          <w:p w14:paraId="35D49640">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t/a</w:t>
            </w:r>
          </w:p>
        </w:tc>
        <w:tc>
          <w:tcPr>
            <w:tcW w:w="1454" w:type="dxa"/>
            <w:shd w:val="clear" w:color="auto" w:fill="auto"/>
            <w:vAlign w:val="center"/>
          </w:tcPr>
          <w:p w14:paraId="6FA6B58B">
            <w:pPr>
              <w:jc w:val="center"/>
              <w:rPr>
                <w:bCs/>
                <w:color w:val="000000" w:themeColor="text1"/>
                <w:kern w:val="0"/>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027B17DA">
            <w:pPr>
              <w:jc w:val="center"/>
              <w:rPr>
                <w:bCs/>
                <w:color w:val="000000" w:themeColor="text1"/>
                <w:kern w:val="0"/>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4" w:type="dxa"/>
            <w:vAlign w:val="center"/>
          </w:tcPr>
          <w:p w14:paraId="1976542A">
            <w:pPr>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6E3F66B1">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0.005</w:t>
            </w:r>
          </w:p>
        </w:tc>
        <w:tc>
          <w:tcPr>
            <w:tcW w:w="1454" w:type="dxa"/>
            <w:shd w:val="clear" w:color="auto" w:fill="auto"/>
            <w:vAlign w:val="center"/>
          </w:tcPr>
          <w:p w14:paraId="22AB8A44">
            <w:pPr>
              <w:jc w:val="center"/>
              <w:rPr>
                <w:color w:val="000000" w:themeColor="text1"/>
                <w:szCs w:val="21"/>
                <w14:textFill>
                  <w14:solidFill>
                    <w14:schemeClr w14:val="tx1"/>
                  </w14:solidFill>
                </w14:textFill>
              </w:rPr>
            </w:pPr>
            <w:r>
              <w:rPr>
                <w:snapToGrid w:val="0"/>
                <w:color w:val="000000" w:themeColor="text1"/>
                <w:kern w:val="21"/>
                <w:szCs w:val="21"/>
                <w14:textFill>
                  <w14:solidFill>
                    <w14:schemeClr w14:val="tx1"/>
                  </w14:solidFill>
                </w14:textFill>
              </w:rPr>
              <w:t>0</w:t>
            </w:r>
          </w:p>
        </w:tc>
        <w:tc>
          <w:tcPr>
            <w:tcW w:w="1453" w:type="dxa"/>
            <w:shd w:val="clear" w:color="auto" w:fill="auto"/>
            <w:vAlign w:val="center"/>
          </w:tcPr>
          <w:p w14:paraId="6C7EE2E2">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0.005</w:t>
            </w:r>
          </w:p>
        </w:tc>
        <w:tc>
          <w:tcPr>
            <w:tcW w:w="1456" w:type="dxa"/>
            <w:shd w:val="clear" w:color="auto" w:fill="auto"/>
            <w:vAlign w:val="center"/>
          </w:tcPr>
          <w:p w14:paraId="447A6654">
            <w:pPr>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+0.005</w:t>
            </w:r>
          </w:p>
        </w:tc>
      </w:tr>
    </w:tbl>
    <w:p w14:paraId="5992EBEE">
      <w:pPr>
        <w:pStyle w:val="77"/>
        <w:spacing w:beforeLines="0" w:afterLines="0" w:line="240" w:lineRule="auto"/>
        <w:jc w:val="left"/>
        <w:rPr>
          <w:rFonts w:ascii="Times New Roman"/>
          <w:snapToGrid w:val="0"/>
          <w:color w:val="000000" w:themeColor="text1"/>
          <w:spacing w:val="-6"/>
          <w:kern w:val="21"/>
          <w:szCs w:val="21"/>
          <w14:textFill>
            <w14:solidFill>
              <w14:schemeClr w14:val="tx1"/>
            </w14:solidFill>
          </w14:textFill>
        </w:rPr>
        <w:sectPr>
          <w:footerReference r:id="rId6" w:type="default"/>
          <w:pgSz w:w="16838" w:h="11906" w:orient="landscape"/>
          <w:pgMar w:top="1417" w:right="1531" w:bottom="1417" w:left="1531" w:header="851" w:footer="850" w:gutter="0"/>
          <w:cols w:space="720" w:num="1"/>
          <w:docGrid w:linePitch="312" w:charSpace="0"/>
        </w:sectPr>
      </w:pPr>
      <w:r>
        <w:rPr>
          <w:rFonts w:ascii="Times New Roman"/>
          <w:snapToGrid w:val="0"/>
          <w:color w:val="000000" w:themeColor="text1"/>
          <w:kern w:val="21"/>
          <w:szCs w:val="21"/>
          <w14:textFill>
            <w14:solidFill>
              <w14:schemeClr w14:val="tx1"/>
            </w14:solidFill>
          </w14:textFill>
        </w:rPr>
        <w:t>注：</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6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⑥</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1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①</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3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③</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4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④</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5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⑤</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7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⑦</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6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⑥</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1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ascii="Times New Roman"/>
          <w:color w:val="000000" w:themeColor="text1"/>
          <w:szCs w:val="21"/>
          <w14:textFill>
            <w14:solidFill>
              <w14:schemeClr w14:val="tx1"/>
            </w14:solidFill>
          </w14:textFill>
        </w:rPr>
        <w:t>①</w:t>
      </w:r>
      <w:r>
        <w:rPr>
          <w:rFonts w:ascii="Times New Roman"/>
          <w:snapToGrid w:val="0"/>
          <w:color w:val="000000" w:themeColor="text1"/>
          <w:spacing w:val="-6"/>
          <w:kern w:val="21"/>
          <w:szCs w:val="21"/>
          <w14:textFill>
            <w14:solidFill>
              <w14:schemeClr w14:val="tx1"/>
            </w14:solidFill>
          </w14:textFill>
        </w:rPr>
        <w:fldChar w:fldCharType="end"/>
      </w:r>
    </w:p>
    <w:p w14:paraId="06D091DC">
      <w:pPr>
        <w:jc w:val="center"/>
        <w:rPr>
          <w:color w:val="000000" w:themeColor="text1"/>
          <w:sz w:val="28"/>
          <w14:textFill>
            <w14:solidFill>
              <w14:schemeClr w14:val="tx1"/>
            </w14:solidFill>
          </w14:textFill>
        </w:rPr>
      </w:pPr>
      <w:r>
        <w:rPr>
          <w:color w:val="000000" w:themeColor="text1"/>
          <w:sz w:val="28"/>
          <w14:textFill>
            <w14:solidFill>
              <w14:schemeClr w14:val="tx1"/>
            </w14:solidFill>
          </w14:textFill>
        </w:rPr>
        <w:object>
          <v:shape id="_x0000_i1039" o:spt="75" type="#_x0000_t75" style="height:405.8pt;width:538.55pt;" o:ole="t" filled="f" o:preferrelative="t" stroked="f" coordsize="21600,21600">
            <v:path/>
            <v:fill on="f" focussize="0,0"/>
            <v:stroke on="f" joinstyle="miter"/>
            <v:imagedata r:id="rId56" o:title=""/>
            <o:lock v:ext="edit" aspectratio="f"/>
            <w10:wrap type="none"/>
            <w10:anchorlock/>
          </v:shape>
          <o:OLEObject Type="Embed" ProgID="Visio.Drawing.11" ShapeID="_x0000_i1039" DrawAspect="Content" ObjectID="_1468075739" r:id="rId55">
            <o:LockedField>false</o:LockedField>
          </o:OLEObject>
        </w:object>
      </w:r>
    </w:p>
    <w:p w14:paraId="67812311">
      <w:pPr>
        <w:pStyle w:val="3"/>
        <w:numPr>
          <w:ilvl w:val="0"/>
          <w:numId w:val="0"/>
        </w:numPr>
        <w:spacing w:line="240" w:lineRule="auto"/>
        <w:jc w:val="center"/>
        <w:rPr>
          <w:rFonts w:eastAsia="宋体"/>
          <w:b/>
          <w:bCs w:val="0"/>
          <w:color w:val="000000" w:themeColor="text1"/>
          <w:sz w:val="24"/>
          <w:szCs w:val="24"/>
          <w14:textFill>
            <w14:solidFill>
              <w14:schemeClr w14:val="tx1"/>
            </w14:solidFill>
          </w14:textFill>
        </w:rPr>
      </w:pPr>
      <w:r>
        <w:rPr>
          <w:rFonts w:eastAsia="宋体"/>
          <w:b/>
          <w:bCs w:val="0"/>
          <w:color w:val="000000" w:themeColor="text1"/>
          <w:sz w:val="24"/>
          <w:szCs w:val="24"/>
          <w14:textFill>
            <w14:solidFill>
              <w14:schemeClr w14:val="tx1"/>
            </w14:solidFill>
          </w14:textFill>
        </w:rPr>
        <w:t>附图1 项目地理位置图</w:t>
      </w:r>
    </w:p>
    <w:p w14:paraId="5B1D370E">
      <w:pPr>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7121A28B">
      <w:pPr>
        <w:jc w:val="center"/>
        <w:rPr>
          <w:b/>
          <w:bCs/>
          <w:color w:val="000000" w:themeColor="text1"/>
          <w:sz w:val="24"/>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5822950</wp:posOffset>
                </wp:positionH>
                <wp:positionV relativeFrom="paragraph">
                  <wp:posOffset>3454400</wp:posOffset>
                </wp:positionV>
                <wp:extent cx="462280" cy="208280"/>
                <wp:effectExtent l="12700" t="12700" r="20320" b="20320"/>
                <wp:wrapNone/>
                <wp:docPr id="27" name="矩形 27"/>
                <wp:cNvGraphicFramePr/>
                <a:graphic xmlns:a="http://schemas.openxmlformats.org/drawingml/2006/main">
                  <a:graphicData uri="http://schemas.microsoft.com/office/word/2010/wordprocessingShape">
                    <wps:wsp>
                      <wps:cNvSpPr/>
                      <wps:spPr>
                        <a:xfrm>
                          <a:off x="6543040" y="4426585"/>
                          <a:ext cx="462280" cy="20828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19C2D6F">
                            <w:pPr>
                              <w:rPr>
                                <w:b/>
                                <w:bCs/>
                                <w:color w:val="000000" w:themeColor="text1"/>
                                <w:sz w:val="15"/>
                                <w:szCs w:val="18"/>
                                <w14:textFill>
                                  <w14:solidFill>
                                    <w14:schemeClr w14:val="tx1"/>
                                  </w14:solidFill>
                                </w14:textFill>
                              </w:rPr>
                            </w:pPr>
                            <w:r>
                              <w:rPr>
                                <w:rFonts w:hint="eastAsia"/>
                                <w:b/>
                                <w:bCs/>
                                <w:color w:val="000000" w:themeColor="text1"/>
                                <w:sz w:val="15"/>
                                <w:szCs w:val="18"/>
                                <w14:textFill>
                                  <w14:solidFill>
                                    <w14:schemeClr w14:val="tx1"/>
                                  </w14:solidFill>
                                </w14:textFill>
                              </w:rPr>
                              <w:t>峡河</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8.5pt;margin-top:272pt;height:16.4pt;width:36.4pt;z-index:251663360;v-text-anchor:middle;mso-width-relative:page;mso-height-relative:page;" fillcolor="#FFFFFF [3212]" filled="t" stroked="t" coordsize="21600,21600" o:gfxdata="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eEY002wAAAAsBAAAPAAAAAAAAAAEAIAAAACIAAABkcnMvZG93&#10;bnJldi54bWxQSwECFAAUAAAACACHTuJAnf/0tm8CAAD1BAAADgAAAAAAAAABACAAAAAqAQAAZHJz&#10;L2Uyb0RvYy54bWxQSwUGAAAAAAYABgBZAQAACwYAAAAA&#10;">
                <v:fill on="t" focussize="0,0"/>
                <v:stroke weight="2pt" color="#FFFFFF [3212]" joinstyle="round"/>
                <v:imagedata o:title=""/>
                <o:lock v:ext="edit" aspectratio="f"/>
                <v:textbox>
                  <w:txbxContent>
                    <w:p w14:paraId="319C2D6F">
                      <w:pPr>
                        <w:rPr>
                          <w:b/>
                          <w:bCs/>
                          <w:color w:val="000000" w:themeColor="text1"/>
                          <w:sz w:val="15"/>
                          <w:szCs w:val="18"/>
                          <w14:textFill>
                            <w14:solidFill>
                              <w14:schemeClr w14:val="tx1"/>
                            </w14:solidFill>
                          </w14:textFill>
                        </w:rPr>
                      </w:pPr>
                      <w:r>
                        <w:rPr>
                          <w:rFonts w:hint="eastAsia"/>
                          <w:b/>
                          <w:bCs/>
                          <w:color w:val="000000" w:themeColor="text1"/>
                          <w:sz w:val="15"/>
                          <w:szCs w:val="18"/>
                          <w14:textFill>
                            <w14:solidFill>
                              <w14:schemeClr w14:val="tx1"/>
                            </w14:solidFill>
                          </w14:textFill>
                        </w:rPr>
                        <w:t>峡河</w:t>
                      </w:r>
                    </w:p>
                  </w:txbxContent>
                </v:textbox>
              </v:rect>
            </w:pict>
          </mc:Fallback>
        </mc:AlternateContent>
      </w:r>
      <w:r>
        <w:rPr>
          <w:b/>
          <w:bCs/>
          <w:color w:val="000000" w:themeColor="text1"/>
          <w:sz w:val="24"/>
          <w14:textFill>
            <w14:solidFill>
              <w14:schemeClr w14:val="tx1"/>
            </w14:solidFill>
          </w14:textFill>
        </w:rPr>
        <w:object>
          <v:shape id="_x0000_i1040" o:spt="75" type="#_x0000_t75" style="height:423.75pt;width:458.1pt;" o:ole="t" filled="f" o:preferrelative="t" stroked="f" coordsize="21600,21600">
            <v:path/>
            <v:fill on="f" focussize="0,0"/>
            <v:stroke on="f" joinstyle="miter"/>
            <v:imagedata r:id="rId58" o:title=""/>
            <o:lock v:ext="edit" aspectratio="f"/>
            <w10:wrap type="none"/>
            <w10:anchorlock/>
          </v:shape>
          <o:OLEObject Type="Embed" ProgID="Visio.Drawing.11" ShapeID="_x0000_i1040" DrawAspect="Content" ObjectID="_1468075740" r:id="rId57">
            <o:LockedField>false</o:LockedField>
          </o:OLEObject>
        </w:object>
      </w:r>
    </w:p>
    <w:p w14:paraId="350644C8">
      <w:pPr>
        <w:pStyle w:val="3"/>
        <w:numPr>
          <w:ilvl w:val="0"/>
          <w:numId w:val="0"/>
        </w:numPr>
        <w:tabs>
          <w:tab w:val="clear" w:pos="756"/>
        </w:tabs>
        <w:spacing w:before="0" w:after="0"/>
        <w:jc w:val="center"/>
        <w:rPr>
          <w:rFonts w:eastAsia="宋体"/>
          <w:b/>
          <w:color w:val="000000" w:themeColor="text1"/>
          <w:sz w:val="24"/>
          <w:szCs w:val="24"/>
          <w14:textFill>
            <w14:solidFill>
              <w14:schemeClr w14:val="tx1"/>
            </w14:solidFill>
          </w14:textFill>
        </w:rPr>
      </w:pPr>
      <w:r>
        <w:rPr>
          <w:rFonts w:eastAsia="宋体"/>
          <w:b/>
          <w:color w:val="000000" w:themeColor="text1"/>
          <w:sz w:val="24"/>
          <w:szCs w:val="24"/>
          <w14:textFill>
            <w14:solidFill>
              <w14:schemeClr w14:val="tx1"/>
            </w14:solidFill>
          </w14:textFill>
        </w:rPr>
        <w:t>附图2 敏感目标分布与周边关系图</w:t>
      </w:r>
    </w:p>
    <w:p w14:paraId="21DAF173">
      <w:pPr>
        <w:rPr>
          <w:b/>
          <w:color w:val="000000" w:themeColor="text1"/>
          <w:sz w:val="24"/>
          <w14:textFill>
            <w14:solidFill>
              <w14:schemeClr w14:val="tx1"/>
            </w14:solidFill>
          </w14:textFill>
        </w:rPr>
        <w:sectPr>
          <w:pgSz w:w="16838" w:h="11906" w:orient="landscape"/>
          <w:pgMar w:top="1531" w:right="1134" w:bottom="1134" w:left="1134" w:header="851" w:footer="850" w:gutter="0"/>
          <w:cols w:space="720" w:num="1"/>
          <w:docGrid w:linePitch="312" w:charSpace="0"/>
        </w:sectPr>
      </w:pPr>
      <w:r>
        <w:rPr>
          <w:b/>
          <w:color w:val="000000" w:themeColor="text1"/>
          <w:sz w:val="24"/>
          <w14:textFill>
            <w14:solidFill>
              <w14:schemeClr w14:val="tx1"/>
            </w14:solidFill>
          </w14:textFill>
        </w:rPr>
        <w:br w:type="page"/>
      </w:r>
    </w:p>
    <w:p w14:paraId="2F226794">
      <w:pPr>
        <w:pStyle w:val="7"/>
        <w:rPr>
          <w:color w:val="000000" w:themeColor="text1"/>
          <w14:textFill>
            <w14:solidFill>
              <w14:schemeClr w14:val="tx1"/>
            </w14:solidFill>
          </w14:textFill>
        </w:rPr>
      </w:pPr>
      <w:r>
        <w:rPr>
          <w:color w:val="000000" w:themeColor="text1"/>
          <w14:textFill>
            <w14:solidFill>
              <w14:schemeClr w14:val="tx1"/>
            </w14:solidFill>
          </w14:textFill>
        </w:rPr>
        <w:object>
          <v:shape id="_x0000_i1041" o:spt="75" type="#_x0000_t75" style="height:412.25pt;width:589.6pt;" o:ole="t" filled="f" o:preferrelative="t" stroked="f" coordsize="21600,21600">
            <v:path/>
            <v:fill on="f" focussize="0,0"/>
            <v:stroke on="f" joinstyle="miter"/>
            <v:imagedata r:id="rId60" cropleft="12389f" croptop="17017f" cropright="1475f" cropbottom="16811f" o:title=""/>
            <o:lock v:ext="edit" aspectratio="f"/>
            <w10:wrap type="none"/>
            <w10:anchorlock/>
          </v:shape>
          <o:OLEObject Type="Embed" ProgID="Visio.Drawing.11" ShapeID="_x0000_i1041" DrawAspect="Content" ObjectID="_1468075741" r:id="rId59">
            <o:LockedField>false</o:LockedField>
          </o:OLEObject>
        </w:object>
      </w:r>
    </w:p>
    <w:p w14:paraId="00C77B9E">
      <w:pPr>
        <w:pStyle w:val="3"/>
        <w:numPr>
          <w:ilvl w:val="0"/>
          <w:numId w:val="0"/>
        </w:numPr>
        <w:tabs>
          <w:tab w:val="clear" w:pos="756"/>
        </w:tabs>
        <w:spacing w:before="0" w:after="0"/>
        <w:jc w:val="center"/>
        <w:rPr>
          <w:rFonts w:eastAsia="宋体"/>
          <w:b/>
          <w:color w:val="000000" w:themeColor="text1"/>
          <w:sz w:val="24"/>
          <w:szCs w:val="24"/>
          <w14:textFill>
            <w14:solidFill>
              <w14:schemeClr w14:val="tx1"/>
            </w14:solidFill>
          </w14:textFill>
        </w:rPr>
      </w:pPr>
      <w:r>
        <w:rPr>
          <w:rFonts w:eastAsia="宋体"/>
          <w:b/>
          <w:color w:val="000000" w:themeColor="text1"/>
          <w:sz w:val="24"/>
          <w:szCs w:val="24"/>
          <w14:textFill>
            <w14:solidFill>
              <w14:schemeClr w14:val="tx1"/>
            </w14:solidFill>
          </w14:textFill>
        </w:rPr>
        <w:t>附图3 厂区平面布置图</w:t>
      </w:r>
    </w:p>
    <w:p w14:paraId="49D6E944">
      <w:pPr>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6920A2C7">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object>
          <v:shape id="_x0000_i1042" o:spt="75" type="#_x0000_t75" style="height:418pt;width:598.45pt;" o:ole="t" filled="f" o:preferrelative="t" stroked="f" coordsize="21600,21600">
            <v:path/>
            <v:fill on="f" focussize="0,0"/>
            <v:stroke on="f" joinstyle="miter"/>
            <v:imagedata r:id="rId62" o:title=""/>
            <o:lock v:ext="edit" aspectratio="f"/>
            <w10:wrap type="none"/>
            <w10:anchorlock/>
          </v:shape>
          <o:OLEObject Type="Embed" ProgID="Visio.Drawing.11" ShapeID="_x0000_i1042" DrawAspect="Content" ObjectID="_1468075742" r:id="rId61">
            <o:LockedField>false</o:LockedField>
          </o:OLEObject>
        </w:object>
      </w:r>
    </w:p>
    <w:p w14:paraId="4F2C74E3">
      <w:pPr>
        <w:pStyle w:val="3"/>
        <w:numPr>
          <w:ilvl w:val="0"/>
          <w:numId w:val="0"/>
        </w:numPr>
        <w:tabs>
          <w:tab w:val="clear" w:pos="756"/>
        </w:tabs>
        <w:spacing w:before="0" w:after="0"/>
        <w:jc w:val="center"/>
        <w:rPr>
          <w:rFonts w:eastAsia="宋体"/>
          <w:b/>
          <w:color w:val="000000" w:themeColor="text1"/>
          <w:sz w:val="24"/>
          <w:szCs w:val="24"/>
          <w14:textFill>
            <w14:solidFill>
              <w14:schemeClr w14:val="tx1"/>
            </w14:solidFill>
          </w14:textFill>
        </w:rPr>
      </w:pPr>
      <w:r>
        <w:rPr>
          <w:rFonts w:eastAsia="宋体"/>
          <w:b/>
          <w:color w:val="000000" w:themeColor="text1"/>
          <w:sz w:val="24"/>
          <w:szCs w:val="24"/>
          <w14:textFill>
            <w14:solidFill>
              <w14:schemeClr w14:val="tx1"/>
            </w14:solidFill>
          </w14:textFill>
        </w:rPr>
        <w:t>附图</w:t>
      </w:r>
      <w:r>
        <w:rPr>
          <w:b/>
          <w:color w:val="000000" w:themeColor="text1"/>
          <w:sz w:val="24"/>
          <w:szCs w:val="24"/>
          <w14:textFill>
            <w14:solidFill>
              <w14:schemeClr w14:val="tx1"/>
            </w14:solidFill>
          </w14:textFill>
        </w:rPr>
        <w:t>4</w:t>
      </w:r>
      <w:r>
        <w:rPr>
          <w:rFonts w:eastAsia="宋体"/>
          <w:b/>
          <w:color w:val="000000" w:themeColor="text1"/>
          <w:sz w:val="24"/>
          <w:szCs w:val="24"/>
          <w14:textFill>
            <w14:solidFill>
              <w14:schemeClr w14:val="tx1"/>
            </w14:solidFill>
          </w14:textFill>
        </w:rPr>
        <w:t xml:space="preserve"> </w:t>
      </w:r>
      <w:r>
        <w:rPr>
          <w:b/>
          <w:color w:val="000000" w:themeColor="text1"/>
          <w:sz w:val="24"/>
          <w:szCs w:val="24"/>
          <w14:textFill>
            <w14:solidFill>
              <w14:schemeClr w14:val="tx1"/>
            </w14:solidFill>
          </w14:textFill>
        </w:rPr>
        <w:t>锅炉房</w:t>
      </w:r>
      <w:r>
        <w:rPr>
          <w:rFonts w:eastAsia="宋体"/>
          <w:b/>
          <w:color w:val="000000" w:themeColor="text1"/>
          <w:sz w:val="24"/>
          <w:szCs w:val="24"/>
          <w14:textFill>
            <w14:solidFill>
              <w14:schemeClr w14:val="tx1"/>
            </w14:solidFill>
          </w14:textFill>
        </w:rPr>
        <w:t>平面布置图</w:t>
      </w:r>
      <w:r>
        <w:rPr>
          <w:rFonts w:eastAsia="宋体"/>
          <w:b/>
          <w:color w:val="000000" w:themeColor="text1"/>
          <w:sz w:val="24"/>
          <w:szCs w:val="24"/>
          <w14:textFill>
            <w14:solidFill>
              <w14:schemeClr w14:val="tx1"/>
            </w14:solidFill>
          </w14:textFill>
        </w:rPr>
        <w:br w:type="page"/>
      </w:r>
    </w:p>
    <w:p w14:paraId="399852B7">
      <w:pPr>
        <w:jc w:val="center"/>
        <w:rPr>
          <w:color w:val="000000" w:themeColor="text1"/>
          <w14:textFill>
            <w14:solidFill>
              <w14:schemeClr w14:val="tx1"/>
            </w14:solidFill>
          </w14:textFill>
        </w:rPr>
        <w:sectPr>
          <w:pgSz w:w="16838" w:h="11906" w:orient="landscape"/>
          <w:pgMar w:top="1531" w:right="1134" w:bottom="1134" w:left="1134" w:header="851" w:footer="850" w:gutter="0"/>
          <w:cols w:space="720" w:num="1"/>
          <w:docGrid w:linePitch="312" w:charSpace="0"/>
        </w:sectPr>
      </w:pPr>
    </w:p>
    <w:p w14:paraId="06B3AEE0">
      <w:pPr>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43" o:spt="75" type="#_x0000_t75" style="height:419.15pt;width:672.7pt;" o:ole="t" filled="f" o:preferrelative="t" stroked="f" coordsize="21600,21600">
            <v:path/>
            <v:fill on="f" focussize="0,0"/>
            <v:stroke on="f" joinstyle="miter"/>
            <v:imagedata r:id="rId64" cropleft="12439f" croptop="16315f" cropright="1805f" cropbottom="16946f" o:title=""/>
            <o:lock v:ext="edit" aspectratio="f"/>
            <w10:wrap type="none"/>
            <w10:anchorlock/>
          </v:shape>
          <o:OLEObject Type="Embed" ProgID="Visio.Drawing.11" ShapeID="_x0000_i1043" DrawAspect="Content" ObjectID="_1468075743" r:id="rId63">
            <o:LockedField>false</o:LockedField>
          </o:OLEObject>
        </w:object>
      </w:r>
    </w:p>
    <w:p w14:paraId="6BF4A714">
      <w:pPr>
        <w:pStyle w:val="3"/>
        <w:numPr>
          <w:ilvl w:val="0"/>
          <w:numId w:val="0"/>
        </w:numPr>
        <w:tabs>
          <w:tab w:val="clear" w:pos="756"/>
        </w:tabs>
        <w:spacing w:before="0" w:after="0"/>
        <w:jc w:val="center"/>
        <w:rPr>
          <w:rFonts w:eastAsia="宋体"/>
          <w:b/>
          <w:color w:val="000000" w:themeColor="text1"/>
          <w:sz w:val="24"/>
          <w:szCs w:val="24"/>
          <w14:textFill>
            <w14:solidFill>
              <w14:schemeClr w14:val="tx1"/>
            </w14:solidFill>
          </w14:textFill>
        </w:rPr>
        <w:sectPr>
          <w:pgSz w:w="16838" w:h="11906" w:orient="landscape"/>
          <w:pgMar w:top="1531" w:right="1134" w:bottom="1134" w:left="1134" w:header="851" w:footer="850" w:gutter="0"/>
          <w:cols w:space="720" w:num="1"/>
          <w:docGrid w:linePitch="312" w:charSpace="0"/>
        </w:sectPr>
      </w:pPr>
      <w:r>
        <w:rPr>
          <w:rFonts w:eastAsia="宋体"/>
          <w:b/>
          <w:color w:val="000000" w:themeColor="text1"/>
          <w:sz w:val="24"/>
          <w:szCs w:val="24"/>
          <w14:textFill>
            <w14:solidFill>
              <w14:schemeClr w14:val="tx1"/>
            </w14:solidFill>
          </w14:textFill>
        </w:rPr>
        <w:t>附图5 本项目分区防渗图</w:t>
      </w:r>
    </w:p>
    <w:p w14:paraId="5E9CBB91">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object>
          <v:shape id="_x0000_i1044" o:spt="75" type="#_x0000_t75" style="height:426pt;width:600pt;" o:ole="t" filled="f" o:preferrelative="t" stroked="f" coordsize="21600,21600">
            <v:path/>
            <v:fill on="f" focussize="0,0"/>
            <v:stroke on="f" joinstyle="miter"/>
            <v:imagedata r:id="rId66" o:title=""/>
            <o:lock v:ext="edit" aspectratio="f"/>
            <w10:wrap type="none"/>
            <w10:anchorlock/>
          </v:shape>
          <o:OLEObject Type="Embed" ProgID="Visio.Drawing.11" ShapeID="_x0000_i1044" DrawAspect="Content" ObjectID="_1468075744" r:id="rId65">
            <o:LockedField>false</o:LockedField>
          </o:OLEObject>
        </w:object>
      </w:r>
    </w:p>
    <w:p w14:paraId="7897A7AF">
      <w:pPr>
        <w:pStyle w:val="3"/>
        <w:numPr>
          <w:ilvl w:val="0"/>
          <w:numId w:val="0"/>
        </w:numPr>
        <w:tabs>
          <w:tab w:val="clear" w:pos="756"/>
        </w:tabs>
        <w:spacing w:before="0" w:after="0"/>
        <w:jc w:val="center"/>
        <w:rPr>
          <w:rFonts w:eastAsia="宋体"/>
          <w:b/>
          <w:bCs w:val="0"/>
          <w:color w:val="000000" w:themeColor="text1"/>
          <w:sz w:val="24"/>
          <w:szCs w:val="24"/>
          <w14:textFill>
            <w14:solidFill>
              <w14:schemeClr w14:val="tx1"/>
            </w14:solidFill>
          </w14:textFill>
        </w:rPr>
        <w:sectPr>
          <w:pgSz w:w="16838" w:h="11906" w:orient="landscape"/>
          <w:pgMar w:top="1531" w:right="1134" w:bottom="1134" w:left="1134" w:header="851" w:footer="850" w:gutter="0"/>
          <w:cols w:space="720" w:num="1"/>
          <w:docGrid w:linePitch="312" w:charSpace="0"/>
        </w:sectPr>
      </w:pPr>
      <w:r>
        <w:rPr>
          <w:rFonts w:eastAsia="宋体"/>
          <w:b/>
          <w:bCs w:val="0"/>
          <w:color w:val="000000" w:themeColor="text1"/>
          <w:sz w:val="24"/>
          <w:szCs w:val="24"/>
          <w14:textFill>
            <w14:solidFill>
              <w14:schemeClr w14:val="tx1"/>
            </w14:solidFill>
          </w14:textFill>
        </w:rPr>
        <w:t>附图5 环境管控单元图</w:t>
      </w:r>
    </w:p>
    <w:p w14:paraId="2423664D">
      <w:pPr>
        <w:pStyle w:val="3"/>
        <w:numPr>
          <w:ilvl w:val="0"/>
          <w:numId w:val="0"/>
        </w:numPr>
        <w:tabs>
          <w:tab w:val="clear" w:pos="756"/>
        </w:tabs>
        <w:rPr>
          <w:rFonts w:eastAsia="宋体"/>
          <w:b/>
          <w:color w:val="000000" w:themeColor="text1"/>
          <w:sz w:val="24"/>
          <w:szCs w:val="24"/>
          <w14:textFill>
            <w14:solidFill>
              <w14:schemeClr w14:val="tx1"/>
            </w14:solidFill>
          </w14:textFill>
        </w:rPr>
      </w:pPr>
      <w:r>
        <w:rPr>
          <w:rFonts w:eastAsia="宋体"/>
          <w:b/>
          <w:color w:val="000000" w:themeColor="text1"/>
          <w:sz w:val="24"/>
          <w:szCs w:val="24"/>
          <w14:textFill>
            <w14:solidFill>
              <w14:schemeClr w14:val="tx1"/>
            </w14:solidFill>
          </w14:textFill>
        </w:rPr>
        <w:t>附图6 监测点位图</w:t>
      </w:r>
    </w:p>
    <w:p w14:paraId="3F2CEEDF">
      <w:pPr>
        <w:pStyle w:val="46"/>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45" o:spt="75" type="#_x0000_t75" style="height:385.25pt;width:601.85pt;" o:ole="t" filled="f" o:preferrelative="t" stroked="f" coordsize="21600,21600">
            <v:path/>
            <v:fill on="f" focussize="0,0"/>
            <v:stroke on="f" joinstyle="miter"/>
            <v:imagedata r:id="rId68" o:title=""/>
            <o:lock v:ext="edit" aspectratio="f"/>
            <w10:wrap type="none"/>
            <w10:anchorlock/>
          </v:shape>
          <o:OLEObject Type="Embed" ProgID="Visio.Drawing.11" ShapeID="_x0000_i1045" DrawAspect="Content" ObjectID="_1468075745" r:id="rId67">
            <o:LockedField>false</o:LockedField>
          </o:OLEObject>
        </w:object>
      </w:r>
    </w:p>
    <w:p w14:paraId="7A2445F6">
      <w:pPr>
        <w:pStyle w:val="46"/>
        <w:ind w:firstLine="0" w:firstLineChars="0"/>
        <w:rPr>
          <w:color w:val="000000" w:themeColor="text1"/>
          <w14:textFill>
            <w14:solidFill>
              <w14:schemeClr w14:val="tx1"/>
            </w14:solidFill>
          </w14:textFill>
        </w:rPr>
      </w:pPr>
    </w:p>
    <w:p w14:paraId="37ED0353">
      <w:pPr>
        <w:pStyle w:val="46"/>
        <w:ind w:firstLine="0" w:firstLineChars="0"/>
        <w:rPr>
          <w:color w:val="000000" w:themeColor="text1"/>
          <w14:textFill>
            <w14:solidFill>
              <w14:schemeClr w14:val="tx1"/>
            </w14:solidFill>
          </w14:textFill>
        </w:rPr>
        <w:sectPr>
          <w:pgSz w:w="16838" w:h="11906" w:orient="landscape"/>
          <w:pgMar w:top="1417" w:right="1701" w:bottom="1417" w:left="1701" w:header="851" w:footer="1417" w:gutter="0"/>
          <w:cols w:space="720" w:num="1"/>
          <w:docGrid w:linePitch="312" w:charSpace="0"/>
        </w:sectPr>
      </w:pPr>
    </w:p>
    <w:p w14:paraId="484F7A4D">
      <w:pPr>
        <w:pStyle w:val="3"/>
        <w:numPr>
          <w:ilvl w:val="0"/>
          <w:numId w:val="0"/>
        </w:numPr>
        <w:tabs>
          <w:tab w:val="clear" w:pos="756"/>
        </w:tabs>
        <w:spacing w:before="0" w:after="0"/>
        <w:rPr>
          <w:rFonts w:eastAsia="宋体"/>
          <w:b/>
          <w:bCs w:val="0"/>
          <w:color w:val="000000" w:themeColor="text1"/>
          <w:sz w:val="24"/>
          <w:szCs w:val="24"/>
          <w14:textFill>
            <w14:solidFill>
              <w14:schemeClr w14:val="tx1"/>
            </w14:solidFill>
          </w14:textFill>
        </w:rPr>
      </w:pPr>
      <w:r>
        <w:rPr>
          <w:rFonts w:eastAsia="宋体"/>
          <w:b/>
          <w:bCs w:val="0"/>
          <w:color w:val="000000" w:themeColor="text1"/>
          <w:sz w:val="24"/>
          <w:szCs w:val="24"/>
          <w14:textFill>
            <w14:solidFill>
              <w14:schemeClr w14:val="tx1"/>
            </w14:solidFill>
          </w14:textFill>
        </w:rPr>
        <w:t>附件1 委托书</w:t>
      </w:r>
    </w:p>
    <w:p w14:paraId="0BF54287">
      <w:pPr>
        <w:adjustRightInd w:val="0"/>
        <w:snapToGrid w:val="0"/>
        <w:spacing w:before="240" w:beforeLines="100"/>
        <w:jc w:val="center"/>
        <w:rPr>
          <w:b/>
          <w:color w:val="000000" w:themeColor="text1"/>
          <w:sz w:val="44"/>
          <w:szCs w:val="44"/>
          <w14:textFill>
            <w14:solidFill>
              <w14:schemeClr w14:val="tx1"/>
            </w14:solidFill>
          </w14:textFill>
        </w:rPr>
      </w:pPr>
      <w:r>
        <w:rPr>
          <w:b/>
          <w:color w:val="000000" w:themeColor="text1"/>
          <w:sz w:val="44"/>
          <w:szCs w:val="44"/>
          <w14:textFill>
            <w14:solidFill>
              <w14:schemeClr w14:val="tx1"/>
            </w14:solidFill>
          </w14:textFill>
        </w:rPr>
        <w:t>委  托  书</w:t>
      </w:r>
    </w:p>
    <w:p w14:paraId="0093084C">
      <w:pPr>
        <w:adjustRightInd w:val="0"/>
        <w:snapToGrid w:val="0"/>
        <w:spacing w:before="240" w:beforeLines="100"/>
        <w:jc w:val="center"/>
        <w:rPr>
          <w:b/>
          <w:color w:val="000000" w:themeColor="text1"/>
          <w:sz w:val="44"/>
          <w:szCs w:val="44"/>
          <w14:textFill>
            <w14:solidFill>
              <w14:schemeClr w14:val="tx1"/>
            </w14:solidFill>
          </w14:textFill>
        </w:rPr>
      </w:pPr>
    </w:p>
    <w:p w14:paraId="7B4BF0FE">
      <w:pPr>
        <w:adjustRightInd w:val="0"/>
        <w:snapToGrid w:val="0"/>
        <w:spacing w:before="120" w:beforeLines="50" w:line="360" w:lineRule="auto"/>
        <w:rPr>
          <w:color w:val="000000" w:themeColor="text1"/>
          <w:sz w:val="30"/>
          <w:szCs w:val="30"/>
          <w14:textFill>
            <w14:solidFill>
              <w14:schemeClr w14:val="tx1"/>
            </w14:solidFill>
          </w14:textFill>
        </w:rPr>
      </w:pPr>
      <w:r>
        <w:rPr>
          <w:color w:val="000000" w:themeColor="text1"/>
          <w:sz w:val="30"/>
          <w:szCs w:val="30"/>
          <w14:textFill>
            <w14:solidFill>
              <w14:schemeClr w14:val="tx1"/>
            </w14:solidFill>
          </w14:textFill>
        </w:rPr>
        <w:t>辽宁睿铂生态环保科技有限公司：</w:t>
      </w:r>
    </w:p>
    <w:p w14:paraId="6469E708">
      <w:pPr>
        <w:spacing w:line="360" w:lineRule="auto"/>
        <w:ind w:firstLine="600" w:firstLineChars="200"/>
        <w:jc w:val="left"/>
        <w:rPr>
          <w:color w:val="000000" w:themeColor="text1"/>
          <w:sz w:val="30"/>
          <w:szCs w:val="30"/>
          <w14:textFill>
            <w14:solidFill>
              <w14:schemeClr w14:val="tx1"/>
            </w14:solidFill>
          </w14:textFill>
        </w:rPr>
      </w:pPr>
    </w:p>
    <w:p w14:paraId="138021F6">
      <w:pPr>
        <w:spacing w:line="360" w:lineRule="auto"/>
        <w:ind w:firstLine="600" w:firstLineChars="200"/>
        <w:jc w:val="left"/>
        <w:rPr>
          <w:color w:val="000000" w:themeColor="text1"/>
          <w:sz w:val="30"/>
          <w:szCs w:val="30"/>
          <w14:textFill>
            <w14:solidFill>
              <w14:schemeClr w14:val="tx1"/>
            </w14:solidFill>
          </w14:textFill>
        </w:rPr>
      </w:pPr>
      <w:r>
        <w:rPr>
          <w:color w:val="000000" w:themeColor="text1"/>
          <w:sz w:val="30"/>
          <w:szCs w:val="30"/>
          <w14:textFill>
            <w14:solidFill>
              <w14:schemeClr w14:val="tx1"/>
            </w14:solidFill>
          </w14:textFill>
        </w:rPr>
        <w:t>根据《中华人民共和国生态环境法典》和中华人民共和国国务院令第682号《建设项目环境保护管理条例》规定，特委托你单位开展《抚顺中农有限公司生物质蒸汽发生器建设项目》的环境影响评价工作。</w:t>
      </w:r>
    </w:p>
    <w:p w14:paraId="45B040B3">
      <w:pPr>
        <w:adjustRightInd w:val="0"/>
        <w:snapToGrid w:val="0"/>
        <w:spacing w:before="120" w:beforeLines="50" w:line="360" w:lineRule="auto"/>
        <w:ind w:firstLine="600" w:firstLineChars="200"/>
        <w:rPr>
          <w:color w:val="000000" w:themeColor="text1"/>
          <w:sz w:val="30"/>
          <w:szCs w:val="30"/>
          <w14:textFill>
            <w14:solidFill>
              <w14:schemeClr w14:val="tx1"/>
            </w14:solidFill>
          </w14:textFill>
        </w:rPr>
      </w:pPr>
      <w:r>
        <w:rPr>
          <w:color w:val="000000" w:themeColor="text1"/>
          <w:sz w:val="30"/>
          <w:szCs w:val="30"/>
          <w14:textFill>
            <w14:solidFill>
              <w14:schemeClr w14:val="tx1"/>
            </w14:solidFill>
          </w14:textFill>
        </w:rPr>
        <w:t>望接受委托后，尽早开展工作！</w:t>
      </w:r>
    </w:p>
    <w:p w14:paraId="3367BBAA">
      <w:pPr>
        <w:spacing w:before="120" w:beforeLines="50" w:line="360" w:lineRule="auto"/>
        <w:ind w:firstLine="600" w:firstLineChars="200"/>
        <w:rPr>
          <w:color w:val="000000" w:themeColor="text1"/>
          <w:sz w:val="30"/>
          <w:szCs w:val="30"/>
          <w14:textFill>
            <w14:solidFill>
              <w14:schemeClr w14:val="tx1"/>
            </w14:solidFill>
          </w14:textFill>
        </w:rPr>
      </w:pPr>
    </w:p>
    <w:p w14:paraId="75F0EA3C">
      <w:pPr>
        <w:rPr>
          <w:color w:val="000000" w:themeColor="text1"/>
          <w:sz w:val="30"/>
          <w:szCs w:val="30"/>
          <w14:textFill>
            <w14:solidFill>
              <w14:schemeClr w14:val="tx1"/>
            </w14:solidFill>
          </w14:textFill>
        </w:rPr>
      </w:pPr>
    </w:p>
    <w:p w14:paraId="3A990D7D">
      <w:pPr>
        <w:rPr>
          <w:color w:val="000000" w:themeColor="text1"/>
          <w:sz w:val="30"/>
          <w:szCs w:val="30"/>
          <w14:textFill>
            <w14:solidFill>
              <w14:schemeClr w14:val="tx1"/>
            </w14:solidFill>
          </w14:textFill>
        </w:rPr>
      </w:pPr>
    </w:p>
    <w:p w14:paraId="4FDA6BED">
      <w:pPr>
        <w:rPr>
          <w:color w:val="000000" w:themeColor="text1"/>
          <w:sz w:val="30"/>
          <w:szCs w:val="30"/>
          <w14:textFill>
            <w14:solidFill>
              <w14:schemeClr w14:val="tx1"/>
            </w14:solidFill>
          </w14:textFill>
        </w:rPr>
      </w:pPr>
    </w:p>
    <w:p w14:paraId="1207F972">
      <w:pPr>
        <w:rPr>
          <w:color w:val="000000" w:themeColor="text1"/>
          <w:sz w:val="30"/>
          <w:szCs w:val="30"/>
          <w14:textFill>
            <w14:solidFill>
              <w14:schemeClr w14:val="tx1"/>
            </w14:solidFill>
          </w14:textFill>
        </w:rPr>
      </w:pPr>
    </w:p>
    <w:p w14:paraId="08C86D4B">
      <w:pPr>
        <w:spacing w:line="360" w:lineRule="auto"/>
        <w:jc w:val="right"/>
        <w:rPr>
          <w:color w:val="000000" w:themeColor="text1"/>
          <w:sz w:val="30"/>
          <w:szCs w:val="30"/>
          <w14:textFill>
            <w14:solidFill>
              <w14:schemeClr w14:val="tx1"/>
            </w14:solidFill>
          </w14:textFill>
        </w:rPr>
      </w:pPr>
      <w:r>
        <w:rPr>
          <w:color w:val="000000" w:themeColor="text1"/>
          <w:sz w:val="30"/>
          <w:szCs w:val="30"/>
          <w14:textFill>
            <w14:solidFill>
              <w14:schemeClr w14:val="tx1"/>
            </w14:solidFill>
          </w14:textFill>
        </w:rPr>
        <w:t xml:space="preserve">              委托单位：抚顺中农农业科技发展有限公司</w:t>
      </w:r>
    </w:p>
    <w:p w14:paraId="4FD001F7">
      <w:pPr>
        <w:pStyle w:val="21"/>
        <w:jc w:val="right"/>
        <w:rPr>
          <w:color w:val="000000" w:themeColor="text1"/>
          <w:sz w:val="30"/>
          <w:szCs w:val="30"/>
          <w14:textFill>
            <w14:solidFill>
              <w14:schemeClr w14:val="tx1"/>
            </w14:solidFill>
          </w14:textFill>
        </w:rPr>
      </w:pPr>
      <w:r>
        <w:rPr>
          <w:color w:val="000000" w:themeColor="text1"/>
          <w:sz w:val="30"/>
          <w:szCs w:val="30"/>
          <w14:textFill>
            <w14:solidFill>
              <w14:schemeClr w14:val="tx1"/>
            </w14:solidFill>
          </w14:textFill>
        </w:rPr>
        <w:t xml:space="preserve">                      2026 年 7 月 31 日</w:t>
      </w:r>
    </w:p>
    <w:p w14:paraId="23149388">
      <w:pPr>
        <w:pStyle w:val="21"/>
        <w:spacing w:after="0"/>
        <w:ind w:left="0" w:leftChars="0"/>
        <w:jc w:val="center"/>
        <w:rPr>
          <w:color w:val="000000" w:themeColor="text1"/>
          <w:sz w:val="30"/>
          <w:szCs w:val="30"/>
          <w14:textFill>
            <w14:solidFill>
              <w14:schemeClr w14:val="tx1"/>
            </w14:solidFill>
          </w14:textFill>
        </w:rPr>
      </w:pPr>
    </w:p>
    <w:p w14:paraId="3DD49528">
      <w:pPr>
        <w:pStyle w:val="21"/>
        <w:spacing w:after="0" w:line="360" w:lineRule="auto"/>
        <w:ind w:left="0" w:leftChars="0"/>
        <w:outlineLvl w:val="1"/>
        <w:rPr>
          <w:b/>
          <w:color w:val="000000" w:themeColor="text1"/>
          <w:szCs w:val="21"/>
          <w14:textFill>
            <w14:solidFill>
              <w14:schemeClr w14:val="tx1"/>
            </w14:solidFill>
          </w14:textFill>
        </w:rPr>
        <w:sectPr>
          <w:footerReference r:id="rId7" w:type="default"/>
          <w:type w:val="continuous"/>
          <w:pgSz w:w="11906" w:h="16838"/>
          <w:pgMar w:top="1701" w:right="1417" w:bottom="1701" w:left="1417" w:header="850" w:footer="1077" w:gutter="0"/>
          <w:pgNumType w:fmt="numberInDash"/>
          <w:cols w:space="720" w:num="1"/>
          <w:docGrid w:linePitch="312" w:charSpace="0"/>
        </w:sectPr>
      </w:pPr>
    </w:p>
    <w:p w14:paraId="201F6DE2">
      <w:pPr>
        <w:rPr>
          <w:color w:val="000000" w:themeColor="text1"/>
          <w14:textFill>
            <w14:solidFill>
              <w14:schemeClr w14:val="tx1"/>
            </w14:solidFill>
          </w14:textFill>
        </w:rPr>
      </w:pPr>
    </w:p>
    <w:p w14:paraId="704B4C0D">
      <w:pPr>
        <w:rPr>
          <w:color w:val="000000" w:themeColor="text1"/>
          <w14:textFill>
            <w14:solidFill>
              <w14:schemeClr w14:val="tx1"/>
            </w14:solidFill>
          </w14:textFill>
        </w:rPr>
        <w:sectPr>
          <w:type w:val="continuous"/>
          <w:pgSz w:w="11906" w:h="16838"/>
          <w:pgMar w:top="1134" w:right="1134" w:bottom="1134" w:left="1531" w:header="851" w:footer="851" w:gutter="0"/>
          <w:cols w:space="720" w:num="1"/>
          <w:docGrid w:linePitch="312" w:charSpace="0"/>
        </w:sectPr>
      </w:pPr>
    </w:p>
    <w:p w14:paraId="153E9407">
      <w:pPr>
        <w:pStyle w:val="3"/>
        <w:numPr>
          <w:ilvl w:val="0"/>
          <w:numId w:val="0"/>
        </w:numPr>
        <w:tabs>
          <w:tab w:val="clear" w:pos="756"/>
        </w:tabs>
        <w:spacing w:before="0" w:after="0"/>
        <w:rPr>
          <w:rFonts w:eastAsia="宋体"/>
          <w:b/>
          <w:bCs w:val="0"/>
          <w:color w:val="000000" w:themeColor="text1"/>
          <w:sz w:val="24"/>
          <w:szCs w:val="24"/>
          <w14:textFill>
            <w14:solidFill>
              <w14:schemeClr w14:val="tx1"/>
            </w14:solidFill>
          </w14:textFill>
        </w:rPr>
        <w:sectPr>
          <w:type w:val="continuous"/>
          <w:pgSz w:w="11906" w:h="16838"/>
          <w:pgMar w:top="1417" w:right="1803" w:bottom="1417" w:left="1803" w:header="851" w:footer="850" w:gutter="0"/>
          <w:cols w:space="720" w:num="1"/>
          <w:docGrid w:linePitch="312" w:charSpace="0"/>
        </w:sectPr>
      </w:pPr>
    </w:p>
    <w:p w14:paraId="5BA1AFA0">
      <w:pPr>
        <w:pStyle w:val="3"/>
        <w:numPr>
          <w:ilvl w:val="0"/>
          <w:numId w:val="0"/>
        </w:numPr>
        <w:tabs>
          <w:tab w:val="clear" w:pos="756"/>
        </w:tabs>
        <w:spacing w:before="0" w:after="0"/>
        <w:rPr>
          <w:rFonts w:eastAsia="宋体"/>
          <w:b/>
          <w:bCs w:val="0"/>
          <w:color w:val="000000" w:themeColor="text1"/>
          <w:sz w:val="24"/>
          <w:szCs w:val="24"/>
          <w14:textFill>
            <w14:solidFill>
              <w14:schemeClr w14:val="tx1"/>
            </w14:solidFill>
          </w14:textFill>
        </w:rPr>
      </w:pPr>
      <w:r>
        <w:rPr>
          <w:rFonts w:eastAsia="宋体"/>
          <w:b/>
          <w:bCs w:val="0"/>
          <w:color w:val="000000" w:themeColor="text1"/>
          <w:sz w:val="24"/>
          <w:szCs w:val="24"/>
          <w14:textFill>
            <w14:solidFill>
              <w14:schemeClr w14:val="tx1"/>
            </w14:solidFill>
          </w14:textFill>
        </w:rPr>
        <w:t>附件2 营业执照</w:t>
      </w:r>
    </w:p>
    <w:p w14:paraId="41070A11">
      <w:pPr>
        <w:rPr>
          <w:color w:val="000000" w:themeColor="text1"/>
          <w14:textFill>
            <w14:solidFill>
              <w14:schemeClr w14:val="tx1"/>
            </w14:solidFill>
          </w14:textFill>
        </w:rPr>
      </w:pPr>
    </w:p>
    <w:p w14:paraId="7D2E5588">
      <w:pPr>
        <w:kinsoku w:val="0"/>
        <w:overflowPunct w:val="0"/>
        <w:jc w:val="center"/>
        <w:rPr>
          <w:color w:val="000000" w:themeColor="text1"/>
          <w14:textFill>
            <w14:solidFill>
              <w14:schemeClr w14:val="tx1"/>
            </w14:solidFill>
          </w14:textFill>
        </w:rPr>
        <w:sectPr>
          <w:pgSz w:w="16838" w:h="11906" w:orient="landscape"/>
          <w:pgMar w:top="1803" w:right="1417" w:bottom="1803" w:left="1417" w:header="851" w:footer="850" w:gutter="0"/>
          <w:cols w:space="720" w:num="1"/>
          <w:docGrid w:linePitch="312" w:charSpace="0"/>
        </w:sectPr>
      </w:pPr>
      <w:r>
        <w:rPr>
          <w:color w:val="000000" w:themeColor="text1"/>
          <w14:textFill>
            <w14:solidFill>
              <w14:schemeClr w14:val="tx1"/>
            </w14:solidFill>
          </w14:textFill>
        </w:rPr>
        <w:drawing>
          <wp:inline distT="0" distB="0" distL="114300" distR="114300">
            <wp:extent cx="6480810" cy="4776470"/>
            <wp:effectExtent l="0" t="0" r="15240" b="5080"/>
            <wp:docPr id="1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pic:cNvPicPr>
                      <a:picLocks noChangeAspect="1"/>
                    </pic:cNvPicPr>
                  </pic:nvPicPr>
                  <pic:blipFill>
                    <a:blip r:embed="rId69"/>
                    <a:stretch>
                      <a:fillRect/>
                    </a:stretch>
                  </pic:blipFill>
                  <pic:spPr>
                    <a:xfrm>
                      <a:off x="0" y="0"/>
                      <a:ext cx="6480810" cy="4776470"/>
                    </a:xfrm>
                    <a:prstGeom prst="rect">
                      <a:avLst/>
                    </a:prstGeom>
                    <a:noFill/>
                    <a:ln>
                      <a:noFill/>
                    </a:ln>
                  </pic:spPr>
                </pic:pic>
              </a:graphicData>
            </a:graphic>
          </wp:inline>
        </w:drawing>
      </w:r>
    </w:p>
    <w:p w14:paraId="5574BE2A">
      <w:pPr>
        <w:pStyle w:val="3"/>
        <w:numPr>
          <w:ilvl w:val="0"/>
          <w:numId w:val="0"/>
        </w:numPr>
        <w:tabs>
          <w:tab w:val="clear" w:pos="756"/>
        </w:tabs>
        <w:spacing w:before="0" w:after="0"/>
        <w:rPr>
          <w:rFonts w:eastAsia="宋体"/>
          <w:b/>
          <w:color w:val="000000" w:themeColor="text1"/>
          <w:sz w:val="24"/>
          <w:szCs w:val="24"/>
          <w14:textFill>
            <w14:solidFill>
              <w14:schemeClr w14:val="tx1"/>
            </w14:solidFill>
          </w14:textFill>
        </w:rPr>
      </w:pPr>
      <w:r>
        <w:rPr>
          <w:rFonts w:eastAsia="宋体"/>
          <w:b/>
          <w:color w:val="000000" w:themeColor="text1"/>
          <w:sz w:val="24"/>
          <w:szCs w:val="24"/>
          <w14:textFill>
            <w14:solidFill>
              <w14:schemeClr w14:val="tx1"/>
            </w14:solidFill>
          </w14:textFill>
        </w:rPr>
        <w:t>附件3 三线一单查询截图</w:t>
      </w:r>
    </w:p>
    <w:p w14:paraId="446D373A">
      <w:pPr>
        <w:rPr>
          <w:color w:val="000000" w:themeColor="text1"/>
          <w14:textFill>
            <w14:solidFill>
              <w14:schemeClr w14:val="tx1"/>
            </w14:solidFill>
          </w14:textFill>
        </w:rPr>
      </w:pPr>
    </w:p>
    <w:p w14:paraId="2107FDB3">
      <w:pPr>
        <w:jc w:val="center"/>
        <w:rPr>
          <w:color w:val="000000" w:themeColor="text1"/>
          <w14:textFill>
            <w14:solidFill>
              <w14:schemeClr w14:val="tx1"/>
            </w14:solidFill>
          </w14:textFill>
        </w:rPr>
        <w:sectPr>
          <w:footerReference r:id="rId8" w:type="default"/>
          <w:pgSz w:w="16838" w:h="11906" w:orient="landscape"/>
          <w:pgMar w:top="1803" w:right="1417" w:bottom="1803" w:left="1417" w:header="851" w:footer="850" w:gutter="0"/>
          <w:cols w:space="720" w:num="1"/>
          <w:docGrid w:linePitch="312" w:charSpace="0"/>
        </w:sectPr>
      </w:pPr>
      <w:r>
        <w:rPr>
          <w:color w:val="000000" w:themeColor="text1"/>
          <w14:textFill>
            <w14:solidFill>
              <w14:schemeClr w14:val="tx1"/>
            </w14:solidFill>
          </w14:textFill>
        </w:rPr>
        <w:drawing>
          <wp:inline distT="0" distB="0" distL="114300" distR="114300">
            <wp:extent cx="8878570" cy="4186555"/>
            <wp:effectExtent l="0" t="0" r="17780" b="4445"/>
            <wp:docPr id="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pic:cNvPicPr>
                      <a:picLocks noChangeAspect="1"/>
                    </pic:cNvPicPr>
                  </pic:nvPicPr>
                  <pic:blipFill>
                    <a:blip r:embed="rId70"/>
                    <a:stretch>
                      <a:fillRect/>
                    </a:stretch>
                  </pic:blipFill>
                  <pic:spPr>
                    <a:xfrm>
                      <a:off x="0" y="0"/>
                      <a:ext cx="8878570" cy="4186555"/>
                    </a:xfrm>
                    <a:prstGeom prst="rect">
                      <a:avLst/>
                    </a:prstGeom>
                    <a:noFill/>
                    <a:ln>
                      <a:noFill/>
                    </a:ln>
                  </pic:spPr>
                </pic:pic>
              </a:graphicData>
            </a:graphic>
          </wp:inline>
        </w:drawing>
      </w:r>
    </w:p>
    <w:p w14:paraId="1F55A10D">
      <w:pPr>
        <w:pStyle w:val="3"/>
        <w:numPr>
          <w:ilvl w:val="0"/>
          <w:numId w:val="0"/>
        </w:numPr>
        <w:tabs>
          <w:tab w:val="clear" w:pos="756"/>
        </w:tabs>
        <w:spacing w:before="0" w:after="0"/>
        <w:rPr>
          <w:rFonts w:eastAsia="宋体"/>
          <w:b/>
          <w:color w:val="000000" w:themeColor="text1"/>
          <w:sz w:val="24"/>
          <w:szCs w:val="24"/>
          <w14:textFill>
            <w14:solidFill>
              <w14:schemeClr w14:val="tx1"/>
            </w14:solidFill>
          </w14:textFill>
        </w:rPr>
      </w:pPr>
      <w:r>
        <w:rPr>
          <w:rFonts w:eastAsia="宋体"/>
          <w:b/>
          <w:color w:val="000000" w:themeColor="text1"/>
          <w:sz w:val="24"/>
          <w:szCs w:val="24"/>
          <w14:textFill>
            <w14:solidFill>
              <w14:schemeClr w14:val="tx1"/>
            </w14:solidFill>
          </w14:textFill>
        </w:rPr>
        <w:t xml:space="preserve">附件4 </w:t>
      </w:r>
      <w:r>
        <w:rPr>
          <w:rFonts w:hint="eastAsia" w:eastAsia="宋体"/>
          <w:b/>
          <w:color w:val="000000" w:themeColor="text1"/>
          <w:sz w:val="24"/>
          <w:szCs w:val="24"/>
          <w14:textFill>
            <w14:solidFill>
              <w14:schemeClr w14:val="tx1"/>
            </w14:solidFill>
          </w14:textFill>
        </w:rPr>
        <w:t>占地类型情况</w:t>
      </w:r>
      <w:r>
        <w:rPr>
          <w:rFonts w:eastAsia="宋体"/>
          <w:b/>
          <w:color w:val="000000" w:themeColor="text1"/>
          <w:sz w:val="24"/>
          <w:szCs w:val="24"/>
          <w14:textFill>
            <w14:solidFill>
              <w14:schemeClr w14:val="tx1"/>
            </w14:solidFill>
          </w14:textFill>
        </w:rPr>
        <w:t>证明</w:t>
      </w:r>
    </w:p>
    <w:p w14:paraId="5BD86475">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8595" cy="7501890"/>
            <wp:effectExtent l="0" t="0" r="8255" b="3810"/>
            <wp:docPr id="1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3"/>
                    <pic:cNvPicPr>
                      <a:picLocks noChangeAspect="1"/>
                    </pic:cNvPicPr>
                  </pic:nvPicPr>
                  <pic:blipFill>
                    <a:blip r:embed="rId71"/>
                    <a:stretch>
                      <a:fillRect/>
                    </a:stretch>
                  </pic:blipFill>
                  <pic:spPr>
                    <a:xfrm>
                      <a:off x="0" y="0"/>
                      <a:ext cx="5268595" cy="7501890"/>
                    </a:xfrm>
                    <a:prstGeom prst="rect">
                      <a:avLst/>
                    </a:prstGeom>
                    <a:noFill/>
                    <a:ln>
                      <a:noFill/>
                    </a:ln>
                  </pic:spPr>
                </pic:pic>
              </a:graphicData>
            </a:graphic>
          </wp:inline>
        </w:drawing>
      </w:r>
      <w:r>
        <w:rPr>
          <w:color w:val="000000" w:themeColor="text1"/>
          <w14:textFill>
            <w14:solidFill>
              <w14:schemeClr w14:val="tx1"/>
            </w14:solidFill>
          </w14:textFill>
        </w:rPr>
        <w:br w:type="page"/>
      </w:r>
    </w:p>
    <w:p w14:paraId="30C2F4C2">
      <w:pPr>
        <w:pStyle w:val="3"/>
        <w:numPr>
          <w:ilvl w:val="0"/>
          <w:numId w:val="0"/>
        </w:numPr>
        <w:tabs>
          <w:tab w:val="clear" w:pos="756"/>
        </w:tabs>
        <w:spacing w:before="0" w:after="0"/>
        <w:rPr>
          <w:rFonts w:eastAsia="宋体"/>
          <w:b/>
          <w:color w:val="000000" w:themeColor="text1"/>
          <w:sz w:val="24"/>
          <w:szCs w:val="24"/>
          <w14:textFill>
            <w14:solidFill>
              <w14:schemeClr w14:val="tx1"/>
            </w14:solidFill>
          </w14:textFill>
        </w:rPr>
      </w:pPr>
      <w:r>
        <w:rPr>
          <w:rFonts w:eastAsia="宋体"/>
          <w:b/>
          <w:color w:val="000000" w:themeColor="text1"/>
          <w:sz w:val="24"/>
          <w:szCs w:val="24"/>
          <w14:textFill>
            <w14:solidFill>
              <w14:schemeClr w14:val="tx1"/>
            </w14:solidFill>
          </w14:textFill>
        </w:rPr>
        <w:t>附件5 租赁协议</w:t>
      </w:r>
    </w:p>
    <w:p w14:paraId="67F4D10F">
      <w:pPr>
        <w:pStyle w:val="23"/>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0500" cy="7277735"/>
            <wp:effectExtent l="0" t="0" r="6350" b="18415"/>
            <wp:docPr id="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pic:cNvPicPr>
                      <a:picLocks noChangeAspect="1"/>
                    </pic:cNvPicPr>
                  </pic:nvPicPr>
                  <pic:blipFill>
                    <a:blip r:embed="rId72"/>
                    <a:stretch>
                      <a:fillRect/>
                    </a:stretch>
                  </pic:blipFill>
                  <pic:spPr>
                    <a:xfrm>
                      <a:off x="0" y="0"/>
                      <a:ext cx="5270500" cy="7277735"/>
                    </a:xfrm>
                    <a:prstGeom prst="rect">
                      <a:avLst/>
                    </a:prstGeom>
                    <a:noFill/>
                    <a:ln>
                      <a:noFill/>
                    </a:ln>
                  </pic:spPr>
                </pic:pic>
              </a:graphicData>
            </a:graphic>
          </wp:inline>
        </w:drawing>
      </w:r>
    </w:p>
    <w:p w14:paraId="375A8732">
      <w:pPr>
        <w:jc w:val="center"/>
        <w:rPr>
          <w:b/>
          <w:color w:val="000000" w:themeColor="text1"/>
          <w:sz w:val="24"/>
          <w14:textFill>
            <w14:solidFill>
              <w14:schemeClr w14:val="tx1"/>
            </w14:solidFill>
          </w14:textFill>
        </w:rPr>
        <w:sectPr>
          <w:footerReference r:id="rId9" w:type="default"/>
          <w:pgSz w:w="11906" w:h="16838"/>
          <w:pgMar w:top="1417" w:right="1803" w:bottom="1417" w:left="1803" w:header="851" w:footer="850" w:gutter="0"/>
          <w:cols w:space="720" w:num="1"/>
          <w:docGrid w:linePitch="312" w:charSpace="0"/>
        </w:sectPr>
      </w:pPr>
      <w:r>
        <w:rPr>
          <w:color w:val="000000" w:themeColor="text1"/>
          <w14:textFill>
            <w14:solidFill>
              <w14:schemeClr w14:val="tx1"/>
            </w14:solidFill>
          </w14:textFill>
        </w:rPr>
        <w:drawing>
          <wp:inline distT="0" distB="0" distL="114300" distR="114300">
            <wp:extent cx="5252085" cy="7451725"/>
            <wp:effectExtent l="0" t="0" r="5715" b="15875"/>
            <wp:docPr id="1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2"/>
                    <pic:cNvPicPr>
                      <a:picLocks noChangeAspect="1"/>
                    </pic:cNvPicPr>
                  </pic:nvPicPr>
                  <pic:blipFill>
                    <a:blip r:embed="rId73"/>
                    <a:stretch>
                      <a:fillRect/>
                    </a:stretch>
                  </pic:blipFill>
                  <pic:spPr>
                    <a:xfrm>
                      <a:off x="0" y="0"/>
                      <a:ext cx="5252085" cy="7451725"/>
                    </a:xfrm>
                    <a:prstGeom prst="rect">
                      <a:avLst/>
                    </a:prstGeom>
                    <a:noFill/>
                    <a:ln>
                      <a:noFill/>
                    </a:ln>
                  </pic:spPr>
                </pic:pic>
              </a:graphicData>
            </a:graphic>
          </wp:inline>
        </w:drawing>
      </w:r>
    </w:p>
    <w:p w14:paraId="3C952921">
      <w:pPr>
        <w:pStyle w:val="3"/>
        <w:numPr>
          <w:ilvl w:val="0"/>
          <w:numId w:val="0"/>
        </w:numPr>
        <w:tabs>
          <w:tab w:val="clear" w:pos="756"/>
        </w:tabs>
        <w:spacing w:before="0" w:after="0"/>
        <w:rPr>
          <w:rFonts w:eastAsia="宋体"/>
          <w:b/>
          <w:color w:val="000000" w:themeColor="text1"/>
          <w:sz w:val="24"/>
          <w14:textFill>
            <w14:solidFill>
              <w14:schemeClr w14:val="tx1"/>
            </w14:solidFill>
          </w14:textFill>
        </w:rPr>
      </w:pPr>
      <w:r>
        <w:rPr>
          <w:rFonts w:eastAsia="宋体"/>
          <w:b/>
          <w:color w:val="000000" w:themeColor="text1"/>
          <w:sz w:val="24"/>
          <w:szCs w:val="24"/>
          <w14:textFill>
            <w14:solidFill>
              <w14:schemeClr w14:val="tx1"/>
            </w14:solidFill>
          </w14:textFill>
        </w:rPr>
        <w:t>附件5 生物质检测报告</w:t>
      </w:r>
    </w:p>
    <w:p w14:paraId="259D526A">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49545" cy="7220585"/>
            <wp:effectExtent l="0" t="0" r="8255" b="18415"/>
            <wp:docPr id="48" name="图片 25" descr="附件0、汇总_页面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5" descr="附件0、汇总_页面_19"/>
                    <pic:cNvPicPr>
                      <a:picLocks noChangeAspect="1"/>
                    </pic:cNvPicPr>
                  </pic:nvPicPr>
                  <pic:blipFill>
                    <a:blip r:embed="rId74"/>
                    <a:stretch>
                      <a:fillRect/>
                    </a:stretch>
                  </pic:blipFill>
                  <pic:spPr>
                    <a:xfrm>
                      <a:off x="0" y="0"/>
                      <a:ext cx="5249545" cy="722058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318125" cy="7314565"/>
            <wp:effectExtent l="0" t="0" r="15875" b="635"/>
            <wp:docPr id="46" name="图片 26" descr="附件0、汇总_页面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6" descr="附件0、汇总_页面_20"/>
                    <pic:cNvPicPr>
                      <a:picLocks noChangeAspect="1"/>
                    </pic:cNvPicPr>
                  </pic:nvPicPr>
                  <pic:blipFill>
                    <a:blip r:embed="rId75"/>
                    <a:stretch>
                      <a:fillRect/>
                    </a:stretch>
                  </pic:blipFill>
                  <pic:spPr>
                    <a:xfrm>
                      <a:off x="0" y="0"/>
                      <a:ext cx="5318125" cy="731456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259070" cy="7234555"/>
            <wp:effectExtent l="0" t="0" r="17780" b="4445"/>
            <wp:docPr id="49" name="图片 27" descr="附件0、汇总_页面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7" descr="附件0、汇总_页面_21"/>
                    <pic:cNvPicPr>
                      <a:picLocks noChangeAspect="1"/>
                    </pic:cNvPicPr>
                  </pic:nvPicPr>
                  <pic:blipFill>
                    <a:blip r:embed="rId76"/>
                    <a:stretch>
                      <a:fillRect/>
                    </a:stretch>
                  </pic:blipFill>
                  <pic:spPr>
                    <a:xfrm>
                      <a:off x="0" y="0"/>
                      <a:ext cx="5259070" cy="723455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327015" cy="7327265"/>
            <wp:effectExtent l="0" t="0" r="6985" b="6985"/>
            <wp:docPr id="47" name="图片 28" descr="质量检测报告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8" descr="质量检测报告4"/>
                    <pic:cNvPicPr>
                      <a:picLocks noChangeAspect="1"/>
                    </pic:cNvPicPr>
                  </pic:nvPicPr>
                  <pic:blipFill>
                    <a:blip r:embed="rId77"/>
                    <a:stretch>
                      <a:fillRect/>
                    </a:stretch>
                  </pic:blipFill>
                  <pic:spPr>
                    <a:xfrm>
                      <a:off x="0" y="0"/>
                      <a:ext cx="5327015" cy="7327265"/>
                    </a:xfrm>
                    <a:prstGeom prst="rect">
                      <a:avLst/>
                    </a:prstGeom>
                    <a:noFill/>
                    <a:ln>
                      <a:noFill/>
                    </a:ln>
                  </pic:spPr>
                </pic:pic>
              </a:graphicData>
            </a:graphic>
          </wp:inline>
        </w:drawing>
      </w:r>
    </w:p>
    <w:p w14:paraId="36C5A389">
      <w:pPr>
        <w:rPr>
          <w:color w:val="000000" w:themeColor="text1"/>
          <w14:textFill>
            <w14:solidFill>
              <w14:schemeClr w14:val="tx1"/>
            </w14:solidFill>
          </w14:textFill>
        </w:rPr>
      </w:pPr>
    </w:p>
    <w:p w14:paraId="0BDE5C1D">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2B1317E2">
      <w:pPr>
        <w:pStyle w:val="3"/>
        <w:numPr>
          <w:ilvl w:val="0"/>
          <w:numId w:val="0"/>
        </w:numPr>
        <w:tabs>
          <w:tab w:val="clear" w:pos="756"/>
        </w:tabs>
        <w:spacing w:before="0" w:after="0"/>
        <w:rPr>
          <w:rFonts w:eastAsia="宋体"/>
          <w:b/>
          <w:color w:val="000000" w:themeColor="text1"/>
          <w:sz w:val="24"/>
          <w14:textFill>
            <w14:solidFill>
              <w14:schemeClr w14:val="tx1"/>
            </w14:solidFill>
          </w14:textFill>
        </w:rPr>
      </w:pPr>
      <w:r>
        <w:rPr>
          <w:rFonts w:eastAsia="宋体"/>
          <w:b/>
          <w:color w:val="000000" w:themeColor="text1"/>
          <w:sz w:val="24"/>
          <w:szCs w:val="24"/>
          <w14:textFill>
            <w14:solidFill>
              <w14:schemeClr w14:val="tx1"/>
            </w14:solidFill>
          </w14:textFill>
        </w:rPr>
        <w:t>附件6 监测报告</w:t>
      </w:r>
    </w:p>
    <w:p w14:paraId="60775FF7">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245" cy="7441565"/>
            <wp:effectExtent l="0" t="0" r="14605" b="6985"/>
            <wp:docPr id="24" name="图片 24" descr="蘑菇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蘑菇_01"/>
                    <pic:cNvPicPr>
                      <a:picLocks noChangeAspect="1"/>
                    </pic:cNvPicPr>
                  </pic:nvPicPr>
                  <pic:blipFill>
                    <a:blip r:embed="rId78"/>
                    <a:stretch>
                      <a:fillRect/>
                    </a:stretch>
                  </pic:blipFill>
                  <pic:spPr>
                    <a:xfrm>
                      <a:off x="0" y="0"/>
                      <a:ext cx="5262245" cy="744156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5262245" cy="7441565"/>
            <wp:effectExtent l="0" t="0" r="14605" b="6985"/>
            <wp:docPr id="23" name="图片 23" descr="蘑菇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蘑菇_02"/>
                    <pic:cNvPicPr>
                      <a:picLocks noChangeAspect="1"/>
                    </pic:cNvPicPr>
                  </pic:nvPicPr>
                  <pic:blipFill>
                    <a:blip r:embed="rId79"/>
                    <a:stretch>
                      <a:fillRect/>
                    </a:stretch>
                  </pic:blipFill>
                  <pic:spPr>
                    <a:xfrm>
                      <a:off x="0" y="0"/>
                      <a:ext cx="5262245" cy="744156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5262245" cy="7441565"/>
            <wp:effectExtent l="0" t="0" r="14605" b="6985"/>
            <wp:docPr id="22" name="图片 22" descr="蘑菇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蘑菇_03"/>
                    <pic:cNvPicPr>
                      <a:picLocks noChangeAspect="1"/>
                    </pic:cNvPicPr>
                  </pic:nvPicPr>
                  <pic:blipFill>
                    <a:blip r:embed="rId80"/>
                    <a:stretch>
                      <a:fillRect/>
                    </a:stretch>
                  </pic:blipFill>
                  <pic:spPr>
                    <a:xfrm>
                      <a:off x="0" y="0"/>
                      <a:ext cx="5262245" cy="744156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5262245" cy="7441565"/>
            <wp:effectExtent l="0" t="0" r="14605" b="6985"/>
            <wp:docPr id="21" name="图片 21" descr="蘑菇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蘑菇_04"/>
                    <pic:cNvPicPr>
                      <a:picLocks noChangeAspect="1"/>
                    </pic:cNvPicPr>
                  </pic:nvPicPr>
                  <pic:blipFill>
                    <a:blip r:embed="rId81"/>
                    <a:stretch>
                      <a:fillRect/>
                    </a:stretch>
                  </pic:blipFill>
                  <pic:spPr>
                    <a:xfrm>
                      <a:off x="0" y="0"/>
                      <a:ext cx="5262245" cy="744156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5262245" cy="7441565"/>
            <wp:effectExtent l="0" t="0" r="14605" b="6985"/>
            <wp:docPr id="18" name="图片 18" descr="蘑菇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蘑菇_05"/>
                    <pic:cNvPicPr>
                      <a:picLocks noChangeAspect="1"/>
                    </pic:cNvPicPr>
                  </pic:nvPicPr>
                  <pic:blipFill>
                    <a:blip r:embed="rId82"/>
                    <a:stretch>
                      <a:fillRect/>
                    </a:stretch>
                  </pic:blipFill>
                  <pic:spPr>
                    <a:xfrm>
                      <a:off x="0" y="0"/>
                      <a:ext cx="5262245" cy="7441565"/>
                    </a:xfrm>
                    <a:prstGeom prst="rect">
                      <a:avLst/>
                    </a:prstGeom>
                  </pic:spPr>
                </pic:pic>
              </a:graphicData>
            </a:graphic>
          </wp:inline>
        </w:drawing>
      </w:r>
      <w:r>
        <w:rPr>
          <w:color w:val="000000" w:themeColor="text1"/>
          <w14:textFill>
            <w14:solidFill>
              <w14:schemeClr w14:val="tx1"/>
            </w14:solidFill>
          </w14:textFill>
        </w:rPr>
        <w:drawing>
          <wp:inline distT="0" distB="0" distL="114300" distR="114300">
            <wp:extent cx="5262245" cy="7441565"/>
            <wp:effectExtent l="0" t="0" r="14605" b="6985"/>
            <wp:docPr id="13" name="图片 13" descr="蘑菇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蘑菇_06"/>
                    <pic:cNvPicPr>
                      <a:picLocks noChangeAspect="1"/>
                    </pic:cNvPicPr>
                  </pic:nvPicPr>
                  <pic:blipFill>
                    <a:blip r:embed="rId83"/>
                    <a:stretch>
                      <a:fillRect/>
                    </a:stretch>
                  </pic:blipFill>
                  <pic:spPr>
                    <a:xfrm>
                      <a:off x="0" y="0"/>
                      <a:ext cx="5262245" cy="7441565"/>
                    </a:xfrm>
                    <a:prstGeom prst="rect">
                      <a:avLst/>
                    </a:prstGeom>
                  </pic:spPr>
                </pic:pic>
              </a:graphicData>
            </a:graphic>
          </wp:inline>
        </w:drawing>
      </w:r>
    </w:p>
    <w:p w14:paraId="62F8FBBB">
      <w:pPr>
        <w:rPr>
          <w:color w:val="000000" w:themeColor="text1"/>
          <w14:textFill>
            <w14:solidFill>
              <w14:schemeClr w14:val="tx1"/>
            </w14:solidFill>
          </w14:textFill>
        </w:rPr>
      </w:pPr>
    </w:p>
    <w:p w14:paraId="5D9E1615">
      <w:pPr>
        <w:rPr>
          <w:color w:val="000000" w:themeColor="text1"/>
          <w14:textFill>
            <w14:solidFill>
              <w14:schemeClr w14:val="tx1"/>
            </w14:solidFill>
          </w14:textFill>
        </w:rPr>
      </w:pPr>
    </w:p>
    <w:p w14:paraId="0C981BA8">
      <w:pPr>
        <w:rPr>
          <w:color w:val="000000" w:themeColor="text1"/>
          <w14:textFill>
            <w14:solidFill>
              <w14:schemeClr w14:val="tx1"/>
            </w14:solidFill>
          </w14:textFill>
        </w:rPr>
      </w:pPr>
    </w:p>
    <w:p w14:paraId="3B594364">
      <w:pPr>
        <w:rPr>
          <w:color w:val="000000" w:themeColor="text1"/>
          <w14:textFill>
            <w14:solidFill>
              <w14:schemeClr w14:val="tx1"/>
            </w14:solidFill>
          </w14:textFill>
        </w:rPr>
      </w:pPr>
    </w:p>
    <w:p w14:paraId="3E2D2470">
      <w:pPr>
        <w:rPr>
          <w:color w:val="000000" w:themeColor="text1"/>
          <w14:textFill>
            <w14:solidFill>
              <w14:schemeClr w14:val="tx1"/>
            </w14:solidFill>
          </w14:textFill>
        </w:rPr>
      </w:pPr>
    </w:p>
    <w:p w14:paraId="0317E292">
      <w:pPr>
        <w:rPr>
          <w:color w:val="000000" w:themeColor="text1"/>
          <w14:textFill>
            <w14:solidFill>
              <w14:schemeClr w14:val="tx1"/>
            </w14:solidFill>
          </w14:textFill>
        </w:rPr>
      </w:pPr>
    </w:p>
    <w:p w14:paraId="1C5B2D76">
      <w:pPr>
        <w:rPr>
          <w:color w:val="000000" w:themeColor="text1"/>
          <w14:textFill>
            <w14:solidFill>
              <w14:schemeClr w14:val="tx1"/>
            </w14:solidFill>
          </w14:textFill>
        </w:rPr>
      </w:pPr>
    </w:p>
    <w:p w14:paraId="5D0CA07C">
      <w:pPr>
        <w:rPr>
          <w:color w:val="000000" w:themeColor="text1"/>
          <w14:textFill>
            <w14:solidFill>
              <w14:schemeClr w14:val="tx1"/>
            </w14:solidFill>
          </w14:textFill>
        </w:rPr>
      </w:pPr>
    </w:p>
    <w:p w14:paraId="2619C107">
      <w:pPr>
        <w:rPr>
          <w:color w:val="000000" w:themeColor="text1"/>
          <w14:textFill>
            <w14:solidFill>
              <w14:schemeClr w14:val="tx1"/>
            </w14:solidFill>
          </w14:textFill>
        </w:rPr>
      </w:pPr>
    </w:p>
    <w:p w14:paraId="0F6A1BC8">
      <w:pPr>
        <w:pStyle w:val="3"/>
        <w:numPr>
          <w:ilvl w:val="0"/>
          <w:numId w:val="0"/>
        </w:numPr>
        <w:tabs>
          <w:tab w:val="clear" w:pos="756"/>
        </w:tabs>
        <w:spacing w:before="0" w:after="0"/>
        <w:rPr>
          <w:color w:val="000000" w:themeColor="text1"/>
          <w14:textFill>
            <w14:solidFill>
              <w14:schemeClr w14:val="tx1"/>
            </w14:solidFill>
          </w14:textFill>
        </w:rPr>
      </w:pPr>
      <w:r>
        <w:rPr>
          <w:rFonts w:eastAsia="宋体"/>
          <w:b/>
          <w:color w:val="000000" w:themeColor="text1"/>
          <w:sz w:val="24"/>
          <w:szCs w:val="24"/>
          <w14:textFill>
            <w14:solidFill>
              <w14:schemeClr w14:val="tx1"/>
            </w14:solidFill>
          </w14:textFill>
        </w:rPr>
        <w:t>附件7 立案审批表</w:t>
      </w:r>
    </w:p>
    <w:p w14:paraId="1516F563">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7173595"/>
            <wp:effectExtent l="0" t="0" r="10160" b="8255"/>
            <wp:docPr id="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pic:cNvPicPr>
                      <a:picLocks noChangeAspect="1"/>
                    </pic:cNvPicPr>
                  </pic:nvPicPr>
                  <pic:blipFill>
                    <a:blip r:embed="rId84"/>
                    <a:stretch>
                      <a:fillRect/>
                    </a:stretch>
                  </pic:blipFill>
                  <pic:spPr>
                    <a:xfrm>
                      <a:off x="0" y="0"/>
                      <a:ext cx="5266690" cy="717359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269230" cy="6780530"/>
            <wp:effectExtent l="0" t="0" r="7620" b="1270"/>
            <wp:docPr id="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2"/>
                    <pic:cNvPicPr>
                      <a:picLocks noChangeAspect="1"/>
                    </pic:cNvPicPr>
                  </pic:nvPicPr>
                  <pic:blipFill>
                    <a:blip r:embed="rId85"/>
                    <a:stretch>
                      <a:fillRect/>
                    </a:stretch>
                  </pic:blipFill>
                  <pic:spPr>
                    <a:xfrm>
                      <a:off x="0" y="0"/>
                      <a:ext cx="5269230" cy="6780530"/>
                    </a:xfrm>
                    <a:prstGeom prst="rect">
                      <a:avLst/>
                    </a:prstGeom>
                    <a:noFill/>
                    <a:ln>
                      <a:noFill/>
                    </a:ln>
                  </pic:spPr>
                </pic:pic>
              </a:graphicData>
            </a:graphic>
          </wp:inline>
        </w:drawing>
      </w:r>
    </w:p>
    <w:sectPr>
      <w:pgSz w:w="11906" w:h="16838"/>
      <w:pgMar w:top="1417" w:right="1803" w:bottom="1417" w:left="1803" w:header="851" w:footer="85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华文行楷">
    <w:panose1 w:val="02010800040101010101"/>
    <w:charset w:val="86"/>
    <w:family w:val="auto"/>
    <w:pitch w:val="default"/>
    <w:sig w:usb0="00000001" w:usb1="080F0000" w:usb2="00000000" w:usb3="00000000" w:csb0="00040000" w:csb1="00000000"/>
  </w:font>
  <w:font w:name="Consolas">
    <w:panose1 w:val="020B0609020204030204"/>
    <w:charset w:val="00"/>
    <w:family w:val="modern"/>
    <w:pitch w:val="default"/>
    <w:sig w:usb0="E10002FF" w:usb1="4000FCFF" w:usb2="00000009" w:usb3="00000000" w:csb0="600001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FontAweso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86"/>
    <w:family w:val="auto"/>
    <w:pitch w:val="default"/>
    <w:sig w:usb0="00000000" w:usb1="0000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537D9">
    <w:pPr>
      <w:pStyle w:val="23"/>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87EBF">
    <w:pPr>
      <w:pStyle w:val="23"/>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6BE1C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36</w:t>
                          </w:r>
                          <w:r>
                            <w:rPr>
                              <w:rFonts w:hint="eastAsia"/>
                              <w:sz w:val="18"/>
                            </w:rPr>
                            <w:fldChar w:fldCharType="end"/>
                          </w: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T0O0sQBAACRAwAADgAAAGRycy9lMm9Eb2MueG1srVPNjtMwEL4j8Q6W&#10;79RpJ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3iJrymxHGLE7/8+H75+fvy6xtZ&#10;VqubLFEfoMbM+4C5aXjrB0yf/YDOzHxQ0eYvciIYR4HPV4HlkIjIj9ar9brCkMDYfEF89vA8REjv&#10;pLckGw2NOMEiLD99gDSmzim5mvN32pgyReP+ciBm9rDc+9hjttKwHyZCe9+ekU+Pw2+ow12nxLx3&#10;qG3ek9mIs7GfjFwDwptjwsKln4w6Qk3FcFKF0bRVeRUe30vWw5+0/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oT0O0sQBAACRAwAADgAAAAAAAAABACAAAAAeAQAAZHJzL2Uyb0RvYy54bWxQ&#10;SwUGAAAAAAYABgBZAQAAVAUAAAAA&#10;">
              <v:fill on="f" focussize="0,0"/>
              <v:stroke on="f"/>
              <v:imagedata o:title=""/>
              <o:lock v:ext="edit" aspectratio="f"/>
              <v:textbox inset="0mm,0mm,0mm,0mm" style="mso-fit-shape-to-text:t;">
                <w:txbxContent>
                  <w:p w14:paraId="5A6BE1C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36</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538E0">
    <w:pPr>
      <w:pStyle w:val="23"/>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337A2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68</w:t>
                          </w:r>
                          <w:r>
                            <w:rPr>
                              <w:rFonts w:hint="eastAsia"/>
                              <w:sz w:val="18"/>
                            </w:rPr>
                            <w:fldChar w:fldCharType="end"/>
                          </w:r>
                        </w:p>
                      </w:txbxContent>
                    </wps:txbx>
                    <wps:bodyPr wrap="none" lIns="0" tIns="0" rIns="0" bIns="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4R/LsQBAACR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JeUOG5x4pfv3y4/fl1+fiXL&#10;avU6S9QHqDHzLmBuGt76AdNnP6AzMx9UtPmLnAjGUeDzVWA5JCLyo/Vqva4wJDA2XxCfPTwPEdI7&#10;6S3JRkMjTrAIy08fII2pc0qu5vytNqZM0bi/HIiZPSz3PvaYrTTsh4nQ3rdn5NPj8BvqcNcpMe8d&#10;apv3ZDbibOwnI9eA8OaYsHDpJ6OOUFMxnFRhNG1VXoU/7yXr4U/a/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l4R/LsQBAACRAwAADgAAAAAAAAABACAAAAAeAQAAZHJzL2Uyb0RvYy54bWxQ&#10;SwUGAAAAAAYABgBZAQAAVAUAAAAA&#10;">
              <v:fill on="f" focussize="0,0"/>
              <v:stroke on="f"/>
              <v:imagedata o:title=""/>
              <o:lock v:ext="edit" aspectratio="f"/>
              <v:textbox inset="0mm,0mm,0mm,0mm" style="mso-fit-shape-to-text:t;">
                <w:txbxContent>
                  <w:p w14:paraId="2B337A2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68</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B3C2E">
    <w:pPr>
      <w:pStyle w:val="23"/>
      <w:ind w:firstLine="4500" w:firstLineChars="250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DF146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04DF146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70</w:t>
                    </w:r>
                    <w:r>
                      <w:rPr>
                        <w:rFonts w:hint="eastAsia"/>
                        <w:sz w:val="18"/>
                      </w:rPr>
                      <w:fldChar w:fldCharType="end"/>
                    </w:r>
                  </w:p>
                </w:txbxContent>
              </v:textbox>
            </v:shape>
          </w:pict>
        </mc:Fallback>
      </mc:AlternateContent>
    </w:r>
  </w:p>
  <w:p w14:paraId="0C7CB7B3">
    <w:pPr>
      <w:pStyle w:val="2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3BF25">
    <w:pPr>
      <w:pStyle w:val="13"/>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38F1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2NaItAgAAVw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JtX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Y2NaItAgAAVwQAAA4AAAAAAAAAAQAgAAAAHwEAAGRycy9lMm9Eb2MueG1sUEsFBgAAAAAG&#10;AAYAWQEAAL4FAAAAAA==&#10;">
              <v:fill on="f" focussize="0,0"/>
              <v:stroke on="f" weight="0.5pt"/>
              <v:imagedata o:title=""/>
              <o:lock v:ext="edit" aspectratio="f"/>
              <v:textbox inset="0mm,0mm,0mm,0mm" style="mso-fit-shape-to-text:t;">
                <w:txbxContent>
                  <w:p w14:paraId="24038F1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71</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2C298">
    <w:pPr>
      <w:pStyle w:val="23"/>
      <w:ind w:right="360"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168C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86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57ZuItAgAAVwQAAA4AAABkcnMvZTJvRG9jLnhtbK1UzY7TMBC+I/EO&#10;lu80adGu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57ZuItAgAAVwQAAA4AAAAAAAAAAQAgAAAAHwEAAGRycy9lMm9Eb2MueG1sUEsFBgAAAAAG&#10;AAYAWQEAAL4FAAAAAA==&#10;">
              <v:fill on="f" focussize="0,0"/>
              <v:stroke on="f" weight="0.5pt"/>
              <v:imagedata o:title=""/>
              <o:lock v:ext="edit" aspectratio="f"/>
              <v:textbox inset="0mm,0mm,0mm,0mm" style="mso-fit-shape-to-text:t;">
                <w:txbxContent>
                  <w:p w14:paraId="6A3168C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86</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1FD9C">
    <w:pPr>
      <w:pStyle w:val="16"/>
      <w:pBdr>
        <w:bottom w:val="none" w:color="auto" w:sz="0" w:space="1"/>
      </w:pBdr>
      <w:tabs>
        <w:tab w:val="left" w:pos="3867"/>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92BE31"/>
    <w:multiLevelType w:val="singleLevel"/>
    <w:tmpl w:val="9692BE31"/>
    <w:lvl w:ilvl="0" w:tentative="0">
      <w:start w:val="1"/>
      <w:numFmt w:val="decimal"/>
      <w:suff w:val="nothing"/>
      <w:lvlText w:val="%1、"/>
      <w:lvlJc w:val="left"/>
    </w:lvl>
  </w:abstractNum>
  <w:abstractNum w:abstractNumId="1">
    <w:nsid w:val="AFEE0370"/>
    <w:multiLevelType w:val="singleLevel"/>
    <w:tmpl w:val="AFEE0370"/>
    <w:lvl w:ilvl="0" w:tentative="0">
      <w:start w:val="7"/>
      <w:numFmt w:val="decimal"/>
      <w:suff w:val="nothing"/>
      <w:lvlText w:val="%1、"/>
      <w:lvlJc w:val="left"/>
    </w:lvl>
  </w:abstractNum>
  <w:abstractNum w:abstractNumId="2">
    <w:nsid w:val="E124F028"/>
    <w:multiLevelType w:val="singleLevel"/>
    <w:tmpl w:val="E124F028"/>
    <w:lvl w:ilvl="0" w:tentative="0">
      <w:start w:val="1"/>
      <w:numFmt w:val="decimal"/>
      <w:suff w:val="space"/>
      <w:lvlText w:val="%1."/>
      <w:lvlJc w:val="left"/>
    </w:lvl>
  </w:abstractNum>
  <w:abstractNum w:abstractNumId="3">
    <w:nsid w:val="27285247"/>
    <w:multiLevelType w:val="singleLevel"/>
    <w:tmpl w:val="27285247"/>
    <w:lvl w:ilvl="0" w:tentative="0">
      <w:start w:val="1"/>
      <w:numFmt w:val="bullet"/>
      <w:pStyle w:val="19"/>
      <w:lvlText w:val=""/>
      <w:lvlJc w:val="left"/>
      <w:pPr>
        <w:tabs>
          <w:tab w:val="left" w:pos="2040"/>
        </w:tabs>
        <w:ind w:left="2040" w:hanging="360"/>
      </w:pPr>
      <w:rPr>
        <w:rFonts w:hint="default" w:ascii="Wingdings" w:hAnsi="Wingdings"/>
      </w:rPr>
    </w:lvl>
  </w:abstractNum>
  <w:abstractNum w:abstractNumId="4">
    <w:nsid w:val="36215527"/>
    <w:multiLevelType w:val="multilevel"/>
    <w:tmpl w:val="36215527"/>
    <w:lvl w:ilvl="0" w:tentative="0">
      <w:start w:val="1"/>
      <w:numFmt w:val="decimal"/>
      <w:lvlText w:val="%1"/>
      <w:lvlJc w:val="left"/>
      <w:pPr>
        <w:tabs>
          <w:tab w:val="left" w:pos="432"/>
        </w:tabs>
        <w:ind w:left="432" w:hanging="432"/>
      </w:pPr>
      <w:rPr>
        <w:rFonts w:hint="eastAsia"/>
      </w:rPr>
    </w:lvl>
    <w:lvl w:ilvl="1" w:tentative="0">
      <w:start w:val="1"/>
      <w:numFmt w:val="decimal"/>
      <w:pStyle w:val="3"/>
      <w:lvlText w:val="%1.%2"/>
      <w:lvlJc w:val="left"/>
      <w:pPr>
        <w:tabs>
          <w:tab w:val="left" w:pos="756"/>
        </w:tabs>
        <w:ind w:left="756" w:hanging="576"/>
      </w:pPr>
      <w:rPr>
        <w:rFonts w:hint="eastAsia"/>
      </w:rPr>
    </w:lvl>
    <w:lvl w:ilvl="2" w:tentative="0">
      <w:start w:val="1"/>
      <w:numFmt w:val="decimal"/>
      <w:pStyle w:val="4"/>
      <w:lvlText w:val="%1.%2.%3"/>
      <w:lvlJc w:val="left"/>
      <w:pPr>
        <w:tabs>
          <w:tab w:val="left" w:pos="720"/>
        </w:tabs>
        <w:ind w:left="720" w:hanging="720"/>
      </w:pPr>
      <w:rPr>
        <w:rFonts w:hint="eastAsia"/>
      </w:rPr>
    </w:lvl>
    <w:lvl w:ilvl="3" w:tentative="0">
      <w:start w:val="1"/>
      <w:numFmt w:val="decimal"/>
      <w:pStyle w:val="5"/>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
    <w:nsid w:val="6074E956"/>
    <w:multiLevelType w:val="singleLevel"/>
    <w:tmpl w:val="6074E956"/>
    <w:lvl w:ilvl="0" w:tentative="0">
      <w:start w:val="1"/>
      <w:numFmt w:val="decimal"/>
      <w:pStyle w:val="8"/>
      <w:lvlText w:val="%1."/>
      <w:lvlJc w:val="left"/>
      <w:pPr>
        <w:tabs>
          <w:tab w:val="left" w:pos="360"/>
        </w:tabs>
        <w:ind w:left="360" w:hanging="360"/>
      </w:pPr>
    </w:lvl>
  </w:abstractNum>
  <w:abstractNum w:abstractNumId="6">
    <w:nsid w:val="60DAE019"/>
    <w:multiLevelType w:val="singleLevel"/>
    <w:tmpl w:val="60DAE019"/>
    <w:lvl w:ilvl="0" w:tentative="0">
      <w:start w:val="1"/>
      <w:numFmt w:val="decimal"/>
      <w:suff w:val="nothing"/>
      <w:lvlText w:val="%1、"/>
      <w:lvlJc w:val="left"/>
    </w:lvl>
  </w:abstractNum>
  <w:abstractNum w:abstractNumId="7">
    <w:nsid w:val="64CA7D6F"/>
    <w:multiLevelType w:val="singleLevel"/>
    <w:tmpl w:val="64CA7D6F"/>
    <w:lvl w:ilvl="0" w:tentative="0">
      <w:start w:val="1"/>
      <w:numFmt w:val="decimal"/>
      <w:suff w:val="space"/>
      <w:lvlText w:val="%1."/>
      <w:lvlJc w:val="left"/>
    </w:lvl>
  </w:abstractNum>
  <w:abstractNum w:abstractNumId="8">
    <w:nsid w:val="66F4D5A8"/>
    <w:multiLevelType w:val="singleLevel"/>
    <w:tmpl w:val="66F4D5A8"/>
    <w:lvl w:ilvl="0" w:tentative="0">
      <w:start w:val="1"/>
      <w:numFmt w:val="decimal"/>
      <w:suff w:val="nothing"/>
      <w:lvlText w:val="（%1）"/>
      <w:lvlJc w:val="left"/>
      <w:pPr>
        <w:tabs>
          <w:tab w:val="left" w:pos="0"/>
        </w:tabs>
      </w:pPr>
      <w:rPr>
        <w:rFonts w:hint="default"/>
      </w:rPr>
    </w:lvl>
  </w:abstractNum>
  <w:abstractNum w:abstractNumId="9">
    <w:nsid w:val="6ADC5C5A"/>
    <w:multiLevelType w:val="singleLevel"/>
    <w:tmpl w:val="6ADC5C5A"/>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2"/>
  </w:num>
  <w:num w:numId="5">
    <w:abstractNumId w:val="7"/>
  </w:num>
  <w:num w:numId="6">
    <w:abstractNumId w:val="8"/>
  </w:num>
  <w:num w:numId="7">
    <w:abstractNumId w:val="9"/>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2MzI1ZGQwOGExNzUyYzE2M2U5YjkzMzVhNWVmMDMifQ=="/>
  </w:docVars>
  <w:rsids>
    <w:rsidRoot w:val="00172A27"/>
    <w:rsid w:val="00000245"/>
    <w:rsid w:val="00004DFB"/>
    <w:rsid w:val="000060B3"/>
    <w:rsid w:val="00022346"/>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C7A67"/>
    <w:rsid w:val="000D5A44"/>
    <w:rsid w:val="000D7A31"/>
    <w:rsid w:val="000E3ED2"/>
    <w:rsid w:val="00115206"/>
    <w:rsid w:val="00130CED"/>
    <w:rsid w:val="00131F42"/>
    <w:rsid w:val="001357F1"/>
    <w:rsid w:val="00140FA8"/>
    <w:rsid w:val="00142FEB"/>
    <w:rsid w:val="00143A2D"/>
    <w:rsid w:val="00145A41"/>
    <w:rsid w:val="00151675"/>
    <w:rsid w:val="00154B6E"/>
    <w:rsid w:val="00157435"/>
    <w:rsid w:val="001601AE"/>
    <w:rsid w:val="001704DF"/>
    <w:rsid w:val="00172A27"/>
    <w:rsid w:val="0017504D"/>
    <w:rsid w:val="0017671A"/>
    <w:rsid w:val="00177422"/>
    <w:rsid w:val="00184590"/>
    <w:rsid w:val="001870D1"/>
    <w:rsid w:val="0018781E"/>
    <w:rsid w:val="0019262D"/>
    <w:rsid w:val="001A1B35"/>
    <w:rsid w:val="001A48A2"/>
    <w:rsid w:val="001A6F61"/>
    <w:rsid w:val="001B72B8"/>
    <w:rsid w:val="001C69B3"/>
    <w:rsid w:val="001C7DB9"/>
    <w:rsid w:val="001D5595"/>
    <w:rsid w:val="001D7874"/>
    <w:rsid w:val="001D7F22"/>
    <w:rsid w:val="001F0F17"/>
    <w:rsid w:val="001F3347"/>
    <w:rsid w:val="001F69E4"/>
    <w:rsid w:val="0021023C"/>
    <w:rsid w:val="00211FE3"/>
    <w:rsid w:val="002125B4"/>
    <w:rsid w:val="002155B8"/>
    <w:rsid w:val="00224839"/>
    <w:rsid w:val="002249B2"/>
    <w:rsid w:val="00226574"/>
    <w:rsid w:val="002278EC"/>
    <w:rsid w:val="0023280E"/>
    <w:rsid w:val="00235E12"/>
    <w:rsid w:val="002377D1"/>
    <w:rsid w:val="002506BC"/>
    <w:rsid w:val="00254345"/>
    <w:rsid w:val="00264557"/>
    <w:rsid w:val="002805AB"/>
    <w:rsid w:val="00281658"/>
    <w:rsid w:val="00284204"/>
    <w:rsid w:val="00291773"/>
    <w:rsid w:val="002A168C"/>
    <w:rsid w:val="002A3DC7"/>
    <w:rsid w:val="002B240D"/>
    <w:rsid w:val="002B49E2"/>
    <w:rsid w:val="002B7B00"/>
    <w:rsid w:val="002B7C44"/>
    <w:rsid w:val="002C2B17"/>
    <w:rsid w:val="002D1AA5"/>
    <w:rsid w:val="002D3DD0"/>
    <w:rsid w:val="002D7479"/>
    <w:rsid w:val="002E1F3A"/>
    <w:rsid w:val="002E298A"/>
    <w:rsid w:val="00301978"/>
    <w:rsid w:val="0030332C"/>
    <w:rsid w:val="003051C2"/>
    <w:rsid w:val="00312296"/>
    <w:rsid w:val="00314F0E"/>
    <w:rsid w:val="00320AD4"/>
    <w:rsid w:val="00321D8E"/>
    <w:rsid w:val="00325928"/>
    <w:rsid w:val="0032646A"/>
    <w:rsid w:val="00330863"/>
    <w:rsid w:val="00332863"/>
    <w:rsid w:val="0033684D"/>
    <w:rsid w:val="00337B42"/>
    <w:rsid w:val="00341B42"/>
    <w:rsid w:val="0034348F"/>
    <w:rsid w:val="00356653"/>
    <w:rsid w:val="0035743F"/>
    <w:rsid w:val="00357BE2"/>
    <w:rsid w:val="0036170C"/>
    <w:rsid w:val="00366E0F"/>
    <w:rsid w:val="003745E3"/>
    <w:rsid w:val="00381A72"/>
    <w:rsid w:val="00384676"/>
    <w:rsid w:val="00390857"/>
    <w:rsid w:val="003A4BF3"/>
    <w:rsid w:val="003B3599"/>
    <w:rsid w:val="003B420D"/>
    <w:rsid w:val="003C6C16"/>
    <w:rsid w:val="003D794D"/>
    <w:rsid w:val="003E1A4F"/>
    <w:rsid w:val="003E3058"/>
    <w:rsid w:val="003E76A9"/>
    <w:rsid w:val="003F0809"/>
    <w:rsid w:val="003F6A8C"/>
    <w:rsid w:val="003F755C"/>
    <w:rsid w:val="004004B9"/>
    <w:rsid w:val="00406F01"/>
    <w:rsid w:val="00412FEA"/>
    <w:rsid w:val="00416D50"/>
    <w:rsid w:val="00416FD5"/>
    <w:rsid w:val="00417772"/>
    <w:rsid w:val="00420E6A"/>
    <w:rsid w:val="00425A9E"/>
    <w:rsid w:val="00426D6B"/>
    <w:rsid w:val="00431191"/>
    <w:rsid w:val="00431E6C"/>
    <w:rsid w:val="00433CE7"/>
    <w:rsid w:val="0044213B"/>
    <w:rsid w:val="00452738"/>
    <w:rsid w:val="00456091"/>
    <w:rsid w:val="00466321"/>
    <w:rsid w:val="00484B9B"/>
    <w:rsid w:val="004855F6"/>
    <w:rsid w:val="0048661E"/>
    <w:rsid w:val="00494670"/>
    <w:rsid w:val="004A216A"/>
    <w:rsid w:val="004A3823"/>
    <w:rsid w:val="004B0805"/>
    <w:rsid w:val="004B25FB"/>
    <w:rsid w:val="004B3729"/>
    <w:rsid w:val="004B61AF"/>
    <w:rsid w:val="004E6946"/>
    <w:rsid w:val="004F1AD8"/>
    <w:rsid w:val="005039CB"/>
    <w:rsid w:val="00504CC7"/>
    <w:rsid w:val="0050558F"/>
    <w:rsid w:val="00506286"/>
    <w:rsid w:val="00510813"/>
    <w:rsid w:val="00511990"/>
    <w:rsid w:val="00511DE0"/>
    <w:rsid w:val="00513F2B"/>
    <w:rsid w:val="00514870"/>
    <w:rsid w:val="00514B9B"/>
    <w:rsid w:val="00517F02"/>
    <w:rsid w:val="00524303"/>
    <w:rsid w:val="005258A2"/>
    <w:rsid w:val="005401AE"/>
    <w:rsid w:val="00542E07"/>
    <w:rsid w:val="00544DD5"/>
    <w:rsid w:val="00545424"/>
    <w:rsid w:val="00554A7B"/>
    <w:rsid w:val="0055572C"/>
    <w:rsid w:val="0056106A"/>
    <w:rsid w:val="00562A3F"/>
    <w:rsid w:val="00566C32"/>
    <w:rsid w:val="005720AE"/>
    <w:rsid w:val="00575F5D"/>
    <w:rsid w:val="0058779C"/>
    <w:rsid w:val="00594D77"/>
    <w:rsid w:val="005969E4"/>
    <w:rsid w:val="005A06B7"/>
    <w:rsid w:val="005A09D3"/>
    <w:rsid w:val="005A1759"/>
    <w:rsid w:val="005A68A7"/>
    <w:rsid w:val="005B6439"/>
    <w:rsid w:val="005D36AB"/>
    <w:rsid w:val="006130F9"/>
    <w:rsid w:val="00617CC3"/>
    <w:rsid w:val="006212B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4BB7"/>
    <w:rsid w:val="006C5479"/>
    <w:rsid w:val="006D13B5"/>
    <w:rsid w:val="006E12FF"/>
    <w:rsid w:val="006E5E86"/>
    <w:rsid w:val="006E607E"/>
    <w:rsid w:val="00706C5D"/>
    <w:rsid w:val="007320C9"/>
    <w:rsid w:val="00732922"/>
    <w:rsid w:val="0074769C"/>
    <w:rsid w:val="0075162E"/>
    <w:rsid w:val="00754034"/>
    <w:rsid w:val="00756556"/>
    <w:rsid w:val="007618C4"/>
    <w:rsid w:val="00762155"/>
    <w:rsid w:val="007640F6"/>
    <w:rsid w:val="00764279"/>
    <w:rsid w:val="00767980"/>
    <w:rsid w:val="00770B19"/>
    <w:rsid w:val="0077463F"/>
    <w:rsid w:val="007836EA"/>
    <w:rsid w:val="00784CDA"/>
    <w:rsid w:val="007865A8"/>
    <w:rsid w:val="007906C4"/>
    <w:rsid w:val="007940EA"/>
    <w:rsid w:val="007967E8"/>
    <w:rsid w:val="007A2170"/>
    <w:rsid w:val="007A22BF"/>
    <w:rsid w:val="007A3323"/>
    <w:rsid w:val="007B72B8"/>
    <w:rsid w:val="007B7A58"/>
    <w:rsid w:val="007C21B5"/>
    <w:rsid w:val="007E4BD2"/>
    <w:rsid w:val="007F3061"/>
    <w:rsid w:val="00801393"/>
    <w:rsid w:val="008018F0"/>
    <w:rsid w:val="00802F88"/>
    <w:rsid w:val="0081293E"/>
    <w:rsid w:val="00815465"/>
    <w:rsid w:val="00817E9A"/>
    <w:rsid w:val="008306BD"/>
    <w:rsid w:val="00831A80"/>
    <w:rsid w:val="00833743"/>
    <w:rsid w:val="008340A4"/>
    <w:rsid w:val="00834114"/>
    <w:rsid w:val="0087135F"/>
    <w:rsid w:val="00872D94"/>
    <w:rsid w:val="00880364"/>
    <w:rsid w:val="00891592"/>
    <w:rsid w:val="00891E9E"/>
    <w:rsid w:val="008A2F68"/>
    <w:rsid w:val="008A30A3"/>
    <w:rsid w:val="008A6ADE"/>
    <w:rsid w:val="008A7B6A"/>
    <w:rsid w:val="008B2462"/>
    <w:rsid w:val="008B4FA6"/>
    <w:rsid w:val="008B5282"/>
    <w:rsid w:val="008B7C17"/>
    <w:rsid w:val="008C2D01"/>
    <w:rsid w:val="008C40E6"/>
    <w:rsid w:val="008D0F7A"/>
    <w:rsid w:val="008D6518"/>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42E43"/>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1729"/>
    <w:rsid w:val="009B7BD9"/>
    <w:rsid w:val="009C7DD5"/>
    <w:rsid w:val="009E227D"/>
    <w:rsid w:val="009E5019"/>
    <w:rsid w:val="009E7197"/>
    <w:rsid w:val="009F34C5"/>
    <w:rsid w:val="00A04F1B"/>
    <w:rsid w:val="00A0501B"/>
    <w:rsid w:val="00A14947"/>
    <w:rsid w:val="00A32A83"/>
    <w:rsid w:val="00A368DB"/>
    <w:rsid w:val="00A423AA"/>
    <w:rsid w:val="00A44A87"/>
    <w:rsid w:val="00A53EC6"/>
    <w:rsid w:val="00A55C0F"/>
    <w:rsid w:val="00A8713F"/>
    <w:rsid w:val="00A90BA1"/>
    <w:rsid w:val="00A95E7B"/>
    <w:rsid w:val="00A97A9A"/>
    <w:rsid w:val="00AA0671"/>
    <w:rsid w:val="00AA2531"/>
    <w:rsid w:val="00AB1E09"/>
    <w:rsid w:val="00AB5330"/>
    <w:rsid w:val="00AB7747"/>
    <w:rsid w:val="00AC14CE"/>
    <w:rsid w:val="00AC2A56"/>
    <w:rsid w:val="00AD055E"/>
    <w:rsid w:val="00AD25EC"/>
    <w:rsid w:val="00AD47A7"/>
    <w:rsid w:val="00AF0CBF"/>
    <w:rsid w:val="00AF1AC0"/>
    <w:rsid w:val="00AF257F"/>
    <w:rsid w:val="00AF33CF"/>
    <w:rsid w:val="00AF4D50"/>
    <w:rsid w:val="00AF6179"/>
    <w:rsid w:val="00B1295A"/>
    <w:rsid w:val="00B14D12"/>
    <w:rsid w:val="00B20A45"/>
    <w:rsid w:val="00B22C5C"/>
    <w:rsid w:val="00B24F30"/>
    <w:rsid w:val="00B31ABF"/>
    <w:rsid w:val="00B33BE3"/>
    <w:rsid w:val="00B446C6"/>
    <w:rsid w:val="00B44FA0"/>
    <w:rsid w:val="00B53B5D"/>
    <w:rsid w:val="00B6055E"/>
    <w:rsid w:val="00B6317D"/>
    <w:rsid w:val="00B7723F"/>
    <w:rsid w:val="00B80534"/>
    <w:rsid w:val="00B8433C"/>
    <w:rsid w:val="00B87491"/>
    <w:rsid w:val="00B91215"/>
    <w:rsid w:val="00B953FD"/>
    <w:rsid w:val="00BA29E9"/>
    <w:rsid w:val="00BA7142"/>
    <w:rsid w:val="00BB237C"/>
    <w:rsid w:val="00BB41A3"/>
    <w:rsid w:val="00BB6182"/>
    <w:rsid w:val="00BC32DC"/>
    <w:rsid w:val="00BC35B6"/>
    <w:rsid w:val="00BD1B51"/>
    <w:rsid w:val="00BD4596"/>
    <w:rsid w:val="00BE1405"/>
    <w:rsid w:val="00BE29C4"/>
    <w:rsid w:val="00BE312D"/>
    <w:rsid w:val="00BE4BD7"/>
    <w:rsid w:val="00BF1C20"/>
    <w:rsid w:val="00C10578"/>
    <w:rsid w:val="00C135BC"/>
    <w:rsid w:val="00C15C95"/>
    <w:rsid w:val="00C2596A"/>
    <w:rsid w:val="00C27537"/>
    <w:rsid w:val="00C27FE6"/>
    <w:rsid w:val="00C30BB8"/>
    <w:rsid w:val="00C328FE"/>
    <w:rsid w:val="00C33507"/>
    <w:rsid w:val="00C4409D"/>
    <w:rsid w:val="00C44E72"/>
    <w:rsid w:val="00C45A06"/>
    <w:rsid w:val="00C47E5B"/>
    <w:rsid w:val="00C617B7"/>
    <w:rsid w:val="00C61E4B"/>
    <w:rsid w:val="00C64BFF"/>
    <w:rsid w:val="00C704E9"/>
    <w:rsid w:val="00C70A9C"/>
    <w:rsid w:val="00C71EA1"/>
    <w:rsid w:val="00C763C9"/>
    <w:rsid w:val="00C80057"/>
    <w:rsid w:val="00C82232"/>
    <w:rsid w:val="00C82913"/>
    <w:rsid w:val="00C909FE"/>
    <w:rsid w:val="00C91529"/>
    <w:rsid w:val="00C972B1"/>
    <w:rsid w:val="00CA2CCE"/>
    <w:rsid w:val="00CA43FD"/>
    <w:rsid w:val="00CA7EF8"/>
    <w:rsid w:val="00CC093E"/>
    <w:rsid w:val="00CC4608"/>
    <w:rsid w:val="00CC47CB"/>
    <w:rsid w:val="00CC489B"/>
    <w:rsid w:val="00CD2BCD"/>
    <w:rsid w:val="00CD3A4C"/>
    <w:rsid w:val="00CD6955"/>
    <w:rsid w:val="00CE10E9"/>
    <w:rsid w:val="00CE2910"/>
    <w:rsid w:val="00CE5393"/>
    <w:rsid w:val="00CF18E2"/>
    <w:rsid w:val="00CF36BE"/>
    <w:rsid w:val="00CF6000"/>
    <w:rsid w:val="00D003F3"/>
    <w:rsid w:val="00D0364F"/>
    <w:rsid w:val="00D06834"/>
    <w:rsid w:val="00D308ED"/>
    <w:rsid w:val="00D36D86"/>
    <w:rsid w:val="00D428AA"/>
    <w:rsid w:val="00D50A34"/>
    <w:rsid w:val="00D53EFA"/>
    <w:rsid w:val="00D81B9C"/>
    <w:rsid w:val="00D90455"/>
    <w:rsid w:val="00D94A7C"/>
    <w:rsid w:val="00D95896"/>
    <w:rsid w:val="00DA67F1"/>
    <w:rsid w:val="00DB2983"/>
    <w:rsid w:val="00DC1257"/>
    <w:rsid w:val="00DC3DC0"/>
    <w:rsid w:val="00DC5B2B"/>
    <w:rsid w:val="00DD318D"/>
    <w:rsid w:val="00DF2E12"/>
    <w:rsid w:val="00DF514A"/>
    <w:rsid w:val="00DF6580"/>
    <w:rsid w:val="00DF6690"/>
    <w:rsid w:val="00DF6804"/>
    <w:rsid w:val="00E0358D"/>
    <w:rsid w:val="00E04323"/>
    <w:rsid w:val="00E070A2"/>
    <w:rsid w:val="00E2656A"/>
    <w:rsid w:val="00E412D0"/>
    <w:rsid w:val="00E414B3"/>
    <w:rsid w:val="00E475C8"/>
    <w:rsid w:val="00E51C84"/>
    <w:rsid w:val="00E56322"/>
    <w:rsid w:val="00E60982"/>
    <w:rsid w:val="00E62C62"/>
    <w:rsid w:val="00E654C1"/>
    <w:rsid w:val="00E65D97"/>
    <w:rsid w:val="00E72A5A"/>
    <w:rsid w:val="00E73354"/>
    <w:rsid w:val="00E750FC"/>
    <w:rsid w:val="00E90893"/>
    <w:rsid w:val="00E9242D"/>
    <w:rsid w:val="00EB5255"/>
    <w:rsid w:val="00EB5C47"/>
    <w:rsid w:val="00ED0639"/>
    <w:rsid w:val="00EF4755"/>
    <w:rsid w:val="00EF7135"/>
    <w:rsid w:val="00F027DB"/>
    <w:rsid w:val="00F14A7A"/>
    <w:rsid w:val="00F22985"/>
    <w:rsid w:val="00F2345E"/>
    <w:rsid w:val="00F3383E"/>
    <w:rsid w:val="00F465A7"/>
    <w:rsid w:val="00F50B7C"/>
    <w:rsid w:val="00F550E6"/>
    <w:rsid w:val="00F62A61"/>
    <w:rsid w:val="00F74345"/>
    <w:rsid w:val="00F80A0A"/>
    <w:rsid w:val="00F82B19"/>
    <w:rsid w:val="00F9212D"/>
    <w:rsid w:val="00F965DA"/>
    <w:rsid w:val="00FA406A"/>
    <w:rsid w:val="00FA6436"/>
    <w:rsid w:val="00FB503A"/>
    <w:rsid w:val="00FB516C"/>
    <w:rsid w:val="00FD0236"/>
    <w:rsid w:val="00FD18F4"/>
    <w:rsid w:val="00FD4266"/>
    <w:rsid w:val="00FD54DB"/>
    <w:rsid w:val="00FD619F"/>
    <w:rsid w:val="00FF2F31"/>
    <w:rsid w:val="01224FF2"/>
    <w:rsid w:val="01290F7E"/>
    <w:rsid w:val="013D5053"/>
    <w:rsid w:val="014E1AEE"/>
    <w:rsid w:val="015B680A"/>
    <w:rsid w:val="015D1E09"/>
    <w:rsid w:val="01634E11"/>
    <w:rsid w:val="017C431F"/>
    <w:rsid w:val="017D162A"/>
    <w:rsid w:val="01800B69"/>
    <w:rsid w:val="019073A3"/>
    <w:rsid w:val="01D33ED6"/>
    <w:rsid w:val="01E11F44"/>
    <w:rsid w:val="01E702EA"/>
    <w:rsid w:val="01EC5C3E"/>
    <w:rsid w:val="01F23F5F"/>
    <w:rsid w:val="01F74CC0"/>
    <w:rsid w:val="022E751D"/>
    <w:rsid w:val="025D3716"/>
    <w:rsid w:val="02697903"/>
    <w:rsid w:val="027A2857"/>
    <w:rsid w:val="027C7A84"/>
    <w:rsid w:val="0281558D"/>
    <w:rsid w:val="02855631"/>
    <w:rsid w:val="028D3AD3"/>
    <w:rsid w:val="02A16E18"/>
    <w:rsid w:val="02BE3FB0"/>
    <w:rsid w:val="02DF1C86"/>
    <w:rsid w:val="02F53143"/>
    <w:rsid w:val="02F96569"/>
    <w:rsid w:val="02FB2F32"/>
    <w:rsid w:val="0301352B"/>
    <w:rsid w:val="030A67F3"/>
    <w:rsid w:val="031B4F25"/>
    <w:rsid w:val="03370B6C"/>
    <w:rsid w:val="035375C7"/>
    <w:rsid w:val="036B5072"/>
    <w:rsid w:val="036E04CB"/>
    <w:rsid w:val="03736C64"/>
    <w:rsid w:val="03865BF2"/>
    <w:rsid w:val="038C2DCB"/>
    <w:rsid w:val="03C54F9E"/>
    <w:rsid w:val="03D5709A"/>
    <w:rsid w:val="03EA7B21"/>
    <w:rsid w:val="03F30C36"/>
    <w:rsid w:val="041A0F4D"/>
    <w:rsid w:val="04670CEC"/>
    <w:rsid w:val="04774B88"/>
    <w:rsid w:val="04806626"/>
    <w:rsid w:val="04817B1B"/>
    <w:rsid w:val="048522BB"/>
    <w:rsid w:val="04893D27"/>
    <w:rsid w:val="04D42A3E"/>
    <w:rsid w:val="04E95847"/>
    <w:rsid w:val="04EF5C3D"/>
    <w:rsid w:val="05235E1B"/>
    <w:rsid w:val="053D03E7"/>
    <w:rsid w:val="056D18B0"/>
    <w:rsid w:val="05787290"/>
    <w:rsid w:val="059B4C1F"/>
    <w:rsid w:val="05AB6380"/>
    <w:rsid w:val="05CA539E"/>
    <w:rsid w:val="05D54624"/>
    <w:rsid w:val="05ED5A6D"/>
    <w:rsid w:val="05F83EAE"/>
    <w:rsid w:val="060E79D8"/>
    <w:rsid w:val="062C26FA"/>
    <w:rsid w:val="06317CFD"/>
    <w:rsid w:val="06353137"/>
    <w:rsid w:val="06377359"/>
    <w:rsid w:val="063E7D85"/>
    <w:rsid w:val="0642321E"/>
    <w:rsid w:val="064D6FE2"/>
    <w:rsid w:val="0654510E"/>
    <w:rsid w:val="06716994"/>
    <w:rsid w:val="06B64E58"/>
    <w:rsid w:val="06D1512B"/>
    <w:rsid w:val="06DC6A69"/>
    <w:rsid w:val="06E73019"/>
    <w:rsid w:val="06ED6E4E"/>
    <w:rsid w:val="070643C5"/>
    <w:rsid w:val="070A0809"/>
    <w:rsid w:val="071C576C"/>
    <w:rsid w:val="07293586"/>
    <w:rsid w:val="07295285"/>
    <w:rsid w:val="07414FDC"/>
    <w:rsid w:val="074B1876"/>
    <w:rsid w:val="07556E2A"/>
    <w:rsid w:val="07636392"/>
    <w:rsid w:val="076C5624"/>
    <w:rsid w:val="07770C56"/>
    <w:rsid w:val="078442D9"/>
    <w:rsid w:val="078D7EC3"/>
    <w:rsid w:val="07AC695A"/>
    <w:rsid w:val="07BC3C21"/>
    <w:rsid w:val="07C10696"/>
    <w:rsid w:val="07E0304B"/>
    <w:rsid w:val="07E52468"/>
    <w:rsid w:val="07FB5406"/>
    <w:rsid w:val="07FC37A8"/>
    <w:rsid w:val="080156F9"/>
    <w:rsid w:val="080749D1"/>
    <w:rsid w:val="08122624"/>
    <w:rsid w:val="081B11D2"/>
    <w:rsid w:val="08324F53"/>
    <w:rsid w:val="083355DE"/>
    <w:rsid w:val="0838780B"/>
    <w:rsid w:val="088B04C5"/>
    <w:rsid w:val="08A43B9B"/>
    <w:rsid w:val="08A741C3"/>
    <w:rsid w:val="08AE6343"/>
    <w:rsid w:val="08C02356"/>
    <w:rsid w:val="08CC258C"/>
    <w:rsid w:val="08CC64CC"/>
    <w:rsid w:val="08DC3276"/>
    <w:rsid w:val="08DC32D9"/>
    <w:rsid w:val="08E05073"/>
    <w:rsid w:val="08E740BD"/>
    <w:rsid w:val="09096269"/>
    <w:rsid w:val="090B6262"/>
    <w:rsid w:val="0918137E"/>
    <w:rsid w:val="092217DD"/>
    <w:rsid w:val="09253BDC"/>
    <w:rsid w:val="093A7294"/>
    <w:rsid w:val="093C56FD"/>
    <w:rsid w:val="09411329"/>
    <w:rsid w:val="094E2487"/>
    <w:rsid w:val="09707F8C"/>
    <w:rsid w:val="097651F4"/>
    <w:rsid w:val="098B10D7"/>
    <w:rsid w:val="098B1B4B"/>
    <w:rsid w:val="09937204"/>
    <w:rsid w:val="099A4CF3"/>
    <w:rsid w:val="09DA51DC"/>
    <w:rsid w:val="09E202BF"/>
    <w:rsid w:val="09E91AE5"/>
    <w:rsid w:val="09F65949"/>
    <w:rsid w:val="0A17650F"/>
    <w:rsid w:val="0A187F18"/>
    <w:rsid w:val="0A25459B"/>
    <w:rsid w:val="0A257B96"/>
    <w:rsid w:val="0A263993"/>
    <w:rsid w:val="0A2D3AC2"/>
    <w:rsid w:val="0A555116"/>
    <w:rsid w:val="0A6D1814"/>
    <w:rsid w:val="0A8A2498"/>
    <w:rsid w:val="0A8C2D19"/>
    <w:rsid w:val="0A9C416A"/>
    <w:rsid w:val="0AA14A1F"/>
    <w:rsid w:val="0AA3084A"/>
    <w:rsid w:val="0AA63870"/>
    <w:rsid w:val="0AA755DF"/>
    <w:rsid w:val="0AB11DBA"/>
    <w:rsid w:val="0AB33C69"/>
    <w:rsid w:val="0AB46B55"/>
    <w:rsid w:val="0AD766FF"/>
    <w:rsid w:val="0ADA05DC"/>
    <w:rsid w:val="0ADC3CEE"/>
    <w:rsid w:val="0AE51C7C"/>
    <w:rsid w:val="0AFC0BC5"/>
    <w:rsid w:val="0B06544F"/>
    <w:rsid w:val="0B0B4B4A"/>
    <w:rsid w:val="0B120D44"/>
    <w:rsid w:val="0B1400E9"/>
    <w:rsid w:val="0B1717E5"/>
    <w:rsid w:val="0B1B1E5D"/>
    <w:rsid w:val="0B253CAC"/>
    <w:rsid w:val="0B2A5674"/>
    <w:rsid w:val="0B3245E7"/>
    <w:rsid w:val="0B3B7CF3"/>
    <w:rsid w:val="0B673AC1"/>
    <w:rsid w:val="0BA54AD9"/>
    <w:rsid w:val="0BB1225A"/>
    <w:rsid w:val="0BD27BF6"/>
    <w:rsid w:val="0BE82C4E"/>
    <w:rsid w:val="0BFF7209"/>
    <w:rsid w:val="0C25112F"/>
    <w:rsid w:val="0C3B3C7D"/>
    <w:rsid w:val="0C3F668F"/>
    <w:rsid w:val="0C4E6D09"/>
    <w:rsid w:val="0C747FA3"/>
    <w:rsid w:val="0C860870"/>
    <w:rsid w:val="0C921FF3"/>
    <w:rsid w:val="0CAA2F15"/>
    <w:rsid w:val="0CAB2EAE"/>
    <w:rsid w:val="0CB15D27"/>
    <w:rsid w:val="0CB21EEB"/>
    <w:rsid w:val="0CC20BAB"/>
    <w:rsid w:val="0CD85136"/>
    <w:rsid w:val="0CE42034"/>
    <w:rsid w:val="0D18717B"/>
    <w:rsid w:val="0D271BD2"/>
    <w:rsid w:val="0D48069B"/>
    <w:rsid w:val="0D4C61C8"/>
    <w:rsid w:val="0D516DB3"/>
    <w:rsid w:val="0D621C7D"/>
    <w:rsid w:val="0D645222"/>
    <w:rsid w:val="0D920E20"/>
    <w:rsid w:val="0DCF35CE"/>
    <w:rsid w:val="0DD22086"/>
    <w:rsid w:val="0DD36AA5"/>
    <w:rsid w:val="0DEB420F"/>
    <w:rsid w:val="0DF12DC1"/>
    <w:rsid w:val="0DF15B54"/>
    <w:rsid w:val="0E114651"/>
    <w:rsid w:val="0E1661DF"/>
    <w:rsid w:val="0E2A10DB"/>
    <w:rsid w:val="0E3015B2"/>
    <w:rsid w:val="0E32414E"/>
    <w:rsid w:val="0E3853DA"/>
    <w:rsid w:val="0E5932CB"/>
    <w:rsid w:val="0E5B5AD1"/>
    <w:rsid w:val="0E73034D"/>
    <w:rsid w:val="0E79703F"/>
    <w:rsid w:val="0EB9663E"/>
    <w:rsid w:val="0ED960DC"/>
    <w:rsid w:val="0EE84E3F"/>
    <w:rsid w:val="0EEA1B97"/>
    <w:rsid w:val="0EEB3EBF"/>
    <w:rsid w:val="0F0454C8"/>
    <w:rsid w:val="0F081E71"/>
    <w:rsid w:val="0F0F4101"/>
    <w:rsid w:val="0F13775A"/>
    <w:rsid w:val="0F206C9A"/>
    <w:rsid w:val="0F2079EC"/>
    <w:rsid w:val="0F5147E3"/>
    <w:rsid w:val="0F5F45FE"/>
    <w:rsid w:val="0F7F2A24"/>
    <w:rsid w:val="0F9A112B"/>
    <w:rsid w:val="0FA417F3"/>
    <w:rsid w:val="0FC047FE"/>
    <w:rsid w:val="0FDD3F79"/>
    <w:rsid w:val="0FDF79E8"/>
    <w:rsid w:val="0FE55D9D"/>
    <w:rsid w:val="10014490"/>
    <w:rsid w:val="10036F74"/>
    <w:rsid w:val="100643DB"/>
    <w:rsid w:val="106D2F64"/>
    <w:rsid w:val="1086403C"/>
    <w:rsid w:val="108E7657"/>
    <w:rsid w:val="10B34F23"/>
    <w:rsid w:val="10B63710"/>
    <w:rsid w:val="10BA00D6"/>
    <w:rsid w:val="10BB2CC6"/>
    <w:rsid w:val="10C57489"/>
    <w:rsid w:val="10D31E7F"/>
    <w:rsid w:val="10F10820"/>
    <w:rsid w:val="11181A06"/>
    <w:rsid w:val="111C2F7A"/>
    <w:rsid w:val="112F0D9B"/>
    <w:rsid w:val="11332D3E"/>
    <w:rsid w:val="113D77E5"/>
    <w:rsid w:val="113E5C95"/>
    <w:rsid w:val="11665CA1"/>
    <w:rsid w:val="11922CD0"/>
    <w:rsid w:val="11940AB5"/>
    <w:rsid w:val="119634B9"/>
    <w:rsid w:val="119D6B57"/>
    <w:rsid w:val="11A65099"/>
    <w:rsid w:val="11A81E9D"/>
    <w:rsid w:val="11AF5F9C"/>
    <w:rsid w:val="11BD079A"/>
    <w:rsid w:val="11BF1B4E"/>
    <w:rsid w:val="11E47FF5"/>
    <w:rsid w:val="11E51F0F"/>
    <w:rsid w:val="11F76665"/>
    <w:rsid w:val="11FB7EF3"/>
    <w:rsid w:val="122D4F10"/>
    <w:rsid w:val="12593576"/>
    <w:rsid w:val="125E0756"/>
    <w:rsid w:val="12722862"/>
    <w:rsid w:val="12A41FFD"/>
    <w:rsid w:val="12A71E85"/>
    <w:rsid w:val="12B32F16"/>
    <w:rsid w:val="12D92513"/>
    <w:rsid w:val="12FD414F"/>
    <w:rsid w:val="130E2928"/>
    <w:rsid w:val="13282471"/>
    <w:rsid w:val="13367069"/>
    <w:rsid w:val="13524BE3"/>
    <w:rsid w:val="13722498"/>
    <w:rsid w:val="13951726"/>
    <w:rsid w:val="139674DA"/>
    <w:rsid w:val="139C0963"/>
    <w:rsid w:val="13CA7CBD"/>
    <w:rsid w:val="13CC3641"/>
    <w:rsid w:val="13F77DDD"/>
    <w:rsid w:val="140D7CC3"/>
    <w:rsid w:val="141A02F7"/>
    <w:rsid w:val="14396509"/>
    <w:rsid w:val="143D1DB8"/>
    <w:rsid w:val="144378FB"/>
    <w:rsid w:val="144C5DEA"/>
    <w:rsid w:val="144D38FF"/>
    <w:rsid w:val="146A561B"/>
    <w:rsid w:val="147E12BF"/>
    <w:rsid w:val="148827CD"/>
    <w:rsid w:val="148B1897"/>
    <w:rsid w:val="14950837"/>
    <w:rsid w:val="14A736A7"/>
    <w:rsid w:val="14CA78F5"/>
    <w:rsid w:val="14CB504B"/>
    <w:rsid w:val="14DD2C3C"/>
    <w:rsid w:val="14E00C5D"/>
    <w:rsid w:val="14F744E1"/>
    <w:rsid w:val="14FD11FC"/>
    <w:rsid w:val="150707C3"/>
    <w:rsid w:val="152D09DC"/>
    <w:rsid w:val="1536676A"/>
    <w:rsid w:val="158249F2"/>
    <w:rsid w:val="15A73FDC"/>
    <w:rsid w:val="15BB336E"/>
    <w:rsid w:val="15D761FC"/>
    <w:rsid w:val="15E37C0D"/>
    <w:rsid w:val="15F83EC3"/>
    <w:rsid w:val="160140DD"/>
    <w:rsid w:val="160337A2"/>
    <w:rsid w:val="16087E1D"/>
    <w:rsid w:val="16115BC1"/>
    <w:rsid w:val="16133F8E"/>
    <w:rsid w:val="161C28F7"/>
    <w:rsid w:val="161F25F8"/>
    <w:rsid w:val="1627329B"/>
    <w:rsid w:val="16355FDE"/>
    <w:rsid w:val="16467E01"/>
    <w:rsid w:val="16476F94"/>
    <w:rsid w:val="164D313D"/>
    <w:rsid w:val="16546754"/>
    <w:rsid w:val="166E36D0"/>
    <w:rsid w:val="16700CAA"/>
    <w:rsid w:val="167220EE"/>
    <w:rsid w:val="16A15DC5"/>
    <w:rsid w:val="16D42F9E"/>
    <w:rsid w:val="16E1303B"/>
    <w:rsid w:val="17155B00"/>
    <w:rsid w:val="175005C5"/>
    <w:rsid w:val="1753682A"/>
    <w:rsid w:val="17603AEB"/>
    <w:rsid w:val="17701D14"/>
    <w:rsid w:val="17735226"/>
    <w:rsid w:val="179D40D2"/>
    <w:rsid w:val="17A445F7"/>
    <w:rsid w:val="17B524C5"/>
    <w:rsid w:val="17C02E7F"/>
    <w:rsid w:val="17E911CA"/>
    <w:rsid w:val="17F01491"/>
    <w:rsid w:val="17FA1001"/>
    <w:rsid w:val="180428B6"/>
    <w:rsid w:val="181B042B"/>
    <w:rsid w:val="182509DC"/>
    <w:rsid w:val="182723A8"/>
    <w:rsid w:val="18324A8D"/>
    <w:rsid w:val="18470694"/>
    <w:rsid w:val="186868C3"/>
    <w:rsid w:val="187F621B"/>
    <w:rsid w:val="18901681"/>
    <w:rsid w:val="189F624C"/>
    <w:rsid w:val="18C23633"/>
    <w:rsid w:val="18DC561A"/>
    <w:rsid w:val="18F827A2"/>
    <w:rsid w:val="19136F5E"/>
    <w:rsid w:val="19141FF8"/>
    <w:rsid w:val="191F1A38"/>
    <w:rsid w:val="19265A82"/>
    <w:rsid w:val="194B6B80"/>
    <w:rsid w:val="195B3D35"/>
    <w:rsid w:val="197D2FBE"/>
    <w:rsid w:val="199770C8"/>
    <w:rsid w:val="199B5F7E"/>
    <w:rsid w:val="19B72615"/>
    <w:rsid w:val="19C30389"/>
    <w:rsid w:val="19C83BA8"/>
    <w:rsid w:val="19D950FD"/>
    <w:rsid w:val="1A1C66C0"/>
    <w:rsid w:val="1A1D4FF5"/>
    <w:rsid w:val="1A272EEB"/>
    <w:rsid w:val="1A3402C2"/>
    <w:rsid w:val="1A42393B"/>
    <w:rsid w:val="1A6C1BBA"/>
    <w:rsid w:val="1A6F1388"/>
    <w:rsid w:val="1A712683"/>
    <w:rsid w:val="1A8F432A"/>
    <w:rsid w:val="1A97045A"/>
    <w:rsid w:val="1AAB1B83"/>
    <w:rsid w:val="1AAD45DE"/>
    <w:rsid w:val="1AB04F0B"/>
    <w:rsid w:val="1AC73706"/>
    <w:rsid w:val="1ACD19C8"/>
    <w:rsid w:val="1B046F80"/>
    <w:rsid w:val="1B1F75F2"/>
    <w:rsid w:val="1B3267B5"/>
    <w:rsid w:val="1B40161D"/>
    <w:rsid w:val="1B441859"/>
    <w:rsid w:val="1B4E4504"/>
    <w:rsid w:val="1B542621"/>
    <w:rsid w:val="1B6606B1"/>
    <w:rsid w:val="1B775C6E"/>
    <w:rsid w:val="1B7C5E2D"/>
    <w:rsid w:val="1B925650"/>
    <w:rsid w:val="1B927A8F"/>
    <w:rsid w:val="1BE17666"/>
    <w:rsid w:val="1BF26C5C"/>
    <w:rsid w:val="1C0D5FEC"/>
    <w:rsid w:val="1C131082"/>
    <w:rsid w:val="1C28421D"/>
    <w:rsid w:val="1C2A48DA"/>
    <w:rsid w:val="1C55068E"/>
    <w:rsid w:val="1C554F7A"/>
    <w:rsid w:val="1C5C2896"/>
    <w:rsid w:val="1C5E7925"/>
    <w:rsid w:val="1C6372F4"/>
    <w:rsid w:val="1C6A4A04"/>
    <w:rsid w:val="1C74060E"/>
    <w:rsid w:val="1C862678"/>
    <w:rsid w:val="1C93483D"/>
    <w:rsid w:val="1C9903A0"/>
    <w:rsid w:val="1CB26C64"/>
    <w:rsid w:val="1CBA3CE3"/>
    <w:rsid w:val="1CC96045"/>
    <w:rsid w:val="1CFD070F"/>
    <w:rsid w:val="1CFE1CEA"/>
    <w:rsid w:val="1D074226"/>
    <w:rsid w:val="1D1F3ABE"/>
    <w:rsid w:val="1D275913"/>
    <w:rsid w:val="1D4D73FC"/>
    <w:rsid w:val="1D5557D0"/>
    <w:rsid w:val="1D5F6196"/>
    <w:rsid w:val="1D6060FD"/>
    <w:rsid w:val="1D6132A5"/>
    <w:rsid w:val="1D614B45"/>
    <w:rsid w:val="1D666B94"/>
    <w:rsid w:val="1D6B7AA9"/>
    <w:rsid w:val="1D8E56D5"/>
    <w:rsid w:val="1D90473A"/>
    <w:rsid w:val="1DB30E3F"/>
    <w:rsid w:val="1DB36CC0"/>
    <w:rsid w:val="1DBB1169"/>
    <w:rsid w:val="1DD45AAC"/>
    <w:rsid w:val="1DE945B1"/>
    <w:rsid w:val="1DFB5595"/>
    <w:rsid w:val="1E03507A"/>
    <w:rsid w:val="1E72397E"/>
    <w:rsid w:val="1E774767"/>
    <w:rsid w:val="1E7A43DA"/>
    <w:rsid w:val="1E7E5965"/>
    <w:rsid w:val="1E8A70D9"/>
    <w:rsid w:val="1E95242D"/>
    <w:rsid w:val="1EAE2A5D"/>
    <w:rsid w:val="1EB30735"/>
    <w:rsid w:val="1EB955E1"/>
    <w:rsid w:val="1EDD1C85"/>
    <w:rsid w:val="1EF8685F"/>
    <w:rsid w:val="1F100E7D"/>
    <w:rsid w:val="1F212667"/>
    <w:rsid w:val="1F2B0B8A"/>
    <w:rsid w:val="1F2B74BE"/>
    <w:rsid w:val="1F4656D4"/>
    <w:rsid w:val="1F482D53"/>
    <w:rsid w:val="1F4E00CB"/>
    <w:rsid w:val="1F4E747A"/>
    <w:rsid w:val="1F4F7852"/>
    <w:rsid w:val="1F6932F2"/>
    <w:rsid w:val="1F723A91"/>
    <w:rsid w:val="1F82591C"/>
    <w:rsid w:val="1F833A99"/>
    <w:rsid w:val="1F854BDA"/>
    <w:rsid w:val="1F857FFC"/>
    <w:rsid w:val="1F9D342F"/>
    <w:rsid w:val="1FA67A2C"/>
    <w:rsid w:val="1FAE1660"/>
    <w:rsid w:val="1FD64B2A"/>
    <w:rsid w:val="1FDE0749"/>
    <w:rsid w:val="1FE42DB9"/>
    <w:rsid w:val="1FE7539E"/>
    <w:rsid w:val="20076426"/>
    <w:rsid w:val="20154801"/>
    <w:rsid w:val="201823AC"/>
    <w:rsid w:val="20194437"/>
    <w:rsid w:val="20553D35"/>
    <w:rsid w:val="20671BE0"/>
    <w:rsid w:val="20727B38"/>
    <w:rsid w:val="20963CB8"/>
    <w:rsid w:val="20A5129F"/>
    <w:rsid w:val="20A81A1B"/>
    <w:rsid w:val="20B07FB6"/>
    <w:rsid w:val="20B646FB"/>
    <w:rsid w:val="20C711F2"/>
    <w:rsid w:val="20C76C76"/>
    <w:rsid w:val="20D94E60"/>
    <w:rsid w:val="20E33D64"/>
    <w:rsid w:val="21081FCC"/>
    <w:rsid w:val="21083D06"/>
    <w:rsid w:val="210A589E"/>
    <w:rsid w:val="212A5167"/>
    <w:rsid w:val="21385C65"/>
    <w:rsid w:val="213B74B1"/>
    <w:rsid w:val="21423675"/>
    <w:rsid w:val="215A2310"/>
    <w:rsid w:val="216C667C"/>
    <w:rsid w:val="21942F67"/>
    <w:rsid w:val="219434B1"/>
    <w:rsid w:val="219E09EC"/>
    <w:rsid w:val="21B838AD"/>
    <w:rsid w:val="21C02D1E"/>
    <w:rsid w:val="21DE318A"/>
    <w:rsid w:val="21E05B9E"/>
    <w:rsid w:val="21E85FD1"/>
    <w:rsid w:val="21EF5B80"/>
    <w:rsid w:val="21FF549F"/>
    <w:rsid w:val="22366AA5"/>
    <w:rsid w:val="2238148C"/>
    <w:rsid w:val="223F7116"/>
    <w:rsid w:val="224417C7"/>
    <w:rsid w:val="22494482"/>
    <w:rsid w:val="22513B6F"/>
    <w:rsid w:val="22576990"/>
    <w:rsid w:val="22965D3B"/>
    <w:rsid w:val="22A6237C"/>
    <w:rsid w:val="22C66FD9"/>
    <w:rsid w:val="22EF2A8B"/>
    <w:rsid w:val="22F36913"/>
    <w:rsid w:val="22F47480"/>
    <w:rsid w:val="2318542D"/>
    <w:rsid w:val="2318727C"/>
    <w:rsid w:val="232D4D86"/>
    <w:rsid w:val="23483FD1"/>
    <w:rsid w:val="234B32A9"/>
    <w:rsid w:val="23867B3A"/>
    <w:rsid w:val="23AA670B"/>
    <w:rsid w:val="23BF72E6"/>
    <w:rsid w:val="23C6233B"/>
    <w:rsid w:val="23C945C4"/>
    <w:rsid w:val="23D76F4E"/>
    <w:rsid w:val="23DE1C48"/>
    <w:rsid w:val="23E24FD3"/>
    <w:rsid w:val="23E4686C"/>
    <w:rsid w:val="23EA14D6"/>
    <w:rsid w:val="23FC5E34"/>
    <w:rsid w:val="240210CD"/>
    <w:rsid w:val="241C3C19"/>
    <w:rsid w:val="242A635B"/>
    <w:rsid w:val="24352F4C"/>
    <w:rsid w:val="24527806"/>
    <w:rsid w:val="24644CC1"/>
    <w:rsid w:val="2479416A"/>
    <w:rsid w:val="247D6D91"/>
    <w:rsid w:val="24A85EE5"/>
    <w:rsid w:val="24B037F9"/>
    <w:rsid w:val="24BF09F7"/>
    <w:rsid w:val="24DA7B05"/>
    <w:rsid w:val="24DE0EA5"/>
    <w:rsid w:val="24F46D2E"/>
    <w:rsid w:val="251A5BE0"/>
    <w:rsid w:val="252C55FB"/>
    <w:rsid w:val="252D53FE"/>
    <w:rsid w:val="25351AD5"/>
    <w:rsid w:val="255701ED"/>
    <w:rsid w:val="255864B6"/>
    <w:rsid w:val="25707ABC"/>
    <w:rsid w:val="258D219A"/>
    <w:rsid w:val="25930E5C"/>
    <w:rsid w:val="25BA7328"/>
    <w:rsid w:val="25C62D34"/>
    <w:rsid w:val="25E21F41"/>
    <w:rsid w:val="25E231B1"/>
    <w:rsid w:val="25EC2D81"/>
    <w:rsid w:val="25ED1848"/>
    <w:rsid w:val="25F01319"/>
    <w:rsid w:val="25F61EE1"/>
    <w:rsid w:val="26031625"/>
    <w:rsid w:val="260C259E"/>
    <w:rsid w:val="26281204"/>
    <w:rsid w:val="262E1908"/>
    <w:rsid w:val="26434507"/>
    <w:rsid w:val="264E67BB"/>
    <w:rsid w:val="26500894"/>
    <w:rsid w:val="265D759D"/>
    <w:rsid w:val="26646099"/>
    <w:rsid w:val="266E3542"/>
    <w:rsid w:val="26951B57"/>
    <w:rsid w:val="26970915"/>
    <w:rsid w:val="26C65FAF"/>
    <w:rsid w:val="26D74122"/>
    <w:rsid w:val="26D834E1"/>
    <w:rsid w:val="26E95206"/>
    <w:rsid w:val="26F70753"/>
    <w:rsid w:val="26FE3E90"/>
    <w:rsid w:val="26FF4BE5"/>
    <w:rsid w:val="270B14F8"/>
    <w:rsid w:val="27290563"/>
    <w:rsid w:val="273A047E"/>
    <w:rsid w:val="27435416"/>
    <w:rsid w:val="276A748F"/>
    <w:rsid w:val="277057A2"/>
    <w:rsid w:val="278C088B"/>
    <w:rsid w:val="27B35102"/>
    <w:rsid w:val="27EE2D77"/>
    <w:rsid w:val="27F73628"/>
    <w:rsid w:val="281D742A"/>
    <w:rsid w:val="28411213"/>
    <w:rsid w:val="28467CB4"/>
    <w:rsid w:val="28772AC4"/>
    <w:rsid w:val="28A110D4"/>
    <w:rsid w:val="28C17BC2"/>
    <w:rsid w:val="2900621B"/>
    <w:rsid w:val="29065E7C"/>
    <w:rsid w:val="290C6981"/>
    <w:rsid w:val="29106539"/>
    <w:rsid w:val="29120331"/>
    <w:rsid w:val="29206EB8"/>
    <w:rsid w:val="29210AC9"/>
    <w:rsid w:val="29294021"/>
    <w:rsid w:val="292F335A"/>
    <w:rsid w:val="29595666"/>
    <w:rsid w:val="297504CA"/>
    <w:rsid w:val="29874881"/>
    <w:rsid w:val="298C03CD"/>
    <w:rsid w:val="298C410F"/>
    <w:rsid w:val="29A47AFD"/>
    <w:rsid w:val="29C45883"/>
    <w:rsid w:val="29CE0E08"/>
    <w:rsid w:val="29D73142"/>
    <w:rsid w:val="29E325E0"/>
    <w:rsid w:val="29E54A5C"/>
    <w:rsid w:val="29F117C7"/>
    <w:rsid w:val="29F732B9"/>
    <w:rsid w:val="2A452503"/>
    <w:rsid w:val="2A495A74"/>
    <w:rsid w:val="2A4D5858"/>
    <w:rsid w:val="2A540662"/>
    <w:rsid w:val="2A5A760D"/>
    <w:rsid w:val="2A607240"/>
    <w:rsid w:val="2ABF6CD1"/>
    <w:rsid w:val="2ACC5B91"/>
    <w:rsid w:val="2ADC686D"/>
    <w:rsid w:val="2AE77580"/>
    <w:rsid w:val="2AF66A47"/>
    <w:rsid w:val="2B2E179A"/>
    <w:rsid w:val="2B307C51"/>
    <w:rsid w:val="2B322FFF"/>
    <w:rsid w:val="2B9D5CCD"/>
    <w:rsid w:val="2BA0605D"/>
    <w:rsid w:val="2BA30D06"/>
    <w:rsid w:val="2BA936A8"/>
    <w:rsid w:val="2C171171"/>
    <w:rsid w:val="2C297745"/>
    <w:rsid w:val="2C2D04C4"/>
    <w:rsid w:val="2C315A5A"/>
    <w:rsid w:val="2C4B1C25"/>
    <w:rsid w:val="2C4B661F"/>
    <w:rsid w:val="2C571783"/>
    <w:rsid w:val="2C5A7AC4"/>
    <w:rsid w:val="2C7F4089"/>
    <w:rsid w:val="2C9E08D2"/>
    <w:rsid w:val="2CA22DF8"/>
    <w:rsid w:val="2CCE1251"/>
    <w:rsid w:val="2CDC27FF"/>
    <w:rsid w:val="2CFA507A"/>
    <w:rsid w:val="2D1A2E75"/>
    <w:rsid w:val="2D643AC8"/>
    <w:rsid w:val="2D6764E7"/>
    <w:rsid w:val="2D7A2E95"/>
    <w:rsid w:val="2D7D4029"/>
    <w:rsid w:val="2D89763A"/>
    <w:rsid w:val="2D8C0C4D"/>
    <w:rsid w:val="2D9E56F5"/>
    <w:rsid w:val="2DB03FE5"/>
    <w:rsid w:val="2DCB5332"/>
    <w:rsid w:val="2DD65D1E"/>
    <w:rsid w:val="2DDA0D6E"/>
    <w:rsid w:val="2DDC62D7"/>
    <w:rsid w:val="2DEA63EB"/>
    <w:rsid w:val="2E057B0A"/>
    <w:rsid w:val="2E103D32"/>
    <w:rsid w:val="2E1339C5"/>
    <w:rsid w:val="2E1F724D"/>
    <w:rsid w:val="2E2349E7"/>
    <w:rsid w:val="2E59126C"/>
    <w:rsid w:val="2E5B6D1B"/>
    <w:rsid w:val="2E617804"/>
    <w:rsid w:val="2E667F96"/>
    <w:rsid w:val="2E8226AB"/>
    <w:rsid w:val="2E925510"/>
    <w:rsid w:val="2EA03C48"/>
    <w:rsid w:val="2EC92CDF"/>
    <w:rsid w:val="2ECA477E"/>
    <w:rsid w:val="2ED4184E"/>
    <w:rsid w:val="2EE1338C"/>
    <w:rsid w:val="2EE94DF1"/>
    <w:rsid w:val="2EEC107A"/>
    <w:rsid w:val="2EF017F0"/>
    <w:rsid w:val="2F0B4192"/>
    <w:rsid w:val="2F0D5375"/>
    <w:rsid w:val="2F13302E"/>
    <w:rsid w:val="2F173FFD"/>
    <w:rsid w:val="2F4447F9"/>
    <w:rsid w:val="2F521F02"/>
    <w:rsid w:val="2F5275BB"/>
    <w:rsid w:val="2F562772"/>
    <w:rsid w:val="2F58050C"/>
    <w:rsid w:val="2F637310"/>
    <w:rsid w:val="2F8719C0"/>
    <w:rsid w:val="2FA56F03"/>
    <w:rsid w:val="2FC15BED"/>
    <w:rsid w:val="2FD065E6"/>
    <w:rsid w:val="2FD96870"/>
    <w:rsid w:val="2FEC1960"/>
    <w:rsid w:val="2FF01578"/>
    <w:rsid w:val="30133936"/>
    <w:rsid w:val="30202CE4"/>
    <w:rsid w:val="30406F47"/>
    <w:rsid w:val="3042550E"/>
    <w:rsid w:val="304D220F"/>
    <w:rsid w:val="30514F0D"/>
    <w:rsid w:val="30580BC9"/>
    <w:rsid w:val="305C611B"/>
    <w:rsid w:val="305D4D5D"/>
    <w:rsid w:val="30643677"/>
    <w:rsid w:val="308E41E1"/>
    <w:rsid w:val="309143C2"/>
    <w:rsid w:val="309D5EBA"/>
    <w:rsid w:val="30B45763"/>
    <w:rsid w:val="30E510FC"/>
    <w:rsid w:val="30E84A40"/>
    <w:rsid w:val="30ED7FFD"/>
    <w:rsid w:val="30FA600C"/>
    <w:rsid w:val="310137FB"/>
    <w:rsid w:val="31074321"/>
    <w:rsid w:val="310C55CA"/>
    <w:rsid w:val="310D15A9"/>
    <w:rsid w:val="310D5DAA"/>
    <w:rsid w:val="311848E9"/>
    <w:rsid w:val="311E2ED7"/>
    <w:rsid w:val="312509D1"/>
    <w:rsid w:val="312A5E53"/>
    <w:rsid w:val="312D0FDD"/>
    <w:rsid w:val="313735B9"/>
    <w:rsid w:val="313D6F69"/>
    <w:rsid w:val="315038DE"/>
    <w:rsid w:val="315619EE"/>
    <w:rsid w:val="315A0186"/>
    <w:rsid w:val="315C449C"/>
    <w:rsid w:val="315C6FEA"/>
    <w:rsid w:val="31621130"/>
    <w:rsid w:val="319B3A47"/>
    <w:rsid w:val="31A12DE9"/>
    <w:rsid w:val="31B82709"/>
    <w:rsid w:val="31D05482"/>
    <w:rsid w:val="31E01E29"/>
    <w:rsid w:val="320F634D"/>
    <w:rsid w:val="32400B34"/>
    <w:rsid w:val="32452345"/>
    <w:rsid w:val="32506610"/>
    <w:rsid w:val="327E6DE8"/>
    <w:rsid w:val="329A7D32"/>
    <w:rsid w:val="329E6876"/>
    <w:rsid w:val="32B56C95"/>
    <w:rsid w:val="32D52DBA"/>
    <w:rsid w:val="330876E7"/>
    <w:rsid w:val="331035D3"/>
    <w:rsid w:val="332E3C44"/>
    <w:rsid w:val="333015F2"/>
    <w:rsid w:val="334B6320"/>
    <w:rsid w:val="33580831"/>
    <w:rsid w:val="33C2704D"/>
    <w:rsid w:val="33CD7CB5"/>
    <w:rsid w:val="33D934D4"/>
    <w:rsid w:val="33EC4812"/>
    <w:rsid w:val="33F37F01"/>
    <w:rsid w:val="33F44C78"/>
    <w:rsid w:val="33FD16E8"/>
    <w:rsid w:val="33FE2F6A"/>
    <w:rsid w:val="34075060"/>
    <w:rsid w:val="34094AF4"/>
    <w:rsid w:val="340D37AA"/>
    <w:rsid w:val="340E07E5"/>
    <w:rsid w:val="34235BF7"/>
    <w:rsid w:val="34265807"/>
    <w:rsid w:val="3427091B"/>
    <w:rsid w:val="34282DEF"/>
    <w:rsid w:val="34295AA3"/>
    <w:rsid w:val="343566B1"/>
    <w:rsid w:val="34412B36"/>
    <w:rsid w:val="3445105A"/>
    <w:rsid w:val="346C08C1"/>
    <w:rsid w:val="34717496"/>
    <w:rsid w:val="34724719"/>
    <w:rsid w:val="34B67AB4"/>
    <w:rsid w:val="34BB6C3E"/>
    <w:rsid w:val="34E63061"/>
    <w:rsid w:val="34F958A7"/>
    <w:rsid w:val="351F1CB8"/>
    <w:rsid w:val="35287907"/>
    <w:rsid w:val="352A5E43"/>
    <w:rsid w:val="352C34B6"/>
    <w:rsid w:val="352C3545"/>
    <w:rsid w:val="353A1107"/>
    <w:rsid w:val="353D558D"/>
    <w:rsid w:val="354B10B7"/>
    <w:rsid w:val="35533197"/>
    <w:rsid w:val="355606EF"/>
    <w:rsid w:val="358C5FA8"/>
    <w:rsid w:val="359734B9"/>
    <w:rsid w:val="359B7FEF"/>
    <w:rsid w:val="35A11C8D"/>
    <w:rsid w:val="35C15DF1"/>
    <w:rsid w:val="35C9582A"/>
    <w:rsid w:val="35DB1C85"/>
    <w:rsid w:val="35DC2831"/>
    <w:rsid w:val="36074A7F"/>
    <w:rsid w:val="36266351"/>
    <w:rsid w:val="362A23F0"/>
    <w:rsid w:val="363A4D1C"/>
    <w:rsid w:val="36484E32"/>
    <w:rsid w:val="364C4B98"/>
    <w:rsid w:val="365D0640"/>
    <w:rsid w:val="365E35CB"/>
    <w:rsid w:val="366E176F"/>
    <w:rsid w:val="367F5432"/>
    <w:rsid w:val="36923549"/>
    <w:rsid w:val="36953479"/>
    <w:rsid w:val="36B64224"/>
    <w:rsid w:val="36B75FBF"/>
    <w:rsid w:val="36BD0C45"/>
    <w:rsid w:val="36C74CEF"/>
    <w:rsid w:val="36D80DAE"/>
    <w:rsid w:val="36FB50D5"/>
    <w:rsid w:val="370F64EA"/>
    <w:rsid w:val="37342025"/>
    <w:rsid w:val="375D1148"/>
    <w:rsid w:val="376157BC"/>
    <w:rsid w:val="376C1CCD"/>
    <w:rsid w:val="37732382"/>
    <w:rsid w:val="37786D26"/>
    <w:rsid w:val="37983D4D"/>
    <w:rsid w:val="37AF72B1"/>
    <w:rsid w:val="37E00298"/>
    <w:rsid w:val="37E142CF"/>
    <w:rsid w:val="37EC0519"/>
    <w:rsid w:val="37FA0038"/>
    <w:rsid w:val="38131458"/>
    <w:rsid w:val="38166684"/>
    <w:rsid w:val="38260C5E"/>
    <w:rsid w:val="38330922"/>
    <w:rsid w:val="38455088"/>
    <w:rsid w:val="384C4FE1"/>
    <w:rsid w:val="386113B9"/>
    <w:rsid w:val="388F30ED"/>
    <w:rsid w:val="389B0408"/>
    <w:rsid w:val="38A516C6"/>
    <w:rsid w:val="38A905B1"/>
    <w:rsid w:val="38B236DD"/>
    <w:rsid w:val="38B302F9"/>
    <w:rsid w:val="38BE3F16"/>
    <w:rsid w:val="38C07451"/>
    <w:rsid w:val="38C32BBE"/>
    <w:rsid w:val="38C8022F"/>
    <w:rsid w:val="38C9391D"/>
    <w:rsid w:val="38D82E04"/>
    <w:rsid w:val="38DF2A3E"/>
    <w:rsid w:val="38F12CD3"/>
    <w:rsid w:val="38F65EB8"/>
    <w:rsid w:val="38F74CE2"/>
    <w:rsid w:val="38F94775"/>
    <w:rsid w:val="39211DA9"/>
    <w:rsid w:val="39225F50"/>
    <w:rsid w:val="39246364"/>
    <w:rsid w:val="392971ED"/>
    <w:rsid w:val="39325651"/>
    <w:rsid w:val="39557977"/>
    <w:rsid w:val="3958199E"/>
    <w:rsid w:val="3987188C"/>
    <w:rsid w:val="39AD42A7"/>
    <w:rsid w:val="39B34CB8"/>
    <w:rsid w:val="39B3694B"/>
    <w:rsid w:val="39C55853"/>
    <w:rsid w:val="39E16E19"/>
    <w:rsid w:val="39F10D88"/>
    <w:rsid w:val="39FE5D15"/>
    <w:rsid w:val="3A203172"/>
    <w:rsid w:val="3A270DD0"/>
    <w:rsid w:val="3A296481"/>
    <w:rsid w:val="3A2F6F22"/>
    <w:rsid w:val="3A4105A3"/>
    <w:rsid w:val="3A541D44"/>
    <w:rsid w:val="3A6162C7"/>
    <w:rsid w:val="3A6C6AA5"/>
    <w:rsid w:val="3A6F287E"/>
    <w:rsid w:val="3A7E65B8"/>
    <w:rsid w:val="3A872856"/>
    <w:rsid w:val="3A936398"/>
    <w:rsid w:val="3AA04C7E"/>
    <w:rsid w:val="3AA16FAA"/>
    <w:rsid w:val="3AAB4A91"/>
    <w:rsid w:val="3AAF70C6"/>
    <w:rsid w:val="3ACB12DE"/>
    <w:rsid w:val="3AE1148F"/>
    <w:rsid w:val="3AED647A"/>
    <w:rsid w:val="3AF0228B"/>
    <w:rsid w:val="3AFA28FB"/>
    <w:rsid w:val="3AFD1F38"/>
    <w:rsid w:val="3AFF090D"/>
    <w:rsid w:val="3B2349B2"/>
    <w:rsid w:val="3B2542CB"/>
    <w:rsid w:val="3B3763D1"/>
    <w:rsid w:val="3B5520B0"/>
    <w:rsid w:val="3B7C5FED"/>
    <w:rsid w:val="3B7C667F"/>
    <w:rsid w:val="3B84178F"/>
    <w:rsid w:val="3B854A10"/>
    <w:rsid w:val="3B864CB5"/>
    <w:rsid w:val="3B9B775F"/>
    <w:rsid w:val="3BA40D5C"/>
    <w:rsid w:val="3BAB0B29"/>
    <w:rsid w:val="3BB145EB"/>
    <w:rsid w:val="3BC31810"/>
    <w:rsid w:val="3BD038FF"/>
    <w:rsid w:val="3C01042F"/>
    <w:rsid w:val="3C237ED3"/>
    <w:rsid w:val="3C26696A"/>
    <w:rsid w:val="3C2F6E1E"/>
    <w:rsid w:val="3C3455FC"/>
    <w:rsid w:val="3C4F3085"/>
    <w:rsid w:val="3C4F64BA"/>
    <w:rsid w:val="3C721DA0"/>
    <w:rsid w:val="3C9A7274"/>
    <w:rsid w:val="3CAD01ED"/>
    <w:rsid w:val="3CB42C39"/>
    <w:rsid w:val="3CD04C4C"/>
    <w:rsid w:val="3CDA245A"/>
    <w:rsid w:val="3CF12B91"/>
    <w:rsid w:val="3CF70517"/>
    <w:rsid w:val="3D1E06B7"/>
    <w:rsid w:val="3D375C3A"/>
    <w:rsid w:val="3D623B0C"/>
    <w:rsid w:val="3D721EF3"/>
    <w:rsid w:val="3D775180"/>
    <w:rsid w:val="3D882F38"/>
    <w:rsid w:val="3D8A57B5"/>
    <w:rsid w:val="3D91492D"/>
    <w:rsid w:val="3D9857FB"/>
    <w:rsid w:val="3DBA2A7C"/>
    <w:rsid w:val="3DC418F4"/>
    <w:rsid w:val="3DD24CB4"/>
    <w:rsid w:val="3E166750"/>
    <w:rsid w:val="3E326040"/>
    <w:rsid w:val="3E3333B1"/>
    <w:rsid w:val="3E371A14"/>
    <w:rsid w:val="3E3850D4"/>
    <w:rsid w:val="3E63632D"/>
    <w:rsid w:val="3E65572F"/>
    <w:rsid w:val="3E6C3687"/>
    <w:rsid w:val="3E806D79"/>
    <w:rsid w:val="3EDA0523"/>
    <w:rsid w:val="3EE81ED3"/>
    <w:rsid w:val="3EE91F90"/>
    <w:rsid w:val="3EF45EA2"/>
    <w:rsid w:val="3EF7687F"/>
    <w:rsid w:val="3F096375"/>
    <w:rsid w:val="3F450160"/>
    <w:rsid w:val="3F6A406B"/>
    <w:rsid w:val="3F6D1A69"/>
    <w:rsid w:val="3F7A6AF4"/>
    <w:rsid w:val="3F955147"/>
    <w:rsid w:val="3FA55B2B"/>
    <w:rsid w:val="3FD87189"/>
    <w:rsid w:val="3FDF3D19"/>
    <w:rsid w:val="3FF43F2C"/>
    <w:rsid w:val="3FFB1ACD"/>
    <w:rsid w:val="40077E41"/>
    <w:rsid w:val="40096504"/>
    <w:rsid w:val="4009779E"/>
    <w:rsid w:val="40373F82"/>
    <w:rsid w:val="40581116"/>
    <w:rsid w:val="406F6832"/>
    <w:rsid w:val="407A6407"/>
    <w:rsid w:val="409A0B97"/>
    <w:rsid w:val="40A63CDF"/>
    <w:rsid w:val="40B5650F"/>
    <w:rsid w:val="40B951BC"/>
    <w:rsid w:val="40BA3FA8"/>
    <w:rsid w:val="40F5760B"/>
    <w:rsid w:val="40F63E08"/>
    <w:rsid w:val="4109591B"/>
    <w:rsid w:val="410A56D2"/>
    <w:rsid w:val="410E5198"/>
    <w:rsid w:val="410F2055"/>
    <w:rsid w:val="411819C5"/>
    <w:rsid w:val="41383101"/>
    <w:rsid w:val="41486C21"/>
    <w:rsid w:val="41561E34"/>
    <w:rsid w:val="417E6343"/>
    <w:rsid w:val="418576C0"/>
    <w:rsid w:val="41A17973"/>
    <w:rsid w:val="41A20564"/>
    <w:rsid w:val="41C47755"/>
    <w:rsid w:val="41CA1000"/>
    <w:rsid w:val="41CB5D16"/>
    <w:rsid w:val="41E4401D"/>
    <w:rsid w:val="41F119C7"/>
    <w:rsid w:val="4200449D"/>
    <w:rsid w:val="42342835"/>
    <w:rsid w:val="423A3BCC"/>
    <w:rsid w:val="423F0800"/>
    <w:rsid w:val="42484DF9"/>
    <w:rsid w:val="424A2A44"/>
    <w:rsid w:val="424E57D2"/>
    <w:rsid w:val="425A39A8"/>
    <w:rsid w:val="425E5826"/>
    <w:rsid w:val="426F44FA"/>
    <w:rsid w:val="42785793"/>
    <w:rsid w:val="428D143C"/>
    <w:rsid w:val="428E1E1E"/>
    <w:rsid w:val="429055F8"/>
    <w:rsid w:val="42AA2475"/>
    <w:rsid w:val="42B26C49"/>
    <w:rsid w:val="42BE2922"/>
    <w:rsid w:val="42C24726"/>
    <w:rsid w:val="42D84CBA"/>
    <w:rsid w:val="42DA7C23"/>
    <w:rsid w:val="42DE286B"/>
    <w:rsid w:val="42EC41F2"/>
    <w:rsid w:val="42F60066"/>
    <w:rsid w:val="42FC7AB1"/>
    <w:rsid w:val="4310649C"/>
    <w:rsid w:val="431D7741"/>
    <w:rsid w:val="43277187"/>
    <w:rsid w:val="43315EE0"/>
    <w:rsid w:val="433A6FE6"/>
    <w:rsid w:val="43480868"/>
    <w:rsid w:val="4350713C"/>
    <w:rsid w:val="435F5A0C"/>
    <w:rsid w:val="436653E0"/>
    <w:rsid w:val="43681CDA"/>
    <w:rsid w:val="43746DE7"/>
    <w:rsid w:val="438B3D8E"/>
    <w:rsid w:val="439902BD"/>
    <w:rsid w:val="43A62CE9"/>
    <w:rsid w:val="43C4431A"/>
    <w:rsid w:val="43CA1B56"/>
    <w:rsid w:val="43CC0CA0"/>
    <w:rsid w:val="43E26A56"/>
    <w:rsid w:val="43E479EB"/>
    <w:rsid w:val="441F1089"/>
    <w:rsid w:val="44212936"/>
    <w:rsid w:val="442B4094"/>
    <w:rsid w:val="44306167"/>
    <w:rsid w:val="44383944"/>
    <w:rsid w:val="44450C02"/>
    <w:rsid w:val="44493BF1"/>
    <w:rsid w:val="44526B01"/>
    <w:rsid w:val="44531DBD"/>
    <w:rsid w:val="446175E6"/>
    <w:rsid w:val="44710AF7"/>
    <w:rsid w:val="448034C5"/>
    <w:rsid w:val="44B45C56"/>
    <w:rsid w:val="44B951CC"/>
    <w:rsid w:val="44BD55E0"/>
    <w:rsid w:val="44BF634C"/>
    <w:rsid w:val="44C031AE"/>
    <w:rsid w:val="44CD14E0"/>
    <w:rsid w:val="44D744F3"/>
    <w:rsid w:val="44D86436"/>
    <w:rsid w:val="44EC4734"/>
    <w:rsid w:val="44F20B0B"/>
    <w:rsid w:val="451B2153"/>
    <w:rsid w:val="452E5F4C"/>
    <w:rsid w:val="454150E4"/>
    <w:rsid w:val="455A5594"/>
    <w:rsid w:val="4560695D"/>
    <w:rsid w:val="45612018"/>
    <w:rsid w:val="457F535F"/>
    <w:rsid w:val="45880D21"/>
    <w:rsid w:val="458946E9"/>
    <w:rsid w:val="458D67C2"/>
    <w:rsid w:val="459A5A82"/>
    <w:rsid w:val="45A47C0E"/>
    <w:rsid w:val="45B93774"/>
    <w:rsid w:val="45C148BB"/>
    <w:rsid w:val="45C80A08"/>
    <w:rsid w:val="45DC42B0"/>
    <w:rsid w:val="46064718"/>
    <w:rsid w:val="46304E6E"/>
    <w:rsid w:val="463D66A3"/>
    <w:rsid w:val="46577FD6"/>
    <w:rsid w:val="46601404"/>
    <w:rsid w:val="466E78C4"/>
    <w:rsid w:val="467C77B7"/>
    <w:rsid w:val="46CC6747"/>
    <w:rsid w:val="46D30747"/>
    <w:rsid w:val="46D64E0D"/>
    <w:rsid w:val="46D955A7"/>
    <w:rsid w:val="46DC38E7"/>
    <w:rsid w:val="46E019BD"/>
    <w:rsid w:val="46EA290F"/>
    <w:rsid w:val="46F429A1"/>
    <w:rsid w:val="46F85D36"/>
    <w:rsid w:val="46FA3C1E"/>
    <w:rsid w:val="46FE2161"/>
    <w:rsid w:val="470227E9"/>
    <w:rsid w:val="47133957"/>
    <w:rsid w:val="472F2DB3"/>
    <w:rsid w:val="473E45F7"/>
    <w:rsid w:val="47460F19"/>
    <w:rsid w:val="475036B9"/>
    <w:rsid w:val="47723B29"/>
    <w:rsid w:val="47940126"/>
    <w:rsid w:val="479A761A"/>
    <w:rsid w:val="47A07E0C"/>
    <w:rsid w:val="47A855FA"/>
    <w:rsid w:val="47B50700"/>
    <w:rsid w:val="47CC624F"/>
    <w:rsid w:val="47DA0F71"/>
    <w:rsid w:val="47EB6D35"/>
    <w:rsid w:val="47EF165A"/>
    <w:rsid w:val="47FF3698"/>
    <w:rsid w:val="481B4CF8"/>
    <w:rsid w:val="48323FA5"/>
    <w:rsid w:val="4870272E"/>
    <w:rsid w:val="48893523"/>
    <w:rsid w:val="488D0EF0"/>
    <w:rsid w:val="48A8324B"/>
    <w:rsid w:val="48AC74A2"/>
    <w:rsid w:val="48B445C3"/>
    <w:rsid w:val="48CC563D"/>
    <w:rsid w:val="48F0670B"/>
    <w:rsid w:val="48FA2F9C"/>
    <w:rsid w:val="49B035B8"/>
    <w:rsid w:val="49C53CA9"/>
    <w:rsid w:val="49DC7715"/>
    <w:rsid w:val="49EA1E15"/>
    <w:rsid w:val="49FA3F82"/>
    <w:rsid w:val="49FB61B4"/>
    <w:rsid w:val="4A023139"/>
    <w:rsid w:val="4A0C3AA2"/>
    <w:rsid w:val="4A356A61"/>
    <w:rsid w:val="4A39109B"/>
    <w:rsid w:val="4A3E6028"/>
    <w:rsid w:val="4A5B753C"/>
    <w:rsid w:val="4A7B576F"/>
    <w:rsid w:val="4A862939"/>
    <w:rsid w:val="4AA91AC2"/>
    <w:rsid w:val="4AB03397"/>
    <w:rsid w:val="4AB83EDC"/>
    <w:rsid w:val="4AD23357"/>
    <w:rsid w:val="4AD6165F"/>
    <w:rsid w:val="4AF561A9"/>
    <w:rsid w:val="4B1554C0"/>
    <w:rsid w:val="4B1D6330"/>
    <w:rsid w:val="4B230C50"/>
    <w:rsid w:val="4B32464B"/>
    <w:rsid w:val="4B4C3E4E"/>
    <w:rsid w:val="4B816E9C"/>
    <w:rsid w:val="4B826708"/>
    <w:rsid w:val="4B951311"/>
    <w:rsid w:val="4BA172AE"/>
    <w:rsid w:val="4BA734F2"/>
    <w:rsid w:val="4BA81FC0"/>
    <w:rsid w:val="4BB50723"/>
    <w:rsid w:val="4BC82AF3"/>
    <w:rsid w:val="4BE62DED"/>
    <w:rsid w:val="4BEB6AC3"/>
    <w:rsid w:val="4BEF5E3D"/>
    <w:rsid w:val="4C1705E5"/>
    <w:rsid w:val="4C324EE9"/>
    <w:rsid w:val="4C353439"/>
    <w:rsid w:val="4C395E00"/>
    <w:rsid w:val="4C4A0649"/>
    <w:rsid w:val="4C5A2EA6"/>
    <w:rsid w:val="4C627CCE"/>
    <w:rsid w:val="4C7E5ECA"/>
    <w:rsid w:val="4C876AA5"/>
    <w:rsid w:val="4CB56506"/>
    <w:rsid w:val="4CC65B37"/>
    <w:rsid w:val="4CC907C0"/>
    <w:rsid w:val="4CD51F7D"/>
    <w:rsid w:val="4CE87351"/>
    <w:rsid w:val="4D0E00FB"/>
    <w:rsid w:val="4D1001F5"/>
    <w:rsid w:val="4D176431"/>
    <w:rsid w:val="4D176606"/>
    <w:rsid w:val="4D3B0ABB"/>
    <w:rsid w:val="4D410972"/>
    <w:rsid w:val="4D605729"/>
    <w:rsid w:val="4D786A05"/>
    <w:rsid w:val="4D8A689C"/>
    <w:rsid w:val="4DB25668"/>
    <w:rsid w:val="4DB46B0C"/>
    <w:rsid w:val="4DBB68ED"/>
    <w:rsid w:val="4DCF2E06"/>
    <w:rsid w:val="4DD10A1D"/>
    <w:rsid w:val="4DD4060A"/>
    <w:rsid w:val="4DEC4FB0"/>
    <w:rsid w:val="4DF158ED"/>
    <w:rsid w:val="4DFA330B"/>
    <w:rsid w:val="4E010266"/>
    <w:rsid w:val="4E075D8A"/>
    <w:rsid w:val="4E0E4BBE"/>
    <w:rsid w:val="4E3330FE"/>
    <w:rsid w:val="4E341128"/>
    <w:rsid w:val="4E5016D1"/>
    <w:rsid w:val="4E5778AF"/>
    <w:rsid w:val="4E656518"/>
    <w:rsid w:val="4E7311E9"/>
    <w:rsid w:val="4E8F3FE2"/>
    <w:rsid w:val="4E984750"/>
    <w:rsid w:val="4E9B613C"/>
    <w:rsid w:val="4EC00FAD"/>
    <w:rsid w:val="4ED22C03"/>
    <w:rsid w:val="4EE22CBB"/>
    <w:rsid w:val="4EE45642"/>
    <w:rsid w:val="4F0B5C9D"/>
    <w:rsid w:val="4F2E32C7"/>
    <w:rsid w:val="4F445BBB"/>
    <w:rsid w:val="4F5F6294"/>
    <w:rsid w:val="4F650272"/>
    <w:rsid w:val="4F770F19"/>
    <w:rsid w:val="4F7E1A65"/>
    <w:rsid w:val="4F806F93"/>
    <w:rsid w:val="4F8303B0"/>
    <w:rsid w:val="4F8B4EF0"/>
    <w:rsid w:val="4F9843DC"/>
    <w:rsid w:val="4F9B6490"/>
    <w:rsid w:val="4FA068EF"/>
    <w:rsid w:val="4FC62A8C"/>
    <w:rsid w:val="4FCB7DA3"/>
    <w:rsid w:val="4FCE2897"/>
    <w:rsid w:val="4FE20F0D"/>
    <w:rsid w:val="4FE51552"/>
    <w:rsid w:val="50250266"/>
    <w:rsid w:val="503A592C"/>
    <w:rsid w:val="50504C4B"/>
    <w:rsid w:val="505F79BC"/>
    <w:rsid w:val="507514DC"/>
    <w:rsid w:val="50912631"/>
    <w:rsid w:val="509C6E7C"/>
    <w:rsid w:val="50B54ED7"/>
    <w:rsid w:val="50BA10E0"/>
    <w:rsid w:val="50C559BD"/>
    <w:rsid w:val="50D33BDA"/>
    <w:rsid w:val="50E4329F"/>
    <w:rsid w:val="50EE2610"/>
    <w:rsid w:val="510445BD"/>
    <w:rsid w:val="51156ADE"/>
    <w:rsid w:val="51184DAC"/>
    <w:rsid w:val="511C664E"/>
    <w:rsid w:val="511F6D63"/>
    <w:rsid w:val="514A14FE"/>
    <w:rsid w:val="5155786E"/>
    <w:rsid w:val="5162104E"/>
    <w:rsid w:val="51696C6C"/>
    <w:rsid w:val="516C0DFE"/>
    <w:rsid w:val="518C788B"/>
    <w:rsid w:val="51B06A6D"/>
    <w:rsid w:val="51BA3D81"/>
    <w:rsid w:val="51BF217D"/>
    <w:rsid w:val="52021A1A"/>
    <w:rsid w:val="521B695E"/>
    <w:rsid w:val="525844BC"/>
    <w:rsid w:val="52896201"/>
    <w:rsid w:val="528C3EFC"/>
    <w:rsid w:val="52B77CA4"/>
    <w:rsid w:val="52C11D9C"/>
    <w:rsid w:val="52E12D53"/>
    <w:rsid w:val="52F608BE"/>
    <w:rsid w:val="53032D7D"/>
    <w:rsid w:val="53111F5F"/>
    <w:rsid w:val="53317416"/>
    <w:rsid w:val="53530E55"/>
    <w:rsid w:val="535F7D10"/>
    <w:rsid w:val="537B6ACB"/>
    <w:rsid w:val="538F13D7"/>
    <w:rsid w:val="53A039CC"/>
    <w:rsid w:val="53A1505A"/>
    <w:rsid w:val="53CB6C3F"/>
    <w:rsid w:val="53DE4786"/>
    <w:rsid w:val="53F72B7E"/>
    <w:rsid w:val="54063E08"/>
    <w:rsid w:val="541746AD"/>
    <w:rsid w:val="543437E8"/>
    <w:rsid w:val="5458254E"/>
    <w:rsid w:val="54663161"/>
    <w:rsid w:val="546A51ED"/>
    <w:rsid w:val="54792631"/>
    <w:rsid w:val="54AB0292"/>
    <w:rsid w:val="54B356BD"/>
    <w:rsid w:val="54C24C17"/>
    <w:rsid w:val="54E503BA"/>
    <w:rsid w:val="54F73313"/>
    <w:rsid w:val="54F80955"/>
    <w:rsid w:val="54F8177C"/>
    <w:rsid w:val="5536328E"/>
    <w:rsid w:val="55461121"/>
    <w:rsid w:val="55514D4E"/>
    <w:rsid w:val="555170A7"/>
    <w:rsid w:val="556D0FB4"/>
    <w:rsid w:val="5587536D"/>
    <w:rsid w:val="559B174B"/>
    <w:rsid w:val="55A85698"/>
    <w:rsid w:val="55AE1942"/>
    <w:rsid w:val="55B1040E"/>
    <w:rsid w:val="55C64C62"/>
    <w:rsid w:val="55CE0CF4"/>
    <w:rsid w:val="55EE1641"/>
    <w:rsid w:val="5606025D"/>
    <w:rsid w:val="56226600"/>
    <w:rsid w:val="5637298F"/>
    <w:rsid w:val="56441822"/>
    <w:rsid w:val="565F4A40"/>
    <w:rsid w:val="567560DD"/>
    <w:rsid w:val="567C60F0"/>
    <w:rsid w:val="568B6392"/>
    <w:rsid w:val="5690554B"/>
    <w:rsid w:val="56A20939"/>
    <w:rsid w:val="56AF7E5D"/>
    <w:rsid w:val="56B22A9C"/>
    <w:rsid w:val="56BA1E76"/>
    <w:rsid w:val="56CB25BC"/>
    <w:rsid w:val="571B5C6D"/>
    <w:rsid w:val="5730129E"/>
    <w:rsid w:val="574718BC"/>
    <w:rsid w:val="5761498A"/>
    <w:rsid w:val="576A65AE"/>
    <w:rsid w:val="577F0FD9"/>
    <w:rsid w:val="57881FC4"/>
    <w:rsid w:val="57914CDF"/>
    <w:rsid w:val="57926FF4"/>
    <w:rsid w:val="57964F8B"/>
    <w:rsid w:val="57A8762D"/>
    <w:rsid w:val="57B72A76"/>
    <w:rsid w:val="57BE117A"/>
    <w:rsid w:val="57C3426C"/>
    <w:rsid w:val="57CE1F93"/>
    <w:rsid w:val="57EA3F60"/>
    <w:rsid w:val="580703EA"/>
    <w:rsid w:val="582845D3"/>
    <w:rsid w:val="582948BA"/>
    <w:rsid w:val="582B1AF4"/>
    <w:rsid w:val="58667100"/>
    <w:rsid w:val="58777D66"/>
    <w:rsid w:val="588743D1"/>
    <w:rsid w:val="5887701A"/>
    <w:rsid w:val="58A27666"/>
    <w:rsid w:val="58A63496"/>
    <w:rsid w:val="58B03D3D"/>
    <w:rsid w:val="58C70CEF"/>
    <w:rsid w:val="58C76133"/>
    <w:rsid w:val="58D15D92"/>
    <w:rsid w:val="590C71E1"/>
    <w:rsid w:val="593B2A24"/>
    <w:rsid w:val="59705E93"/>
    <w:rsid w:val="59715A31"/>
    <w:rsid w:val="59857E66"/>
    <w:rsid w:val="5999313C"/>
    <w:rsid w:val="599D2AE8"/>
    <w:rsid w:val="59AE6748"/>
    <w:rsid w:val="59BC2824"/>
    <w:rsid w:val="59C0439F"/>
    <w:rsid w:val="5A093A6A"/>
    <w:rsid w:val="5A0A44F9"/>
    <w:rsid w:val="5A0F1EC9"/>
    <w:rsid w:val="5A1910F8"/>
    <w:rsid w:val="5A356111"/>
    <w:rsid w:val="5A3A0AF9"/>
    <w:rsid w:val="5A497C93"/>
    <w:rsid w:val="5A557866"/>
    <w:rsid w:val="5A6E1369"/>
    <w:rsid w:val="5A820070"/>
    <w:rsid w:val="5A8F7216"/>
    <w:rsid w:val="5A90253A"/>
    <w:rsid w:val="5A95574C"/>
    <w:rsid w:val="5AAD1745"/>
    <w:rsid w:val="5AB66684"/>
    <w:rsid w:val="5ABE2233"/>
    <w:rsid w:val="5ABE4BAD"/>
    <w:rsid w:val="5ACB56D6"/>
    <w:rsid w:val="5AD71D0E"/>
    <w:rsid w:val="5AF45813"/>
    <w:rsid w:val="5B094DA2"/>
    <w:rsid w:val="5B30281D"/>
    <w:rsid w:val="5B871DD5"/>
    <w:rsid w:val="5B8A466D"/>
    <w:rsid w:val="5BA57295"/>
    <w:rsid w:val="5BB8435E"/>
    <w:rsid w:val="5BBB39A3"/>
    <w:rsid w:val="5BBD5EE9"/>
    <w:rsid w:val="5BDF5D95"/>
    <w:rsid w:val="5BE248F2"/>
    <w:rsid w:val="5BE66868"/>
    <w:rsid w:val="5BEA338A"/>
    <w:rsid w:val="5BEB2B28"/>
    <w:rsid w:val="5BF36EE9"/>
    <w:rsid w:val="5BF57396"/>
    <w:rsid w:val="5BFE7528"/>
    <w:rsid w:val="5C291E26"/>
    <w:rsid w:val="5C2A082B"/>
    <w:rsid w:val="5C331E92"/>
    <w:rsid w:val="5C4231F6"/>
    <w:rsid w:val="5C4E1DA4"/>
    <w:rsid w:val="5C5F4091"/>
    <w:rsid w:val="5C642116"/>
    <w:rsid w:val="5CA35B73"/>
    <w:rsid w:val="5CBA245F"/>
    <w:rsid w:val="5CC30B4F"/>
    <w:rsid w:val="5CD43854"/>
    <w:rsid w:val="5CD4437C"/>
    <w:rsid w:val="5CFF0D0E"/>
    <w:rsid w:val="5D083482"/>
    <w:rsid w:val="5D266745"/>
    <w:rsid w:val="5D5E1816"/>
    <w:rsid w:val="5D6F64BC"/>
    <w:rsid w:val="5D7E27E0"/>
    <w:rsid w:val="5D8A35F5"/>
    <w:rsid w:val="5D942E8B"/>
    <w:rsid w:val="5D9F494D"/>
    <w:rsid w:val="5DB677BA"/>
    <w:rsid w:val="5DD11606"/>
    <w:rsid w:val="5DF234B0"/>
    <w:rsid w:val="5DF272AD"/>
    <w:rsid w:val="5E0750E7"/>
    <w:rsid w:val="5E1211F8"/>
    <w:rsid w:val="5E1F00F8"/>
    <w:rsid w:val="5E2467F1"/>
    <w:rsid w:val="5E350302"/>
    <w:rsid w:val="5E3F7232"/>
    <w:rsid w:val="5E4D2736"/>
    <w:rsid w:val="5E65358E"/>
    <w:rsid w:val="5E6C7060"/>
    <w:rsid w:val="5E6D6541"/>
    <w:rsid w:val="5E7B6F10"/>
    <w:rsid w:val="5E885ADD"/>
    <w:rsid w:val="5EB97311"/>
    <w:rsid w:val="5EF06567"/>
    <w:rsid w:val="5F1A2B43"/>
    <w:rsid w:val="5F2750D7"/>
    <w:rsid w:val="5F3F4A66"/>
    <w:rsid w:val="5F6219E9"/>
    <w:rsid w:val="5F646C0E"/>
    <w:rsid w:val="5F773A11"/>
    <w:rsid w:val="5F7E0A45"/>
    <w:rsid w:val="5F880FA2"/>
    <w:rsid w:val="5FA62A45"/>
    <w:rsid w:val="5FAA2D31"/>
    <w:rsid w:val="5FB20325"/>
    <w:rsid w:val="5FB837BB"/>
    <w:rsid w:val="5FCA24AE"/>
    <w:rsid w:val="5FCF62D2"/>
    <w:rsid w:val="5FE80DBD"/>
    <w:rsid w:val="5FEA53A1"/>
    <w:rsid w:val="5FFE0087"/>
    <w:rsid w:val="60092F0F"/>
    <w:rsid w:val="60093BCC"/>
    <w:rsid w:val="60186060"/>
    <w:rsid w:val="603512C9"/>
    <w:rsid w:val="60487CA9"/>
    <w:rsid w:val="607448AA"/>
    <w:rsid w:val="60747DD3"/>
    <w:rsid w:val="608833E4"/>
    <w:rsid w:val="60977253"/>
    <w:rsid w:val="60BF09AE"/>
    <w:rsid w:val="60CC405A"/>
    <w:rsid w:val="60D226E6"/>
    <w:rsid w:val="60F8492B"/>
    <w:rsid w:val="60FE187F"/>
    <w:rsid w:val="610D0D9C"/>
    <w:rsid w:val="61134301"/>
    <w:rsid w:val="61164DE4"/>
    <w:rsid w:val="612D787E"/>
    <w:rsid w:val="61357BDD"/>
    <w:rsid w:val="615D4D1B"/>
    <w:rsid w:val="617D343F"/>
    <w:rsid w:val="61881063"/>
    <w:rsid w:val="61887A90"/>
    <w:rsid w:val="619638B3"/>
    <w:rsid w:val="61AB3677"/>
    <w:rsid w:val="61C26253"/>
    <w:rsid w:val="61C522E2"/>
    <w:rsid w:val="61C740F8"/>
    <w:rsid w:val="61CA69EB"/>
    <w:rsid w:val="61E06EAA"/>
    <w:rsid w:val="61E215D8"/>
    <w:rsid w:val="61EC13D8"/>
    <w:rsid w:val="62075157"/>
    <w:rsid w:val="620B6B90"/>
    <w:rsid w:val="621804B6"/>
    <w:rsid w:val="621B3775"/>
    <w:rsid w:val="62364782"/>
    <w:rsid w:val="625033F1"/>
    <w:rsid w:val="625436DF"/>
    <w:rsid w:val="6255131C"/>
    <w:rsid w:val="627A39D8"/>
    <w:rsid w:val="627C3404"/>
    <w:rsid w:val="628403FF"/>
    <w:rsid w:val="629C274E"/>
    <w:rsid w:val="62A046C8"/>
    <w:rsid w:val="62AF2A19"/>
    <w:rsid w:val="62B07280"/>
    <w:rsid w:val="62D2313F"/>
    <w:rsid w:val="62EE3CCB"/>
    <w:rsid w:val="63100901"/>
    <w:rsid w:val="63110292"/>
    <w:rsid w:val="632367EA"/>
    <w:rsid w:val="633B61DC"/>
    <w:rsid w:val="635C61A2"/>
    <w:rsid w:val="6370665F"/>
    <w:rsid w:val="63835041"/>
    <w:rsid w:val="6394356A"/>
    <w:rsid w:val="63A334D3"/>
    <w:rsid w:val="63A40D22"/>
    <w:rsid w:val="63B0118E"/>
    <w:rsid w:val="63B82D47"/>
    <w:rsid w:val="63C13D6F"/>
    <w:rsid w:val="63C61B2C"/>
    <w:rsid w:val="63D40BE9"/>
    <w:rsid w:val="63E65436"/>
    <w:rsid w:val="63ED3E0B"/>
    <w:rsid w:val="63F1562B"/>
    <w:rsid w:val="63F74D98"/>
    <w:rsid w:val="63FD04E7"/>
    <w:rsid w:val="64102431"/>
    <w:rsid w:val="6412008A"/>
    <w:rsid w:val="641A199B"/>
    <w:rsid w:val="642B18A4"/>
    <w:rsid w:val="643A460B"/>
    <w:rsid w:val="64472046"/>
    <w:rsid w:val="64485E79"/>
    <w:rsid w:val="644B6230"/>
    <w:rsid w:val="645C654D"/>
    <w:rsid w:val="646131BD"/>
    <w:rsid w:val="6493426F"/>
    <w:rsid w:val="64A237F3"/>
    <w:rsid w:val="64A5243A"/>
    <w:rsid w:val="64A57D43"/>
    <w:rsid w:val="64D42282"/>
    <w:rsid w:val="64DC703E"/>
    <w:rsid w:val="64F531DE"/>
    <w:rsid w:val="652A5CD1"/>
    <w:rsid w:val="65373578"/>
    <w:rsid w:val="65434201"/>
    <w:rsid w:val="65622F5F"/>
    <w:rsid w:val="657123EB"/>
    <w:rsid w:val="65852C66"/>
    <w:rsid w:val="6586426D"/>
    <w:rsid w:val="65A471E7"/>
    <w:rsid w:val="66053E7A"/>
    <w:rsid w:val="663C18DA"/>
    <w:rsid w:val="664A4C0F"/>
    <w:rsid w:val="664B3030"/>
    <w:rsid w:val="664B4484"/>
    <w:rsid w:val="6654263E"/>
    <w:rsid w:val="669156D1"/>
    <w:rsid w:val="669F4F0A"/>
    <w:rsid w:val="66A462CF"/>
    <w:rsid w:val="66AA2161"/>
    <w:rsid w:val="66AD64FA"/>
    <w:rsid w:val="66C20165"/>
    <w:rsid w:val="67050EAD"/>
    <w:rsid w:val="670C062B"/>
    <w:rsid w:val="671354D8"/>
    <w:rsid w:val="671865B6"/>
    <w:rsid w:val="671F124A"/>
    <w:rsid w:val="672F3320"/>
    <w:rsid w:val="67350BA3"/>
    <w:rsid w:val="675C309C"/>
    <w:rsid w:val="675C5CEE"/>
    <w:rsid w:val="67625E71"/>
    <w:rsid w:val="67726845"/>
    <w:rsid w:val="677A33C6"/>
    <w:rsid w:val="678713EE"/>
    <w:rsid w:val="67885AD5"/>
    <w:rsid w:val="678C7F6A"/>
    <w:rsid w:val="67936B3E"/>
    <w:rsid w:val="67970D1D"/>
    <w:rsid w:val="67A426E5"/>
    <w:rsid w:val="67DC031B"/>
    <w:rsid w:val="67EE6D37"/>
    <w:rsid w:val="6816796F"/>
    <w:rsid w:val="681F6961"/>
    <w:rsid w:val="68430DE0"/>
    <w:rsid w:val="684863CB"/>
    <w:rsid w:val="684B72D6"/>
    <w:rsid w:val="684F32E0"/>
    <w:rsid w:val="685D5276"/>
    <w:rsid w:val="68610A2F"/>
    <w:rsid w:val="68697382"/>
    <w:rsid w:val="687B332C"/>
    <w:rsid w:val="68805514"/>
    <w:rsid w:val="68A6265F"/>
    <w:rsid w:val="68AC766F"/>
    <w:rsid w:val="68C16518"/>
    <w:rsid w:val="68E748CB"/>
    <w:rsid w:val="68F74539"/>
    <w:rsid w:val="69054F35"/>
    <w:rsid w:val="692F13B6"/>
    <w:rsid w:val="69316E2F"/>
    <w:rsid w:val="69336044"/>
    <w:rsid w:val="69374236"/>
    <w:rsid w:val="694E2071"/>
    <w:rsid w:val="69677C12"/>
    <w:rsid w:val="69766163"/>
    <w:rsid w:val="697A3B33"/>
    <w:rsid w:val="698471A3"/>
    <w:rsid w:val="698D63A3"/>
    <w:rsid w:val="69911951"/>
    <w:rsid w:val="69A12333"/>
    <w:rsid w:val="69A41A0B"/>
    <w:rsid w:val="69A53C40"/>
    <w:rsid w:val="69D44760"/>
    <w:rsid w:val="69F32663"/>
    <w:rsid w:val="6A0943D7"/>
    <w:rsid w:val="6A0D0618"/>
    <w:rsid w:val="6A520EC7"/>
    <w:rsid w:val="6A526D05"/>
    <w:rsid w:val="6A575A42"/>
    <w:rsid w:val="6A5E73BD"/>
    <w:rsid w:val="6A5F7460"/>
    <w:rsid w:val="6A7204FB"/>
    <w:rsid w:val="6A8F57E4"/>
    <w:rsid w:val="6AF00D87"/>
    <w:rsid w:val="6AF87E20"/>
    <w:rsid w:val="6B0C5404"/>
    <w:rsid w:val="6B160A7F"/>
    <w:rsid w:val="6B1A7F9D"/>
    <w:rsid w:val="6B212473"/>
    <w:rsid w:val="6B282DAC"/>
    <w:rsid w:val="6B322639"/>
    <w:rsid w:val="6B536C48"/>
    <w:rsid w:val="6B5632E3"/>
    <w:rsid w:val="6B76251F"/>
    <w:rsid w:val="6B7D4D74"/>
    <w:rsid w:val="6B833D46"/>
    <w:rsid w:val="6B921F61"/>
    <w:rsid w:val="6BAE320B"/>
    <w:rsid w:val="6BC91C7C"/>
    <w:rsid w:val="6BD31CC2"/>
    <w:rsid w:val="6BE27D1A"/>
    <w:rsid w:val="6BF7462D"/>
    <w:rsid w:val="6C1437C7"/>
    <w:rsid w:val="6C15523A"/>
    <w:rsid w:val="6C160F1F"/>
    <w:rsid w:val="6C1F13FA"/>
    <w:rsid w:val="6C2F0A7C"/>
    <w:rsid w:val="6C2F3852"/>
    <w:rsid w:val="6C635DE8"/>
    <w:rsid w:val="6C636C38"/>
    <w:rsid w:val="6C793A0F"/>
    <w:rsid w:val="6CAB5FFD"/>
    <w:rsid w:val="6CAB6FD5"/>
    <w:rsid w:val="6CDB1A5F"/>
    <w:rsid w:val="6CEB7C70"/>
    <w:rsid w:val="6D0834D7"/>
    <w:rsid w:val="6D0F7F54"/>
    <w:rsid w:val="6D112793"/>
    <w:rsid w:val="6D1D7835"/>
    <w:rsid w:val="6D4667F4"/>
    <w:rsid w:val="6D552C6D"/>
    <w:rsid w:val="6D5B06C5"/>
    <w:rsid w:val="6D623767"/>
    <w:rsid w:val="6D6A25C4"/>
    <w:rsid w:val="6DB34098"/>
    <w:rsid w:val="6DB545B6"/>
    <w:rsid w:val="6DE02FB4"/>
    <w:rsid w:val="6DE106A0"/>
    <w:rsid w:val="6DF5560E"/>
    <w:rsid w:val="6E1A09A7"/>
    <w:rsid w:val="6E4372AF"/>
    <w:rsid w:val="6E514CED"/>
    <w:rsid w:val="6E592B0B"/>
    <w:rsid w:val="6E6625E6"/>
    <w:rsid w:val="6E682099"/>
    <w:rsid w:val="6E7B477D"/>
    <w:rsid w:val="6E960384"/>
    <w:rsid w:val="6E9A0985"/>
    <w:rsid w:val="6EA450D8"/>
    <w:rsid w:val="6EB563D5"/>
    <w:rsid w:val="6EB83BFB"/>
    <w:rsid w:val="6EC57B60"/>
    <w:rsid w:val="6ECA4F8E"/>
    <w:rsid w:val="6ECB0CF5"/>
    <w:rsid w:val="6ED22138"/>
    <w:rsid w:val="6ED81D5E"/>
    <w:rsid w:val="6ED92677"/>
    <w:rsid w:val="6EDA196F"/>
    <w:rsid w:val="6EDE16AE"/>
    <w:rsid w:val="6EE21DCA"/>
    <w:rsid w:val="6EF06D30"/>
    <w:rsid w:val="6EF14E4B"/>
    <w:rsid w:val="6F1108E1"/>
    <w:rsid w:val="6F225983"/>
    <w:rsid w:val="6F39625A"/>
    <w:rsid w:val="6F440112"/>
    <w:rsid w:val="6F4D587F"/>
    <w:rsid w:val="6F552AF7"/>
    <w:rsid w:val="6F5F7474"/>
    <w:rsid w:val="6F920108"/>
    <w:rsid w:val="6F9B3D84"/>
    <w:rsid w:val="6F9C494B"/>
    <w:rsid w:val="6FAC10A3"/>
    <w:rsid w:val="6FBE0359"/>
    <w:rsid w:val="6FC43917"/>
    <w:rsid w:val="6FDC5476"/>
    <w:rsid w:val="6FFC5590"/>
    <w:rsid w:val="700155FC"/>
    <w:rsid w:val="700941EF"/>
    <w:rsid w:val="70186011"/>
    <w:rsid w:val="703F5634"/>
    <w:rsid w:val="70474348"/>
    <w:rsid w:val="70476282"/>
    <w:rsid w:val="70527C03"/>
    <w:rsid w:val="706D1DD0"/>
    <w:rsid w:val="707E6E45"/>
    <w:rsid w:val="70806F2E"/>
    <w:rsid w:val="70856B87"/>
    <w:rsid w:val="70B743CF"/>
    <w:rsid w:val="70B90464"/>
    <w:rsid w:val="70D527EE"/>
    <w:rsid w:val="70D70733"/>
    <w:rsid w:val="70DD2C21"/>
    <w:rsid w:val="70E74247"/>
    <w:rsid w:val="70F350EF"/>
    <w:rsid w:val="71074674"/>
    <w:rsid w:val="710A0F40"/>
    <w:rsid w:val="7134019B"/>
    <w:rsid w:val="7154623F"/>
    <w:rsid w:val="715711C4"/>
    <w:rsid w:val="715B5300"/>
    <w:rsid w:val="715D7080"/>
    <w:rsid w:val="71602B98"/>
    <w:rsid w:val="7160692A"/>
    <w:rsid w:val="716218EC"/>
    <w:rsid w:val="71633A46"/>
    <w:rsid w:val="717A03DB"/>
    <w:rsid w:val="71805E67"/>
    <w:rsid w:val="718D4982"/>
    <w:rsid w:val="71973524"/>
    <w:rsid w:val="71A87922"/>
    <w:rsid w:val="71C93A18"/>
    <w:rsid w:val="71CF1A79"/>
    <w:rsid w:val="71D27F8A"/>
    <w:rsid w:val="71D46E09"/>
    <w:rsid w:val="71E6765E"/>
    <w:rsid w:val="721563E5"/>
    <w:rsid w:val="722A5D8B"/>
    <w:rsid w:val="723B15E9"/>
    <w:rsid w:val="72457AEA"/>
    <w:rsid w:val="724765F4"/>
    <w:rsid w:val="72553024"/>
    <w:rsid w:val="725A1AAA"/>
    <w:rsid w:val="72607BBA"/>
    <w:rsid w:val="72B661E2"/>
    <w:rsid w:val="72C118AE"/>
    <w:rsid w:val="72C720FD"/>
    <w:rsid w:val="72D11266"/>
    <w:rsid w:val="72D67B4B"/>
    <w:rsid w:val="72FB0CA2"/>
    <w:rsid w:val="73122968"/>
    <w:rsid w:val="731F5D5E"/>
    <w:rsid w:val="73302164"/>
    <w:rsid w:val="733B4A2C"/>
    <w:rsid w:val="733D1BD4"/>
    <w:rsid w:val="73566430"/>
    <w:rsid w:val="735B628B"/>
    <w:rsid w:val="73676EF2"/>
    <w:rsid w:val="737F1701"/>
    <w:rsid w:val="739931F2"/>
    <w:rsid w:val="73A62CB9"/>
    <w:rsid w:val="73B2631F"/>
    <w:rsid w:val="73C47D8D"/>
    <w:rsid w:val="73C51AD5"/>
    <w:rsid w:val="73CE4842"/>
    <w:rsid w:val="73D81077"/>
    <w:rsid w:val="73DB0D10"/>
    <w:rsid w:val="73F85B1C"/>
    <w:rsid w:val="740A1B74"/>
    <w:rsid w:val="741005FC"/>
    <w:rsid w:val="74126ADD"/>
    <w:rsid w:val="741E793C"/>
    <w:rsid w:val="74226F4A"/>
    <w:rsid w:val="742427EF"/>
    <w:rsid w:val="74253065"/>
    <w:rsid w:val="74286580"/>
    <w:rsid w:val="74322AC0"/>
    <w:rsid w:val="74425E2E"/>
    <w:rsid w:val="74532698"/>
    <w:rsid w:val="745E3944"/>
    <w:rsid w:val="74607C5A"/>
    <w:rsid w:val="74873C74"/>
    <w:rsid w:val="748B4691"/>
    <w:rsid w:val="749E354F"/>
    <w:rsid w:val="74C24E0C"/>
    <w:rsid w:val="74D94C42"/>
    <w:rsid w:val="74DB244E"/>
    <w:rsid w:val="74DB7BFA"/>
    <w:rsid w:val="74E76FE8"/>
    <w:rsid w:val="74EF6477"/>
    <w:rsid w:val="75066E5F"/>
    <w:rsid w:val="75202887"/>
    <w:rsid w:val="754303E0"/>
    <w:rsid w:val="75472F43"/>
    <w:rsid w:val="755F3023"/>
    <w:rsid w:val="756D7851"/>
    <w:rsid w:val="756E798D"/>
    <w:rsid w:val="75855279"/>
    <w:rsid w:val="758B6B1D"/>
    <w:rsid w:val="75B341BF"/>
    <w:rsid w:val="75B500DA"/>
    <w:rsid w:val="75BB281E"/>
    <w:rsid w:val="75DC4673"/>
    <w:rsid w:val="75E8335C"/>
    <w:rsid w:val="75F558CC"/>
    <w:rsid w:val="75FC6B89"/>
    <w:rsid w:val="76046021"/>
    <w:rsid w:val="761E7DFC"/>
    <w:rsid w:val="76202A09"/>
    <w:rsid w:val="7635099D"/>
    <w:rsid w:val="764C3F93"/>
    <w:rsid w:val="765A484B"/>
    <w:rsid w:val="766427CF"/>
    <w:rsid w:val="766A66DF"/>
    <w:rsid w:val="769E7B7B"/>
    <w:rsid w:val="76B81E7E"/>
    <w:rsid w:val="76FC144D"/>
    <w:rsid w:val="771D6627"/>
    <w:rsid w:val="772B07B0"/>
    <w:rsid w:val="77317923"/>
    <w:rsid w:val="774925B0"/>
    <w:rsid w:val="774A3DA0"/>
    <w:rsid w:val="77733F3B"/>
    <w:rsid w:val="77762421"/>
    <w:rsid w:val="77772723"/>
    <w:rsid w:val="77913EF4"/>
    <w:rsid w:val="77970A63"/>
    <w:rsid w:val="779C668A"/>
    <w:rsid w:val="77A334ED"/>
    <w:rsid w:val="77A91AF2"/>
    <w:rsid w:val="77B56B1F"/>
    <w:rsid w:val="77BD1E24"/>
    <w:rsid w:val="77C133F9"/>
    <w:rsid w:val="77D667EF"/>
    <w:rsid w:val="77D82076"/>
    <w:rsid w:val="77D85193"/>
    <w:rsid w:val="77D867BA"/>
    <w:rsid w:val="77E82262"/>
    <w:rsid w:val="77F47AB3"/>
    <w:rsid w:val="77FC67C9"/>
    <w:rsid w:val="780D6F6F"/>
    <w:rsid w:val="780F09F4"/>
    <w:rsid w:val="788C53A6"/>
    <w:rsid w:val="78937D72"/>
    <w:rsid w:val="7894051F"/>
    <w:rsid w:val="78941134"/>
    <w:rsid w:val="789E20B4"/>
    <w:rsid w:val="78A90480"/>
    <w:rsid w:val="78B25FE5"/>
    <w:rsid w:val="78B94C81"/>
    <w:rsid w:val="78C11154"/>
    <w:rsid w:val="78C7783E"/>
    <w:rsid w:val="78CB73DF"/>
    <w:rsid w:val="78EC72C3"/>
    <w:rsid w:val="79A64EBF"/>
    <w:rsid w:val="79B367AB"/>
    <w:rsid w:val="79DD0929"/>
    <w:rsid w:val="79E0275E"/>
    <w:rsid w:val="79E16F77"/>
    <w:rsid w:val="79E33DC8"/>
    <w:rsid w:val="79EB1FF5"/>
    <w:rsid w:val="79FE250F"/>
    <w:rsid w:val="7A0041E0"/>
    <w:rsid w:val="7A097A01"/>
    <w:rsid w:val="7A364017"/>
    <w:rsid w:val="7A4B4C5E"/>
    <w:rsid w:val="7A595007"/>
    <w:rsid w:val="7A6848D2"/>
    <w:rsid w:val="7A771E1E"/>
    <w:rsid w:val="7A80755F"/>
    <w:rsid w:val="7A8265E1"/>
    <w:rsid w:val="7AD175BE"/>
    <w:rsid w:val="7AE61EB3"/>
    <w:rsid w:val="7AFF17F0"/>
    <w:rsid w:val="7B18614D"/>
    <w:rsid w:val="7B1F74D2"/>
    <w:rsid w:val="7B2C449F"/>
    <w:rsid w:val="7B304A90"/>
    <w:rsid w:val="7B5910B0"/>
    <w:rsid w:val="7B686D42"/>
    <w:rsid w:val="7B691644"/>
    <w:rsid w:val="7B6F703D"/>
    <w:rsid w:val="7B704698"/>
    <w:rsid w:val="7B796992"/>
    <w:rsid w:val="7B821451"/>
    <w:rsid w:val="7B841746"/>
    <w:rsid w:val="7B8A7519"/>
    <w:rsid w:val="7B8F689D"/>
    <w:rsid w:val="7BA3763D"/>
    <w:rsid w:val="7BC77B74"/>
    <w:rsid w:val="7BDB7F56"/>
    <w:rsid w:val="7BE023CC"/>
    <w:rsid w:val="7BE14791"/>
    <w:rsid w:val="7BFE2680"/>
    <w:rsid w:val="7BFF3FC2"/>
    <w:rsid w:val="7C040E1E"/>
    <w:rsid w:val="7C152E9F"/>
    <w:rsid w:val="7C157E45"/>
    <w:rsid w:val="7C1E7DEB"/>
    <w:rsid w:val="7C3B5E63"/>
    <w:rsid w:val="7C4F0E77"/>
    <w:rsid w:val="7C5361E2"/>
    <w:rsid w:val="7C655D11"/>
    <w:rsid w:val="7C686E1D"/>
    <w:rsid w:val="7C6C5AC7"/>
    <w:rsid w:val="7C7B3527"/>
    <w:rsid w:val="7C8B5A2D"/>
    <w:rsid w:val="7C987018"/>
    <w:rsid w:val="7C9B596D"/>
    <w:rsid w:val="7CA163DB"/>
    <w:rsid w:val="7CA219A4"/>
    <w:rsid w:val="7CC31535"/>
    <w:rsid w:val="7CC6544B"/>
    <w:rsid w:val="7CE04A49"/>
    <w:rsid w:val="7CEF549F"/>
    <w:rsid w:val="7CF70DAC"/>
    <w:rsid w:val="7CFF0530"/>
    <w:rsid w:val="7D016EE9"/>
    <w:rsid w:val="7D0239FF"/>
    <w:rsid w:val="7D070DA6"/>
    <w:rsid w:val="7D0E3B0A"/>
    <w:rsid w:val="7D183658"/>
    <w:rsid w:val="7D4D2CB5"/>
    <w:rsid w:val="7D5E40CD"/>
    <w:rsid w:val="7D7146FA"/>
    <w:rsid w:val="7D780DD5"/>
    <w:rsid w:val="7D785DDC"/>
    <w:rsid w:val="7D7F63B7"/>
    <w:rsid w:val="7DC3154F"/>
    <w:rsid w:val="7DC740C1"/>
    <w:rsid w:val="7DCB2241"/>
    <w:rsid w:val="7DCD56F2"/>
    <w:rsid w:val="7DEE7682"/>
    <w:rsid w:val="7E1C7A39"/>
    <w:rsid w:val="7E235DD2"/>
    <w:rsid w:val="7E447259"/>
    <w:rsid w:val="7E455C85"/>
    <w:rsid w:val="7E473634"/>
    <w:rsid w:val="7E5A2D87"/>
    <w:rsid w:val="7E655C56"/>
    <w:rsid w:val="7E697A2C"/>
    <w:rsid w:val="7E867D37"/>
    <w:rsid w:val="7E8E4763"/>
    <w:rsid w:val="7EA71004"/>
    <w:rsid w:val="7EBB1272"/>
    <w:rsid w:val="7EE338B7"/>
    <w:rsid w:val="7F001CE7"/>
    <w:rsid w:val="7F0711E1"/>
    <w:rsid w:val="7F287C65"/>
    <w:rsid w:val="7F7733CE"/>
    <w:rsid w:val="7F9B718C"/>
    <w:rsid w:val="7FBE3B6D"/>
    <w:rsid w:val="7FC7603E"/>
    <w:rsid w:val="7FD54728"/>
    <w:rsid w:val="7FD70181"/>
    <w:rsid w:val="7FE4015B"/>
    <w:rsid w:val="7FE47E50"/>
    <w:rsid w:val="7FFA2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9"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qFormat="1"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qFormat="1" w:unhideWhenUsed="0" w:uiPriority="0" w:semiHidden="0" w:name="Note Heading" w:locked="1"/>
    <w:lsdException w:qFormat="1"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qFormat="1" w:unhideWhenUsed="0" w:uiPriority="0" w:semiHidden="0" w:name="HTML Code" w:locked="1"/>
    <w:lsdException w:qFormat="1" w:unhideWhenUsed="0" w:uiPriority="0" w:semiHidden="0" w:name="HTML Definition" w:locked="1"/>
    <w:lsdException w:qFormat="1" w:unhideWhenUsed="0" w:uiPriority="0" w:semiHidden="0" w:name="HTML Keyboard" w:locked="1"/>
    <w:lsdException w:unhideWhenUsed="0" w:uiPriority="0" w:semiHidden="0" w:name="HTML Preformatted" w:locked="1"/>
    <w:lsdException w:qFormat="1"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7"/>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48"/>
    <w:qFormat/>
    <w:locked/>
    <w:uiPriority w:val="0"/>
    <w:pPr>
      <w:keepNext/>
      <w:keepLines/>
      <w:numPr>
        <w:ilvl w:val="1"/>
        <w:numId w:val="1"/>
      </w:numPr>
      <w:adjustRightInd w:val="0"/>
      <w:snapToGrid w:val="0"/>
      <w:spacing w:before="120" w:after="120" w:line="288" w:lineRule="auto"/>
      <w:outlineLvl w:val="1"/>
    </w:pPr>
    <w:rPr>
      <w:rFonts w:eastAsia="黑体"/>
      <w:bCs/>
      <w:kern w:val="0"/>
      <w:sz w:val="30"/>
      <w:szCs w:val="30"/>
    </w:rPr>
  </w:style>
  <w:style w:type="paragraph" w:styleId="4">
    <w:name w:val="heading 3"/>
    <w:basedOn w:val="1"/>
    <w:next w:val="1"/>
    <w:link w:val="43"/>
    <w:qFormat/>
    <w:locked/>
    <w:uiPriority w:val="0"/>
    <w:pPr>
      <w:keepNext/>
      <w:keepLines/>
      <w:numPr>
        <w:ilvl w:val="2"/>
        <w:numId w:val="1"/>
      </w:numPr>
      <w:spacing w:before="120" w:after="120" w:line="288" w:lineRule="auto"/>
      <w:outlineLvl w:val="2"/>
    </w:pPr>
    <w:rPr>
      <w:rFonts w:eastAsia="黑体"/>
      <w:bCs/>
      <w:kern w:val="0"/>
      <w:sz w:val="28"/>
      <w:szCs w:val="32"/>
    </w:rPr>
  </w:style>
  <w:style w:type="paragraph" w:styleId="5">
    <w:name w:val="heading 4"/>
    <w:basedOn w:val="1"/>
    <w:next w:val="1"/>
    <w:qFormat/>
    <w:locked/>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qFormat/>
    <w:locked/>
    <w:uiPriority w:val="9"/>
    <w:pPr>
      <w:keepNext/>
      <w:keepLines/>
      <w:spacing w:before="280" w:after="290" w:line="376" w:lineRule="auto"/>
      <w:outlineLvl w:val="4"/>
    </w:pPr>
    <w:rPr>
      <w:b/>
      <w:bCs/>
      <w:sz w:val="28"/>
      <w:szCs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7">
    <w:name w:val="Note Heading"/>
    <w:basedOn w:val="1"/>
    <w:next w:val="1"/>
    <w:qFormat/>
    <w:locked/>
    <w:uiPriority w:val="0"/>
    <w:pPr>
      <w:jc w:val="center"/>
    </w:pPr>
  </w:style>
  <w:style w:type="paragraph" w:styleId="8">
    <w:name w:val="List Number"/>
    <w:basedOn w:val="1"/>
    <w:qFormat/>
    <w:locked/>
    <w:uiPriority w:val="0"/>
    <w:pPr>
      <w:numPr>
        <w:ilvl w:val="0"/>
        <w:numId w:val="2"/>
      </w:numPr>
    </w:pPr>
  </w:style>
  <w:style w:type="paragraph" w:styleId="9">
    <w:name w:val="Normal Indent"/>
    <w:basedOn w:val="1"/>
    <w:next w:val="10"/>
    <w:qFormat/>
    <w:locked/>
    <w:uiPriority w:val="0"/>
    <w:pPr>
      <w:spacing w:line="500" w:lineRule="exact"/>
      <w:ind w:firstLine="420" w:firstLineChars="200"/>
    </w:pPr>
    <w:rPr>
      <w:rFonts w:ascii="Calibri" w:hAnsi="Calibri"/>
      <w:sz w:val="24"/>
    </w:rPr>
  </w:style>
  <w:style w:type="paragraph" w:styleId="10">
    <w:name w:val="toc 1"/>
    <w:basedOn w:val="1"/>
    <w:next w:val="1"/>
    <w:qFormat/>
    <w:locked/>
    <w:uiPriority w:val="0"/>
  </w:style>
  <w:style w:type="paragraph" w:styleId="11">
    <w:name w:val="caption"/>
    <w:basedOn w:val="1"/>
    <w:next w:val="1"/>
    <w:qFormat/>
    <w:locked/>
    <w:uiPriority w:val="0"/>
    <w:pPr>
      <w:ind w:firstLine="200" w:firstLineChars="200"/>
    </w:pPr>
    <w:rPr>
      <w:rFonts w:ascii="Arial" w:hAnsi="Arial" w:eastAsia="黑体" w:cs="Arial"/>
      <w:sz w:val="20"/>
      <w:szCs w:val="20"/>
    </w:rPr>
  </w:style>
  <w:style w:type="paragraph" w:styleId="12">
    <w:name w:val="annotation text"/>
    <w:basedOn w:val="1"/>
    <w:link w:val="49"/>
    <w:semiHidden/>
    <w:qFormat/>
    <w:uiPriority w:val="0"/>
    <w:pPr>
      <w:jc w:val="left"/>
    </w:pPr>
    <w:rPr>
      <w:kern w:val="0"/>
      <w:sz w:val="24"/>
      <w:szCs w:val="20"/>
    </w:rPr>
  </w:style>
  <w:style w:type="paragraph" w:styleId="13">
    <w:name w:val="Body Text"/>
    <w:basedOn w:val="1"/>
    <w:next w:val="14"/>
    <w:link w:val="50"/>
    <w:qFormat/>
    <w:uiPriority w:val="0"/>
    <w:pPr>
      <w:widowControl/>
      <w:snapToGrid w:val="0"/>
      <w:spacing w:before="60" w:after="160" w:line="259" w:lineRule="auto"/>
      <w:ind w:right="113"/>
    </w:pPr>
    <w:rPr>
      <w:kern w:val="0"/>
      <w:sz w:val="18"/>
      <w:szCs w:val="20"/>
    </w:rPr>
  </w:style>
  <w:style w:type="paragraph" w:customStyle="1" w:styleId="14">
    <w:name w:val="xl27"/>
    <w:basedOn w:val="1"/>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kern w:val="0"/>
      <w:szCs w:val="21"/>
    </w:rPr>
  </w:style>
  <w:style w:type="paragraph" w:styleId="15">
    <w:name w:val="Body Text Indent"/>
    <w:basedOn w:val="1"/>
    <w:next w:val="16"/>
    <w:link w:val="51"/>
    <w:qFormat/>
    <w:uiPriority w:val="0"/>
    <w:pPr>
      <w:spacing w:after="120"/>
      <w:ind w:left="420" w:leftChars="200"/>
    </w:pPr>
    <w:rPr>
      <w:kern w:val="0"/>
      <w:sz w:val="24"/>
      <w:szCs w:val="20"/>
    </w:rPr>
  </w:style>
  <w:style w:type="paragraph" w:styleId="16">
    <w:name w:val="header"/>
    <w:basedOn w:val="1"/>
    <w:next w:val="17"/>
    <w:link w:val="52"/>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17">
    <w:name w:val="样式5"/>
    <w:basedOn w:val="9"/>
    <w:qFormat/>
    <w:uiPriority w:val="0"/>
    <w:pPr>
      <w:spacing w:line="380" w:lineRule="exact"/>
      <w:ind w:firstLine="566" w:firstLineChars="202"/>
    </w:pPr>
    <w:rPr>
      <w:rFonts w:eastAsia="华文行楷"/>
      <w:sz w:val="28"/>
    </w:rPr>
  </w:style>
  <w:style w:type="paragraph" w:styleId="18">
    <w:name w:val="Plain Text"/>
    <w:basedOn w:val="1"/>
    <w:qFormat/>
    <w:locked/>
    <w:uiPriority w:val="0"/>
    <w:rPr>
      <w:rFonts w:ascii="宋体" w:hAnsi="Courier New"/>
    </w:rPr>
  </w:style>
  <w:style w:type="paragraph" w:styleId="19">
    <w:name w:val="List Bullet 5"/>
    <w:basedOn w:val="1"/>
    <w:qFormat/>
    <w:locked/>
    <w:uiPriority w:val="0"/>
    <w:pPr>
      <w:numPr>
        <w:ilvl w:val="0"/>
        <w:numId w:val="3"/>
      </w:numPr>
    </w:pPr>
  </w:style>
  <w:style w:type="paragraph" w:styleId="20">
    <w:name w:val="Date"/>
    <w:basedOn w:val="1"/>
    <w:next w:val="1"/>
    <w:link w:val="53"/>
    <w:qFormat/>
    <w:uiPriority w:val="0"/>
    <w:pPr>
      <w:ind w:left="100" w:leftChars="2500"/>
    </w:pPr>
    <w:rPr>
      <w:kern w:val="0"/>
      <w:sz w:val="24"/>
      <w:szCs w:val="20"/>
    </w:rPr>
  </w:style>
  <w:style w:type="paragraph" w:styleId="21">
    <w:name w:val="Body Text Indent 2"/>
    <w:basedOn w:val="1"/>
    <w:next w:val="1"/>
    <w:qFormat/>
    <w:locked/>
    <w:uiPriority w:val="0"/>
    <w:pPr>
      <w:spacing w:after="120" w:line="480" w:lineRule="auto"/>
      <w:ind w:left="420" w:leftChars="200"/>
    </w:pPr>
  </w:style>
  <w:style w:type="paragraph" w:styleId="22">
    <w:name w:val="Balloon Text"/>
    <w:basedOn w:val="1"/>
    <w:link w:val="54"/>
    <w:semiHidden/>
    <w:qFormat/>
    <w:uiPriority w:val="0"/>
    <w:rPr>
      <w:kern w:val="0"/>
      <w:sz w:val="18"/>
      <w:szCs w:val="20"/>
    </w:rPr>
  </w:style>
  <w:style w:type="paragraph" w:styleId="23">
    <w:name w:val="footer"/>
    <w:basedOn w:val="1"/>
    <w:next w:val="1"/>
    <w:link w:val="55"/>
    <w:qFormat/>
    <w:uiPriority w:val="99"/>
    <w:pPr>
      <w:tabs>
        <w:tab w:val="center" w:pos="4153"/>
        <w:tab w:val="right" w:pos="8306"/>
      </w:tabs>
      <w:snapToGrid w:val="0"/>
      <w:jc w:val="left"/>
    </w:pPr>
    <w:rPr>
      <w:kern w:val="0"/>
      <w:sz w:val="18"/>
      <w:szCs w:val="20"/>
    </w:rPr>
  </w:style>
  <w:style w:type="paragraph" w:styleId="24">
    <w:name w:val="Body Text Indent 3"/>
    <w:basedOn w:val="1"/>
    <w:qFormat/>
    <w:locked/>
    <w:uiPriority w:val="0"/>
    <w:pPr>
      <w:ind w:firstLine="705"/>
    </w:pPr>
    <w:rPr>
      <w:rFonts w:eastAsia="仿宋_GB2312"/>
      <w:sz w:val="28"/>
    </w:rPr>
  </w:style>
  <w:style w:type="paragraph" w:styleId="25">
    <w:name w:val="toc 2"/>
    <w:basedOn w:val="1"/>
    <w:next w:val="1"/>
    <w:qFormat/>
    <w:locked/>
    <w:uiPriority w:val="0"/>
    <w:pPr>
      <w:ind w:left="420" w:leftChars="200"/>
    </w:pPr>
  </w:style>
  <w:style w:type="paragraph" w:styleId="26">
    <w:name w:val="Body Text 2"/>
    <w:basedOn w:val="1"/>
    <w:qFormat/>
    <w:locked/>
    <w:uiPriority w:val="0"/>
    <w:rPr>
      <w:sz w:val="32"/>
    </w:rPr>
  </w:style>
  <w:style w:type="paragraph" w:styleId="27">
    <w:name w:val="Normal (Web)"/>
    <w:basedOn w:val="1"/>
    <w:link w:val="56"/>
    <w:qFormat/>
    <w:uiPriority w:val="0"/>
    <w:pPr>
      <w:widowControl/>
      <w:spacing w:before="100" w:beforeAutospacing="1" w:after="100" w:afterAutospacing="1"/>
      <w:jc w:val="left"/>
    </w:pPr>
    <w:rPr>
      <w:rFonts w:ascii="宋体" w:hAnsi="宋体"/>
      <w:kern w:val="0"/>
      <w:sz w:val="24"/>
      <w:szCs w:val="20"/>
    </w:rPr>
  </w:style>
  <w:style w:type="paragraph" w:styleId="28">
    <w:name w:val="annotation subject"/>
    <w:basedOn w:val="12"/>
    <w:next w:val="12"/>
    <w:link w:val="57"/>
    <w:semiHidden/>
    <w:qFormat/>
    <w:uiPriority w:val="0"/>
    <w:rPr>
      <w:b/>
      <w:kern w:val="2"/>
    </w:rPr>
  </w:style>
  <w:style w:type="paragraph" w:styleId="29">
    <w:name w:val="Body Text First Indent"/>
    <w:basedOn w:val="13"/>
    <w:qFormat/>
    <w:locked/>
    <w:uiPriority w:val="0"/>
    <w:pPr>
      <w:ind w:firstLine="420" w:firstLineChars="100"/>
    </w:pPr>
  </w:style>
  <w:style w:type="paragraph" w:styleId="30">
    <w:name w:val="Body Text First Indent 2"/>
    <w:basedOn w:val="15"/>
    <w:qFormat/>
    <w:locked/>
    <w:uiPriority w:val="0"/>
    <w:pPr>
      <w:ind w:firstLine="420" w:firstLineChars="200"/>
    </w:pPr>
  </w:style>
  <w:style w:type="table" w:styleId="32">
    <w:name w:val="Table Grid"/>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qFormat/>
    <w:locked/>
    <w:uiPriority w:val="0"/>
    <w:rPr>
      <w:rFonts w:cs="Times New Roman"/>
      <w:b/>
      <w:bCs/>
    </w:rPr>
  </w:style>
  <w:style w:type="character" w:styleId="35">
    <w:name w:val="page number"/>
    <w:basedOn w:val="33"/>
    <w:qFormat/>
    <w:locked/>
    <w:uiPriority w:val="0"/>
  </w:style>
  <w:style w:type="character" w:styleId="36">
    <w:name w:val="FollowedHyperlink"/>
    <w:basedOn w:val="33"/>
    <w:qFormat/>
    <w:locked/>
    <w:uiPriority w:val="0"/>
    <w:rPr>
      <w:color w:val="337AB7"/>
      <w:u w:val="single"/>
    </w:rPr>
  </w:style>
  <w:style w:type="character" w:styleId="37">
    <w:name w:val="HTML Definition"/>
    <w:basedOn w:val="33"/>
    <w:qFormat/>
    <w:locked/>
    <w:uiPriority w:val="0"/>
    <w:rPr>
      <w:i/>
      <w:iCs/>
    </w:rPr>
  </w:style>
  <w:style w:type="character" w:styleId="38">
    <w:name w:val="Hyperlink"/>
    <w:qFormat/>
    <w:locked/>
    <w:uiPriority w:val="0"/>
    <w:rPr>
      <w:color w:val="0000FF"/>
      <w:u w:val="single"/>
    </w:rPr>
  </w:style>
  <w:style w:type="character" w:styleId="39">
    <w:name w:val="HTML Code"/>
    <w:basedOn w:val="33"/>
    <w:qFormat/>
    <w:locked/>
    <w:uiPriority w:val="0"/>
    <w:rPr>
      <w:rFonts w:hint="default" w:ascii="Consolas" w:hAnsi="Consolas" w:eastAsia="Consolas" w:cs="Consolas"/>
      <w:color w:val="C7254E"/>
      <w:sz w:val="21"/>
      <w:szCs w:val="21"/>
      <w:shd w:val="clear" w:color="auto" w:fill="F9F2F4"/>
    </w:rPr>
  </w:style>
  <w:style w:type="character" w:styleId="40">
    <w:name w:val="annotation reference"/>
    <w:semiHidden/>
    <w:qFormat/>
    <w:uiPriority w:val="0"/>
    <w:rPr>
      <w:sz w:val="21"/>
    </w:rPr>
  </w:style>
  <w:style w:type="character" w:styleId="41">
    <w:name w:val="HTML Keyboard"/>
    <w:basedOn w:val="33"/>
    <w:qFormat/>
    <w:locked/>
    <w:uiPriority w:val="0"/>
    <w:rPr>
      <w:rFonts w:hint="default" w:ascii="Consolas" w:hAnsi="Consolas" w:eastAsia="Consolas" w:cs="Consolas"/>
      <w:color w:val="FFFFFF"/>
      <w:sz w:val="21"/>
      <w:szCs w:val="21"/>
      <w:shd w:val="clear" w:color="auto" w:fill="333333"/>
    </w:rPr>
  </w:style>
  <w:style w:type="character" w:styleId="42">
    <w:name w:val="HTML Sample"/>
    <w:basedOn w:val="33"/>
    <w:qFormat/>
    <w:locked/>
    <w:uiPriority w:val="0"/>
    <w:rPr>
      <w:rFonts w:ascii="Consolas" w:hAnsi="Consolas" w:eastAsia="Consolas" w:cs="Consolas"/>
      <w:sz w:val="21"/>
      <w:szCs w:val="21"/>
    </w:rPr>
  </w:style>
  <w:style w:type="character" w:customStyle="1" w:styleId="43">
    <w:name w:val="标题 3 Char"/>
    <w:link w:val="4"/>
    <w:qFormat/>
    <w:uiPriority w:val="0"/>
    <w:rPr>
      <w:rFonts w:ascii="Times New Roman" w:hAnsi="Times New Roman" w:eastAsia="黑体"/>
      <w:bCs/>
      <w:sz w:val="28"/>
      <w:szCs w:val="32"/>
    </w:rPr>
  </w:style>
  <w:style w:type="paragraph" w:customStyle="1" w:styleId="44">
    <w:name w:val="正文1"/>
    <w:basedOn w:val="1"/>
    <w:qFormat/>
    <w:uiPriority w:val="0"/>
    <w:pPr>
      <w:adjustRightInd w:val="0"/>
      <w:snapToGrid w:val="0"/>
      <w:spacing w:line="500" w:lineRule="atLeast"/>
      <w:ind w:firstLine="567"/>
    </w:pPr>
    <w:rPr>
      <w:sz w:val="28"/>
      <w:szCs w:val="20"/>
    </w:rPr>
  </w:style>
  <w:style w:type="paragraph" w:customStyle="1" w:styleId="45">
    <w:name w:val="Body Text First Indent 21"/>
    <w:basedOn w:val="1"/>
    <w:qFormat/>
    <w:uiPriority w:val="0"/>
    <w:pPr>
      <w:spacing w:before="100" w:beforeAutospacing="1" w:after="100" w:afterAutospacing="1"/>
      <w:ind w:left="200" w:leftChars="200" w:firstLine="420"/>
    </w:pPr>
    <w:rPr>
      <w:rFonts w:ascii="仿宋_GB2312"/>
      <w:szCs w:val="32"/>
    </w:rPr>
  </w:style>
  <w:style w:type="paragraph" w:customStyle="1" w:styleId="46">
    <w:name w:val="样式 正文首行缩进 + 首行缩进:  2 字符1"/>
    <w:basedOn w:val="29"/>
    <w:qFormat/>
    <w:uiPriority w:val="0"/>
    <w:pPr>
      <w:spacing w:after="0" w:line="360" w:lineRule="auto"/>
      <w:ind w:firstLine="480" w:firstLineChars="200"/>
    </w:pPr>
    <w:rPr>
      <w:sz w:val="24"/>
    </w:rPr>
  </w:style>
  <w:style w:type="character" w:customStyle="1" w:styleId="47">
    <w:name w:val="标题 1 Char"/>
    <w:link w:val="2"/>
    <w:qFormat/>
    <w:uiPriority w:val="99"/>
    <w:rPr>
      <w:rFonts w:eastAsia="黑体"/>
      <w:b/>
      <w:bCs/>
      <w:color w:val="000000"/>
      <w:kern w:val="44"/>
      <w:sz w:val="30"/>
      <w:szCs w:val="30"/>
    </w:rPr>
  </w:style>
  <w:style w:type="character" w:customStyle="1" w:styleId="48">
    <w:name w:val="标题 2 Char"/>
    <w:link w:val="3"/>
    <w:qFormat/>
    <w:uiPriority w:val="0"/>
    <w:rPr>
      <w:rFonts w:eastAsia="黑体"/>
      <w:bCs/>
      <w:sz w:val="30"/>
      <w:szCs w:val="30"/>
    </w:rPr>
  </w:style>
  <w:style w:type="character" w:customStyle="1" w:styleId="49">
    <w:name w:val="批注文字 Char"/>
    <w:link w:val="12"/>
    <w:qFormat/>
    <w:locked/>
    <w:uiPriority w:val="0"/>
    <w:rPr>
      <w:rFonts w:ascii="Times New Roman" w:hAnsi="Times New Roman" w:eastAsia="宋体"/>
      <w:sz w:val="24"/>
    </w:rPr>
  </w:style>
  <w:style w:type="character" w:customStyle="1" w:styleId="50">
    <w:name w:val="正文文本 Char"/>
    <w:link w:val="13"/>
    <w:qFormat/>
    <w:locked/>
    <w:uiPriority w:val="0"/>
    <w:rPr>
      <w:sz w:val="18"/>
    </w:rPr>
  </w:style>
  <w:style w:type="character" w:customStyle="1" w:styleId="51">
    <w:name w:val="正文文本缩进 Char"/>
    <w:link w:val="15"/>
    <w:semiHidden/>
    <w:qFormat/>
    <w:locked/>
    <w:uiPriority w:val="0"/>
    <w:rPr>
      <w:rFonts w:ascii="Times New Roman" w:hAnsi="Times New Roman" w:eastAsia="宋体"/>
      <w:sz w:val="24"/>
    </w:rPr>
  </w:style>
  <w:style w:type="character" w:customStyle="1" w:styleId="52">
    <w:name w:val="页眉 Char"/>
    <w:link w:val="16"/>
    <w:qFormat/>
    <w:locked/>
    <w:uiPriority w:val="0"/>
    <w:rPr>
      <w:sz w:val="18"/>
    </w:rPr>
  </w:style>
  <w:style w:type="character" w:customStyle="1" w:styleId="53">
    <w:name w:val="日期 Char"/>
    <w:link w:val="20"/>
    <w:qFormat/>
    <w:locked/>
    <w:uiPriority w:val="0"/>
    <w:rPr>
      <w:rFonts w:ascii="Times New Roman" w:hAnsi="Times New Roman" w:eastAsia="宋体"/>
      <w:sz w:val="24"/>
    </w:rPr>
  </w:style>
  <w:style w:type="character" w:customStyle="1" w:styleId="54">
    <w:name w:val="批注框文本 Char"/>
    <w:link w:val="22"/>
    <w:semiHidden/>
    <w:qFormat/>
    <w:locked/>
    <w:uiPriority w:val="0"/>
    <w:rPr>
      <w:rFonts w:ascii="Times New Roman" w:hAnsi="Times New Roman" w:eastAsia="宋体"/>
      <w:sz w:val="18"/>
    </w:rPr>
  </w:style>
  <w:style w:type="character" w:customStyle="1" w:styleId="55">
    <w:name w:val="页脚 Char"/>
    <w:link w:val="23"/>
    <w:qFormat/>
    <w:locked/>
    <w:uiPriority w:val="99"/>
    <w:rPr>
      <w:sz w:val="18"/>
    </w:rPr>
  </w:style>
  <w:style w:type="character" w:customStyle="1" w:styleId="56">
    <w:name w:val="普通(网站) Char"/>
    <w:link w:val="27"/>
    <w:qFormat/>
    <w:locked/>
    <w:uiPriority w:val="0"/>
    <w:rPr>
      <w:rFonts w:ascii="宋体" w:hAnsi="宋体" w:eastAsia="宋体"/>
      <w:sz w:val="24"/>
    </w:rPr>
  </w:style>
  <w:style w:type="character" w:customStyle="1" w:styleId="57">
    <w:name w:val="批注主题 Char"/>
    <w:link w:val="28"/>
    <w:semiHidden/>
    <w:qFormat/>
    <w:locked/>
    <w:uiPriority w:val="0"/>
    <w:rPr>
      <w:rFonts w:ascii="Times New Roman" w:hAnsi="Times New Roman" w:eastAsia="宋体"/>
      <w:b/>
      <w:kern w:val="2"/>
      <w:sz w:val="24"/>
    </w:rPr>
  </w:style>
  <w:style w:type="paragraph" w:customStyle="1" w:styleId="58">
    <w:name w:val="_Style 4"/>
    <w:next w:val="1"/>
    <w:qFormat/>
    <w:uiPriority w:val="0"/>
    <w:pPr>
      <w:widowControl w:val="0"/>
      <w:jc w:val="both"/>
    </w:pPr>
    <w:rPr>
      <w:rFonts w:ascii="Calibri" w:hAnsi="Calibri" w:eastAsia="仿宋_GB2312" w:cs="Times New Roman"/>
      <w:kern w:val="2"/>
      <w:sz w:val="24"/>
      <w:szCs w:val="22"/>
      <w:lang w:val="en-US" w:eastAsia="zh-CN" w:bidi="ar-SA"/>
    </w:rPr>
  </w:style>
  <w:style w:type="character" w:customStyle="1" w:styleId="59">
    <w:name w:val="font01"/>
    <w:qFormat/>
    <w:uiPriority w:val="0"/>
    <w:rPr>
      <w:rFonts w:hint="default" w:ascii="Times New Roman" w:hAnsi="Times New Roman" w:cs="Times New Roman"/>
      <w:b/>
      <w:color w:val="000000"/>
      <w:sz w:val="18"/>
      <w:szCs w:val="18"/>
      <w:u w:val="none"/>
      <w:vertAlign w:val="superscript"/>
    </w:rPr>
  </w:style>
  <w:style w:type="character" w:customStyle="1" w:styleId="60">
    <w:name w:val="font51"/>
    <w:qFormat/>
    <w:uiPriority w:val="0"/>
    <w:rPr>
      <w:rFonts w:hint="default" w:ascii="Times New Roman" w:hAnsi="Times New Roman" w:cs="Times New Roman"/>
      <w:color w:val="000000"/>
      <w:sz w:val="21"/>
      <w:szCs w:val="21"/>
      <w:u w:val="none"/>
    </w:rPr>
  </w:style>
  <w:style w:type="character" w:customStyle="1" w:styleId="61">
    <w:name w:val="正文文本 (46)_"/>
    <w:link w:val="62"/>
    <w:qFormat/>
    <w:uiPriority w:val="0"/>
    <w:rPr>
      <w:rFonts w:ascii="宋体" w:eastAsia="宋体" w:cs="宋体"/>
      <w:b/>
      <w:bCs/>
      <w:color w:val="auto"/>
      <w:spacing w:val="-10"/>
      <w:sz w:val="22"/>
      <w:szCs w:val="22"/>
      <w:lang w:val="en-US"/>
    </w:rPr>
  </w:style>
  <w:style w:type="paragraph" w:customStyle="1" w:styleId="62">
    <w:name w:val="正文文本 (46)"/>
    <w:basedOn w:val="1"/>
    <w:link w:val="61"/>
    <w:qFormat/>
    <w:uiPriority w:val="0"/>
    <w:pPr>
      <w:shd w:val="clear" w:color="auto" w:fill="FFFFFF"/>
      <w:spacing w:before="240" w:after="120" w:line="240" w:lineRule="atLeast"/>
      <w:jc w:val="distribute"/>
    </w:pPr>
    <w:rPr>
      <w:rFonts w:ascii="宋体"/>
      <w:b/>
      <w:bCs/>
      <w:spacing w:val="-10"/>
      <w:kern w:val="0"/>
      <w:sz w:val="22"/>
      <w:szCs w:val="22"/>
    </w:rPr>
  </w:style>
  <w:style w:type="character" w:customStyle="1" w:styleId="63">
    <w:name w:val="正文文本 (2) + 14 pt"/>
    <w:unhideWhenUsed/>
    <w:qFormat/>
    <w:uiPriority w:val="99"/>
    <w:rPr>
      <w:rFonts w:hint="eastAsia" w:ascii="宋体" w:hAnsi="宋体" w:eastAsia="宋体"/>
      <w:sz w:val="28"/>
      <w:lang w:val="en-US" w:eastAsia="en-US"/>
    </w:rPr>
  </w:style>
  <w:style w:type="character" w:customStyle="1" w:styleId="64">
    <w:name w:val="NormalCharacter"/>
    <w:link w:val="65"/>
    <w:qFormat/>
    <w:uiPriority w:val="0"/>
  </w:style>
  <w:style w:type="paragraph" w:customStyle="1" w:styleId="65">
    <w:name w:val="UserStyle_6"/>
    <w:basedOn w:val="1"/>
    <w:link w:val="64"/>
    <w:qFormat/>
    <w:uiPriority w:val="0"/>
    <w:pPr>
      <w:spacing w:line="360" w:lineRule="auto"/>
      <w:ind w:firstLine="200" w:firstLineChars="200"/>
      <w:textAlignment w:val="baseline"/>
    </w:pPr>
  </w:style>
  <w:style w:type="character" w:customStyle="1" w:styleId="66">
    <w:name w:val="正文文本 (2) + 10.5 pt"/>
    <w:unhideWhenUsed/>
    <w:qFormat/>
    <w:uiPriority w:val="99"/>
    <w:rPr>
      <w:rFonts w:hint="eastAsia" w:ascii="宋体" w:hAnsi="宋体" w:eastAsia="宋体"/>
      <w:spacing w:val="-10"/>
      <w:sz w:val="21"/>
      <w:lang w:val="en-US" w:eastAsia="en-US"/>
    </w:rPr>
  </w:style>
  <w:style w:type="character" w:customStyle="1" w:styleId="67">
    <w:name w:val="正文文本 字符1"/>
    <w:semiHidden/>
    <w:qFormat/>
    <w:uiPriority w:val="0"/>
    <w:rPr>
      <w:rFonts w:ascii="Times New Roman" w:hAnsi="Times New Roman" w:eastAsia="宋体"/>
      <w:sz w:val="24"/>
    </w:rPr>
  </w:style>
  <w:style w:type="character" w:customStyle="1" w:styleId="68">
    <w:name w:val="日期 字符"/>
    <w:semiHidden/>
    <w:qFormat/>
    <w:uiPriority w:val="0"/>
    <w:rPr>
      <w:rFonts w:ascii="Times New Roman" w:hAnsi="Times New Roman" w:eastAsia="宋体"/>
      <w:sz w:val="24"/>
    </w:rPr>
  </w:style>
  <w:style w:type="character" w:customStyle="1" w:styleId="69">
    <w:name w:val="font61"/>
    <w:qFormat/>
    <w:uiPriority w:val="0"/>
    <w:rPr>
      <w:rFonts w:hint="eastAsia" w:ascii="宋体" w:hAnsi="宋体" w:eastAsia="宋体" w:cs="宋体"/>
      <w:color w:val="000000"/>
      <w:sz w:val="21"/>
      <w:szCs w:val="21"/>
      <w:u w:val="none"/>
    </w:rPr>
  </w:style>
  <w:style w:type="character" w:customStyle="1" w:styleId="70">
    <w:name w:val="正文文本 (2)_"/>
    <w:link w:val="71"/>
    <w:unhideWhenUsed/>
    <w:qFormat/>
    <w:uiPriority w:val="99"/>
    <w:rPr>
      <w:rFonts w:hint="eastAsia" w:ascii="宋体" w:hAnsi="宋体" w:eastAsia="宋体"/>
      <w:sz w:val="26"/>
    </w:rPr>
  </w:style>
  <w:style w:type="paragraph" w:customStyle="1" w:styleId="71">
    <w:name w:val="正文文本 (2)"/>
    <w:basedOn w:val="1"/>
    <w:link w:val="70"/>
    <w:unhideWhenUsed/>
    <w:qFormat/>
    <w:uiPriority w:val="99"/>
    <w:pPr>
      <w:shd w:val="clear" w:color="auto" w:fill="FFFFFF"/>
      <w:spacing w:after="60" w:line="773" w:lineRule="exact"/>
    </w:pPr>
    <w:rPr>
      <w:rFonts w:hint="eastAsia" w:ascii="宋体" w:hAnsi="宋体"/>
      <w:kern w:val="0"/>
      <w:sz w:val="26"/>
      <w:szCs w:val="20"/>
    </w:rPr>
  </w:style>
  <w:style w:type="character" w:customStyle="1" w:styleId="72">
    <w:name w:val="fontstyle01"/>
    <w:qFormat/>
    <w:uiPriority w:val="0"/>
    <w:rPr>
      <w:rFonts w:hint="eastAsia" w:ascii="宋体" w:hAnsi="宋体" w:eastAsia="宋体"/>
      <w:color w:val="000000"/>
      <w:sz w:val="24"/>
      <w:szCs w:val="24"/>
    </w:rPr>
  </w:style>
  <w:style w:type="character" w:customStyle="1" w:styleId="73">
    <w:name w:val="批注文字 字符1"/>
    <w:semiHidden/>
    <w:qFormat/>
    <w:uiPriority w:val="0"/>
    <w:rPr>
      <w:rFonts w:ascii="Times New Roman" w:hAnsi="Times New Roman" w:eastAsia="宋体"/>
      <w:sz w:val="24"/>
    </w:rPr>
  </w:style>
  <w:style w:type="character" w:customStyle="1" w:styleId="74">
    <w:name w:val="4正文 Char Char"/>
    <w:link w:val="75"/>
    <w:qFormat/>
    <w:uiPriority w:val="0"/>
    <w:rPr>
      <w:kern w:val="2"/>
      <w:szCs w:val="22"/>
    </w:rPr>
  </w:style>
  <w:style w:type="paragraph" w:customStyle="1" w:styleId="75">
    <w:name w:val="4正文"/>
    <w:basedOn w:val="1"/>
    <w:link w:val="74"/>
    <w:qFormat/>
    <w:uiPriority w:val="0"/>
    <w:rPr>
      <w:sz w:val="20"/>
      <w:szCs w:val="22"/>
    </w:rPr>
  </w:style>
  <w:style w:type="character" w:customStyle="1" w:styleId="76">
    <w:name w:val="表格 Char"/>
    <w:link w:val="77"/>
    <w:qFormat/>
    <w:locked/>
    <w:uiPriority w:val="0"/>
    <w:rPr>
      <w:rFonts w:ascii="宋体"/>
      <w:sz w:val="21"/>
    </w:rPr>
  </w:style>
  <w:style w:type="paragraph" w:customStyle="1" w:styleId="77">
    <w:name w:val="表格"/>
    <w:basedOn w:val="1"/>
    <w:next w:val="1"/>
    <w:link w:val="76"/>
    <w:qFormat/>
    <w:uiPriority w:val="0"/>
    <w:pPr>
      <w:adjustRightInd w:val="0"/>
      <w:snapToGrid w:val="0"/>
      <w:spacing w:beforeLines="10" w:afterLines="10" w:line="259" w:lineRule="auto"/>
      <w:jc w:val="center"/>
    </w:pPr>
    <w:rPr>
      <w:rFonts w:ascii="宋体"/>
      <w:kern w:val="0"/>
      <w:szCs w:val="20"/>
    </w:rPr>
  </w:style>
  <w:style w:type="character" w:customStyle="1" w:styleId="78">
    <w:name w:val="页脚 字符"/>
    <w:basedOn w:val="33"/>
    <w:qFormat/>
    <w:uiPriority w:val="99"/>
  </w:style>
  <w:style w:type="character" w:customStyle="1" w:styleId="79">
    <w:name w:val="font11"/>
    <w:qFormat/>
    <w:uiPriority w:val="0"/>
    <w:rPr>
      <w:rFonts w:ascii="Calibri" w:hAnsi="Calibri" w:cs="Calibri"/>
      <w:color w:val="000000"/>
      <w:sz w:val="21"/>
      <w:szCs w:val="21"/>
      <w:u w:val="none"/>
    </w:rPr>
  </w:style>
  <w:style w:type="character" w:customStyle="1" w:styleId="80">
    <w:name w:val="font41"/>
    <w:qFormat/>
    <w:uiPriority w:val="0"/>
    <w:rPr>
      <w:rFonts w:hint="default" w:ascii="Times New Roman" w:hAnsi="Times New Roman" w:cs="Times New Roman"/>
      <w:color w:val="000000"/>
      <w:sz w:val="21"/>
      <w:szCs w:val="21"/>
      <w:u w:val="none"/>
    </w:rPr>
  </w:style>
  <w:style w:type="character" w:customStyle="1" w:styleId="81">
    <w:name w:val="font21"/>
    <w:qFormat/>
    <w:uiPriority w:val="0"/>
    <w:rPr>
      <w:rFonts w:hint="default" w:ascii="Times New Roman" w:hAnsi="Times New Roman" w:cs="Times New Roman"/>
      <w:color w:val="000000"/>
      <w:sz w:val="21"/>
      <w:szCs w:val="21"/>
      <w:u w:val="none"/>
      <w:vertAlign w:val="subscript"/>
    </w:rPr>
  </w:style>
  <w:style w:type="paragraph" w:customStyle="1" w:styleId="82">
    <w:name w:val="Default"/>
    <w:basedOn w:val="83"/>
    <w:next w:val="18"/>
    <w:qFormat/>
    <w:uiPriority w:val="0"/>
    <w:pPr>
      <w:autoSpaceDE w:val="0"/>
      <w:autoSpaceDN w:val="0"/>
      <w:adjustRightInd w:val="0"/>
    </w:pPr>
    <w:rPr>
      <w:color w:val="000000"/>
      <w:sz w:val="24"/>
    </w:rPr>
  </w:style>
  <w:style w:type="paragraph" w:customStyle="1" w:styleId="83">
    <w:name w:val="纯文本1"/>
    <w:basedOn w:val="1"/>
    <w:next w:val="1"/>
    <w:qFormat/>
    <w:uiPriority w:val="99"/>
    <w:rPr>
      <w:rFonts w:ascii="宋体" w:hAnsi="Courier New" w:cs="宋体"/>
    </w:rPr>
  </w:style>
  <w:style w:type="paragraph" w:customStyle="1" w:styleId="8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85">
    <w:name w:val="1正文，首行缩进"/>
    <w:basedOn w:val="1"/>
    <w:qFormat/>
    <w:uiPriority w:val="0"/>
    <w:pPr>
      <w:topLinePunct/>
      <w:adjustRightInd w:val="0"/>
      <w:snapToGrid w:val="0"/>
      <w:spacing w:line="360" w:lineRule="auto"/>
      <w:ind w:firstLine="200" w:firstLineChars="200"/>
    </w:pPr>
    <w:rPr>
      <w:snapToGrid w:val="0"/>
      <w:color w:val="000000"/>
      <w:kern w:val="0"/>
      <w:sz w:val="24"/>
      <w:szCs w:val="20"/>
      <w:lang w:val="zh-CN"/>
    </w:rPr>
  </w:style>
  <w:style w:type="paragraph" w:customStyle="1" w:styleId="86">
    <w:name w:val="表内文字"/>
    <w:basedOn w:val="13"/>
    <w:next w:val="1"/>
    <w:qFormat/>
    <w:uiPriority w:val="99"/>
    <w:pPr>
      <w:widowControl w:val="0"/>
      <w:snapToGrid/>
      <w:spacing w:before="0" w:after="120" w:line="240" w:lineRule="auto"/>
      <w:ind w:right="0"/>
      <w:jc w:val="center"/>
    </w:pPr>
    <w:rPr>
      <w:rFonts w:ascii="Calibri" w:hAnsi="Calibri"/>
      <w:color w:val="000000"/>
      <w:sz w:val="21"/>
    </w:rPr>
  </w:style>
  <w:style w:type="paragraph" w:customStyle="1" w:styleId="87">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8">
    <w:name w:val="表格正文"/>
    <w:basedOn w:val="1"/>
    <w:qFormat/>
    <w:uiPriority w:val="0"/>
    <w:pPr>
      <w:adjustRightInd w:val="0"/>
      <w:snapToGrid w:val="0"/>
      <w:jc w:val="center"/>
    </w:pPr>
    <w:rPr>
      <w:rFonts w:eastAsia="仿宋"/>
      <w:kern w:val="0"/>
      <w:szCs w:val="20"/>
    </w:rPr>
  </w:style>
  <w:style w:type="paragraph" w:customStyle="1" w:styleId="89">
    <w:name w:val="BodyText"/>
    <w:basedOn w:val="1"/>
    <w:qFormat/>
    <w:uiPriority w:val="0"/>
    <w:pPr>
      <w:widowControl/>
      <w:snapToGrid w:val="0"/>
      <w:spacing w:before="60" w:after="160" w:line="259" w:lineRule="auto"/>
      <w:ind w:right="113"/>
      <w:textAlignment w:val="baseline"/>
    </w:pPr>
    <w:rPr>
      <w:kern w:val="0"/>
      <w:sz w:val="18"/>
      <w:szCs w:val="20"/>
    </w:rPr>
  </w:style>
  <w:style w:type="paragraph" w:customStyle="1" w:styleId="90">
    <w:name w:val="我正文"/>
    <w:basedOn w:val="1"/>
    <w:qFormat/>
    <w:uiPriority w:val="0"/>
    <w:pPr>
      <w:spacing w:line="360" w:lineRule="auto"/>
      <w:ind w:firstLine="480" w:firstLineChars="200"/>
    </w:pPr>
    <w:rPr>
      <w:sz w:val="24"/>
      <w:szCs w:val="20"/>
    </w:rPr>
  </w:style>
  <w:style w:type="paragraph" w:customStyle="1" w:styleId="91">
    <w:name w:val="正文(首行缩进)"/>
    <w:basedOn w:val="1"/>
    <w:qFormat/>
    <w:uiPriority w:val="0"/>
    <w:pPr>
      <w:snapToGrid w:val="0"/>
      <w:spacing w:line="360" w:lineRule="auto"/>
      <w:ind w:firstLine="510"/>
    </w:pPr>
    <w:rPr>
      <w:rFonts w:hAnsi="宋体" w:cs="宋体"/>
      <w:kern w:val="0"/>
      <w:sz w:val="24"/>
    </w:rPr>
  </w:style>
  <w:style w:type="paragraph" w:customStyle="1" w:styleId="92">
    <w:name w:val="UserStyle_25"/>
    <w:basedOn w:val="1"/>
    <w:qFormat/>
    <w:uiPriority w:val="0"/>
    <w:pPr>
      <w:snapToGrid w:val="0"/>
      <w:ind w:firstLine="480"/>
      <w:textAlignment w:val="baseline"/>
    </w:pPr>
    <w:rPr>
      <w:kern w:val="0"/>
      <w:szCs w:val="20"/>
    </w:rPr>
  </w:style>
  <w:style w:type="paragraph" w:customStyle="1" w:styleId="93">
    <w:name w:val="cucd-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94">
    <w:name w:val="正文01"/>
    <w:basedOn w:val="1"/>
    <w:qFormat/>
    <w:uiPriority w:val="0"/>
    <w:pPr>
      <w:spacing w:before="60" w:line="460" w:lineRule="exact"/>
      <w:ind w:firstLine="200" w:firstLineChars="200"/>
    </w:pPr>
    <w:rPr>
      <w:sz w:val="24"/>
    </w:rPr>
  </w:style>
  <w:style w:type="paragraph" w:customStyle="1" w:styleId="95">
    <w:name w:val="6-表中文字"/>
    <w:basedOn w:val="1"/>
    <w:qFormat/>
    <w:uiPriority w:val="0"/>
    <w:pPr>
      <w:adjustRightInd w:val="0"/>
      <w:snapToGrid w:val="0"/>
      <w:jc w:val="center"/>
      <w:textAlignment w:val="center"/>
    </w:pPr>
    <w:rPr>
      <w:szCs w:val="21"/>
    </w:rPr>
  </w:style>
  <w:style w:type="paragraph" w:customStyle="1" w:styleId="96">
    <w:name w:val="图名"/>
    <w:basedOn w:val="1"/>
    <w:qFormat/>
    <w:uiPriority w:val="0"/>
    <w:pPr>
      <w:spacing w:line="360" w:lineRule="auto"/>
      <w:jc w:val="center"/>
    </w:pPr>
    <w:rPr>
      <w:szCs w:val="21"/>
    </w:rPr>
  </w:style>
  <w:style w:type="paragraph" w:customStyle="1" w:styleId="97">
    <w:name w:val="报告书-正文"/>
    <w:qFormat/>
    <w:uiPriority w:val="0"/>
    <w:pPr>
      <w:spacing w:line="360" w:lineRule="auto"/>
      <w:ind w:firstLine="200" w:firstLineChars="200"/>
      <w:jc w:val="both"/>
    </w:pPr>
    <w:rPr>
      <w:rFonts w:ascii="Times New Roman" w:hAnsi="Times New Roman" w:eastAsia="宋体" w:cs="Times New Roman"/>
      <w:bCs/>
      <w:kern w:val="2"/>
      <w:sz w:val="24"/>
      <w:szCs w:val="32"/>
      <w:shd w:val="pct10" w:color="auto" w:fill="FFFFFF"/>
      <w:lang w:val="en-US" w:eastAsia="zh-CN" w:bidi="ar-SA"/>
    </w:rPr>
  </w:style>
  <w:style w:type="paragraph" w:customStyle="1" w:styleId="98">
    <w:name w:val="单学凯表格新"/>
    <w:basedOn w:val="1"/>
    <w:qFormat/>
    <w:uiPriority w:val="0"/>
    <w:pPr>
      <w:tabs>
        <w:tab w:val="left" w:pos="360"/>
      </w:tabs>
      <w:adjustRightInd w:val="0"/>
      <w:snapToGrid w:val="0"/>
      <w:ind w:left="-37" w:leftChars="-24" w:hanging="13" w:hangingChars="6"/>
      <w:jc w:val="center"/>
      <w:outlineLvl w:val="2"/>
    </w:pPr>
    <w:rPr>
      <w:rFonts w:eastAsia="仿宋_GB2312"/>
      <w:kern w:val="0"/>
      <w:szCs w:val="21"/>
    </w:rPr>
  </w:style>
  <w:style w:type="paragraph" w:customStyle="1" w:styleId="99">
    <w:name w:val="表格内字体"/>
    <w:next w:val="1"/>
    <w:qFormat/>
    <w:uiPriority w:val="0"/>
    <w:pPr>
      <w:adjustRightInd w:val="0"/>
      <w:snapToGrid w:val="0"/>
      <w:jc w:val="center"/>
    </w:pPr>
    <w:rPr>
      <w:rFonts w:ascii="Calibri" w:hAnsi="Calibri" w:eastAsia="仿宋_GB2312" w:cs="Times New Roman"/>
      <w:snapToGrid w:val="0"/>
      <w:kern w:val="21"/>
      <w:sz w:val="21"/>
      <w:szCs w:val="21"/>
      <w:lang w:val="en-US" w:eastAsia="zh-CN" w:bidi="ar-SA"/>
    </w:rPr>
  </w:style>
  <w:style w:type="paragraph" w:customStyle="1" w:styleId="100">
    <w:name w:val="Char Char Char Char Char Char Char Char Char Char Char Char Char Char Char Char Char Char Char"/>
    <w:basedOn w:val="1"/>
    <w:qFormat/>
    <w:uiPriority w:val="0"/>
  </w:style>
  <w:style w:type="paragraph" w:customStyle="1" w:styleId="101">
    <w:name w:val="表内格式-报告表"/>
    <w:basedOn w:val="1"/>
    <w:qFormat/>
    <w:uiPriority w:val="0"/>
    <w:pPr>
      <w:widowControl/>
      <w:adjustRightInd w:val="0"/>
      <w:snapToGrid w:val="0"/>
      <w:jc w:val="center"/>
    </w:pPr>
    <w:rPr>
      <w:rFonts w:eastAsia="仿宋"/>
      <w:color w:val="000000"/>
      <w:kern w:val="0"/>
      <w:szCs w:val="21"/>
      <w:lang w:val="zh-CN"/>
    </w:rPr>
  </w:style>
  <w:style w:type="paragraph" w:customStyle="1" w:styleId="102">
    <w:name w:val="Table Paragraph"/>
    <w:basedOn w:val="1"/>
    <w:qFormat/>
    <w:uiPriority w:val="1"/>
    <w:pPr>
      <w:autoSpaceDE w:val="0"/>
      <w:autoSpaceDN w:val="0"/>
      <w:adjustRightInd w:val="0"/>
      <w:jc w:val="center"/>
    </w:pPr>
    <w:rPr>
      <w:kern w:val="0"/>
      <w:sz w:val="24"/>
    </w:rPr>
  </w:style>
  <w:style w:type="paragraph" w:customStyle="1" w:styleId="103">
    <w:name w:val="正文 首行缩进:  2 字符 SL CON"/>
    <w:basedOn w:val="1"/>
    <w:qFormat/>
    <w:uiPriority w:val="0"/>
    <w:pPr>
      <w:widowControl/>
      <w:tabs>
        <w:tab w:val="left" w:pos="377"/>
      </w:tabs>
      <w:spacing w:line="360" w:lineRule="auto"/>
      <w:ind w:firstLine="200" w:firstLineChars="200"/>
      <w:jc w:val="left"/>
    </w:pPr>
    <w:rPr>
      <w:rFonts w:ascii="宋体" w:cs="宋体"/>
      <w:kern w:val="0"/>
      <w:sz w:val="24"/>
    </w:rPr>
  </w:style>
  <w:style w:type="paragraph" w:customStyle="1" w:styleId="104">
    <w:name w:val="正文 缩进"/>
    <w:basedOn w:val="1"/>
    <w:qFormat/>
    <w:uiPriority w:val="0"/>
    <w:pPr>
      <w:spacing w:line="360" w:lineRule="auto"/>
      <w:ind w:firstLine="480" w:firstLineChars="200"/>
    </w:pPr>
    <w:rPr>
      <w:kern w:val="0"/>
      <w:sz w:val="24"/>
      <w:szCs w:val="20"/>
    </w:rPr>
  </w:style>
  <w:style w:type="paragraph" w:customStyle="1" w:styleId="105">
    <w:name w:val="toc 65"/>
    <w:next w:val="1"/>
    <w:qFormat/>
    <w:uiPriority w:val="0"/>
    <w:pPr>
      <w:wordWrap w:val="0"/>
      <w:ind w:left="2125"/>
      <w:jc w:val="both"/>
    </w:pPr>
    <w:rPr>
      <w:rFonts w:ascii="Times New Roman" w:hAnsi="Times New Roman" w:eastAsia="宋体" w:cs="Times New Roman"/>
      <w:sz w:val="21"/>
      <w:szCs w:val="22"/>
      <w:lang w:val="en-US" w:eastAsia="zh-CN" w:bidi="ar-SA"/>
    </w:rPr>
  </w:style>
  <w:style w:type="paragraph" w:customStyle="1" w:styleId="106">
    <w:name w:val="表标题-报告书"/>
    <w:basedOn w:val="8"/>
    <w:qFormat/>
    <w:uiPriority w:val="0"/>
    <w:pPr>
      <w:spacing w:before="50" w:beforeLines="50"/>
      <w:jc w:val="center"/>
    </w:pPr>
    <w:rPr>
      <w:b/>
      <w:bCs/>
      <w:szCs w:val="32"/>
      <w:shd w:val="pct10" w:color="auto" w:fill="FFFFFF"/>
    </w:rPr>
  </w:style>
  <w:style w:type="paragraph" w:customStyle="1" w:styleId="107">
    <w:name w:val="报告表标题4"/>
    <w:basedOn w:val="5"/>
    <w:qFormat/>
    <w:uiPriority w:val="0"/>
    <w:pPr>
      <w:spacing w:before="0" w:after="0" w:line="360" w:lineRule="auto"/>
      <w:ind w:left="0" w:firstLine="0"/>
      <w:outlineLvl w:val="2"/>
    </w:pPr>
    <w:rPr>
      <w:rFonts w:eastAsia="Cambria"/>
      <w:sz w:val="24"/>
      <w:szCs w:val="30"/>
    </w:rPr>
  </w:style>
  <w:style w:type="paragraph" w:customStyle="1" w:styleId="108">
    <w:name w:val="表格样式"/>
    <w:basedOn w:val="1"/>
    <w:qFormat/>
    <w:uiPriority w:val="0"/>
    <w:pPr>
      <w:spacing w:line="360" w:lineRule="auto"/>
    </w:pPr>
    <w:rPr>
      <w:rFonts w:ascii="黑体" w:eastAsia="黑体"/>
      <w:szCs w:val="20"/>
    </w:rPr>
  </w:style>
  <w:style w:type="paragraph" w:customStyle="1" w:styleId="109">
    <w:name w:val="样式 小四"/>
    <w:basedOn w:val="1"/>
    <w:qFormat/>
    <w:uiPriority w:val="0"/>
    <w:pPr>
      <w:spacing w:before="50" w:beforeLines="50" w:line="288" w:lineRule="auto"/>
      <w:ind w:firstLine="100" w:firstLineChars="100"/>
    </w:pPr>
    <w:rPr>
      <w:rFonts w:cs="宋体"/>
      <w:sz w:val="24"/>
      <w:szCs w:val="20"/>
    </w:rPr>
  </w:style>
  <w:style w:type="paragraph" w:customStyle="1" w:styleId="110">
    <w:name w:val="书正文"/>
    <w:basedOn w:val="1"/>
    <w:qFormat/>
    <w:uiPriority w:val="0"/>
    <w:pPr>
      <w:spacing w:line="500" w:lineRule="exact"/>
      <w:ind w:firstLine="640" w:firstLineChars="200"/>
    </w:pPr>
  </w:style>
  <w:style w:type="paragraph" w:customStyle="1" w:styleId="111">
    <w:name w:val="666"/>
    <w:basedOn w:val="95"/>
    <w:qFormat/>
    <w:uiPriority w:val="0"/>
  </w:style>
  <w:style w:type="paragraph" w:customStyle="1" w:styleId="112">
    <w:name w:val="BodyText1I"/>
    <w:basedOn w:val="89"/>
    <w:qFormat/>
    <w:uiPriority w:val="0"/>
    <w:pPr>
      <w:ind w:firstLine="420" w:firstLineChars="100"/>
    </w:pPr>
  </w:style>
  <w:style w:type="paragraph" w:customStyle="1" w:styleId="113">
    <w:name w:val="表格内文字"/>
    <w:basedOn w:val="1"/>
    <w:qFormat/>
    <w:uiPriority w:val="0"/>
    <w:pPr>
      <w:widowControl/>
      <w:jc w:val="center"/>
    </w:pPr>
    <w:rPr>
      <w:szCs w:val="21"/>
    </w:rPr>
  </w:style>
  <w:style w:type="paragraph" w:customStyle="1" w:styleId="114">
    <w:name w:val="表格文字"/>
    <w:basedOn w:val="1"/>
    <w:qFormat/>
    <w:uiPriority w:val="0"/>
    <w:pPr>
      <w:tabs>
        <w:tab w:val="left" w:pos="522"/>
        <w:tab w:val="left" w:pos="628"/>
        <w:tab w:val="left" w:pos="681"/>
        <w:tab w:val="left" w:pos="1200"/>
        <w:tab w:val="left" w:pos="1558"/>
        <w:tab w:val="left" w:pos="1884"/>
        <w:tab w:val="left" w:pos="1985"/>
      </w:tabs>
      <w:adjustRightInd w:val="0"/>
      <w:snapToGrid w:val="0"/>
      <w:spacing w:line="240" w:lineRule="exact"/>
      <w:ind w:left="-109" w:right="-84"/>
      <w:jc w:val="center"/>
    </w:pPr>
    <w:rPr>
      <w:rFonts w:ascii="宋体" w:hAnsi="宋体"/>
      <w:b/>
      <w:bCs/>
      <w:snapToGrid w:val="0"/>
      <w:kern w:val="0"/>
      <w:sz w:val="18"/>
      <w:szCs w:val="18"/>
    </w:rPr>
  </w:style>
  <w:style w:type="paragraph" w:customStyle="1" w:styleId="115">
    <w:name w:val="列表段落1"/>
    <w:basedOn w:val="1"/>
    <w:qFormat/>
    <w:uiPriority w:val="34"/>
    <w:pPr>
      <w:ind w:firstLine="420" w:firstLineChars="200"/>
    </w:pPr>
    <w:rPr>
      <w:szCs w:val="21"/>
    </w:rPr>
  </w:style>
  <w:style w:type="paragraph" w:customStyle="1" w:styleId="116">
    <w:name w:val="我的表内文字"/>
    <w:basedOn w:val="1"/>
    <w:qFormat/>
    <w:uiPriority w:val="0"/>
    <w:pPr>
      <w:jc w:val="center"/>
    </w:pPr>
    <w:rPr>
      <w:kern w:val="0"/>
      <w:szCs w:val="20"/>
    </w:rPr>
  </w:style>
  <w:style w:type="paragraph" w:customStyle="1" w:styleId="117">
    <w:name w:val="表内文"/>
    <w:basedOn w:val="1"/>
    <w:qFormat/>
    <w:uiPriority w:val="0"/>
    <w:pPr>
      <w:spacing w:line="320" w:lineRule="atLeast"/>
      <w:jc w:val="center"/>
    </w:pPr>
    <w:rPr>
      <w:szCs w:val="20"/>
    </w:rPr>
  </w:style>
  <w:style w:type="paragraph" w:customStyle="1" w:styleId="118">
    <w:name w:val="表格文字-报告书"/>
    <w:qFormat/>
    <w:uiPriority w:val="0"/>
    <w:pPr>
      <w:jc w:val="center"/>
    </w:pPr>
    <w:rPr>
      <w:rFonts w:ascii="Times New Roman" w:hAnsi="Times New Roman" w:eastAsia="宋体" w:cs="Times New Roman"/>
      <w:kern w:val="2"/>
      <w:sz w:val="21"/>
      <w:szCs w:val="24"/>
      <w:lang w:val="en-US" w:eastAsia="zh-CN" w:bidi="ar-SA"/>
    </w:rPr>
  </w:style>
  <w:style w:type="paragraph" w:customStyle="1" w:styleId="119">
    <w:name w:val="Heading1"/>
    <w:basedOn w:val="1"/>
    <w:next w:val="1"/>
    <w:qFormat/>
    <w:uiPriority w:val="0"/>
    <w:pPr>
      <w:keepNext/>
      <w:snapToGrid w:val="0"/>
      <w:spacing w:before="120" w:after="160" w:line="259" w:lineRule="auto"/>
      <w:ind w:left="432" w:hanging="432"/>
      <w:textAlignment w:val="baseline"/>
    </w:pPr>
    <w:rPr>
      <w:rFonts w:eastAsia="黑体"/>
      <w:b/>
      <w:bCs/>
      <w:color w:val="000000"/>
      <w:kern w:val="44"/>
      <w:sz w:val="30"/>
      <w:szCs w:val="30"/>
    </w:rPr>
  </w:style>
  <w:style w:type="paragraph" w:customStyle="1" w:styleId="120">
    <w:name w:val="表内字体"/>
    <w:basedOn w:val="1"/>
    <w:qFormat/>
    <w:uiPriority w:val="0"/>
    <w:pPr>
      <w:tabs>
        <w:tab w:val="left" w:pos="0"/>
      </w:tabs>
      <w:snapToGrid w:val="0"/>
      <w:spacing w:beforeLines="10"/>
      <w:jc w:val="center"/>
    </w:pPr>
    <w:rPr>
      <w:rFonts w:ascii="宋体" w:hAnsi="宋体"/>
      <w:kern w:val="0"/>
      <w:sz w:val="18"/>
      <w:szCs w:val="20"/>
    </w:rPr>
  </w:style>
  <w:style w:type="paragraph" w:customStyle="1" w:styleId="121">
    <w:name w:val="样式 样式 小四 + 首行缩进:  1 字符 段前: 0.5 行"/>
    <w:basedOn w:val="109"/>
    <w:qFormat/>
    <w:uiPriority w:val="0"/>
    <w:pPr>
      <w:ind w:firstLine="200" w:firstLineChars="200"/>
    </w:pPr>
  </w:style>
  <w:style w:type="paragraph" w:customStyle="1" w:styleId="122">
    <w:name w:val="表标题格式"/>
    <w:qFormat/>
    <w:uiPriority w:val="0"/>
    <w:pPr>
      <w:jc w:val="center"/>
    </w:pPr>
    <w:rPr>
      <w:rFonts w:ascii="Times New Roman" w:hAnsi="Times New Roman" w:eastAsia="宋体" w:cs="Times New Roman"/>
      <w:b/>
      <w:kern w:val="2"/>
      <w:sz w:val="24"/>
      <w:szCs w:val="21"/>
      <w:lang w:val="en-US" w:eastAsia="zh-CN" w:bidi="ar-SA"/>
    </w:rPr>
  </w:style>
  <w:style w:type="paragraph" w:customStyle="1" w:styleId="123">
    <w:name w:val="正"/>
    <w:basedOn w:val="1"/>
    <w:qFormat/>
    <w:uiPriority w:val="0"/>
    <w:pPr>
      <w:tabs>
        <w:tab w:val="left" w:pos="-120"/>
      </w:tabs>
      <w:spacing w:line="560" w:lineRule="exact"/>
      <w:ind w:firstLine="600"/>
      <w:textAlignment w:val="baseline"/>
    </w:pPr>
    <w:rPr>
      <w:rFonts w:ascii="仿宋_GB2312" w:eastAsia="仿宋_GB2312"/>
      <w:color w:val="000000"/>
      <w:spacing w:val="20"/>
      <w:szCs w:val="28"/>
    </w:rPr>
  </w:style>
  <w:style w:type="paragraph" w:customStyle="1" w:styleId="124">
    <w:name w:val="表格内"/>
    <w:next w:val="1"/>
    <w:qFormat/>
    <w:uiPriority w:val="0"/>
    <w:pPr>
      <w:jc w:val="center"/>
    </w:pPr>
    <w:rPr>
      <w:rFonts w:ascii="Calibri" w:hAnsi="Calibri" w:eastAsia="宋体" w:cs="Times New Roman"/>
      <w:kern w:val="2"/>
      <w:sz w:val="21"/>
      <w:szCs w:val="21"/>
      <w:lang w:val="en-US" w:eastAsia="zh-CN" w:bidi="ar-SA"/>
    </w:rPr>
  </w:style>
  <w:style w:type="paragraph" w:customStyle="1" w:styleId="125">
    <w:name w:val="0正文"/>
    <w:basedOn w:val="15"/>
    <w:unhideWhenUsed/>
    <w:qFormat/>
    <w:uiPriority w:val="0"/>
    <w:pPr>
      <w:spacing w:line="360" w:lineRule="auto"/>
      <w:ind w:firstLine="720" w:firstLineChars="200"/>
    </w:pPr>
    <w:rPr>
      <w:szCs w:val="22"/>
    </w:rPr>
  </w:style>
  <w:style w:type="paragraph" w:customStyle="1" w:styleId="126">
    <w:name w:val="正文标题加粗"/>
    <w:basedOn w:val="1"/>
    <w:next w:val="1"/>
    <w:qFormat/>
    <w:uiPriority w:val="0"/>
    <w:pPr>
      <w:spacing w:line="360" w:lineRule="auto"/>
      <w:ind w:firstLine="720" w:firstLineChars="200"/>
    </w:pPr>
    <w:rPr>
      <w:b/>
      <w:bCs/>
    </w:rPr>
  </w:style>
  <w:style w:type="paragraph" w:customStyle="1" w:styleId="127">
    <w:name w:val="空格7"/>
    <w:basedOn w:val="1"/>
    <w:qFormat/>
    <w:uiPriority w:val="0"/>
    <w:pPr>
      <w:spacing w:line="0" w:lineRule="atLeast"/>
      <w:jc w:val="left"/>
    </w:pPr>
    <w:rPr>
      <w:rFonts w:cs="宋体"/>
    </w:rPr>
  </w:style>
  <w:style w:type="paragraph" w:customStyle="1" w:styleId="128">
    <w:name w:val="列出段落2"/>
    <w:basedOn w:val="1"/>
    <w:qFormat/>
    <w:uiPriority w:val="34"/>
    <w:pPr>
      <w:adjustRightInd w:val="0"/>
      <w:spacing w:before="120" w:line="312" w:lineRule="atLeast"/>
      <w:ind w:firstLine="420" w:firstLineChars="200"/>
      <w:textAlignment w:val="baseline"/>
    </w:pPr>
    <w:rPr>
      <w:kern w:val="0"/>
      <w:sz w:val="28"/>
      <w:szCs w:val="20"/>
    </w:rPr>
  </w:style>
  <w:style w:type="paragraph" w:customStyle="1" w:styleId="129">
    <w:name w:val="列出段落1"/>
    <w:basedOn w:val="1"/>
    <w:qFormat/>
    <w:uiPriority w:val="0"/>
    <w:pPr>
      <w:adjustRightInd w:val="0"/>
      <w:spacing w:before="120" w:line="312" w:lineRule="atLeast"/>
      <w:ind w:firstLine="420" w:firstLineChars="200"/>
      <w:textAlignment w:val="baseline"/>
    </w:pPr>
    <w:rPr>
      <w:kern w:val="0"/>
      <w:sz w:val="28"/>
      <w:szCs w:val="20"/>
    </w:rPr>
  </w:style>
  <w:style w:type="paragraph" w:customStyle="1" w:styleId="130">
    <w:name w:val="环正文"/>
    <w:basedOn w:val="1"/>
    <w:qFormat/>
    <w:uiPriority w:val="0"/>
    <w:pPr>
      <w:widowControl/>
      <w:tabs>
        <w:tab w:val="left" w:pos="5094"/>
      </w:tabs>
      <w:adjustRightInd w:val="0"/>
      <w:spacing w:line="360" w:lineRule="auto"/>
      <w:textAlignment w:val="baseline"/>
    </w:pPr>
    <w:rPr>
      <w:rFonts w:eastAsia="仿宋_GB2312"/>
      <w:b/>
      <w:color w:val="000000"/>
      <w:kern w:val="24"/>
    </w:rPr>
  </w:style>
  <w:style w:type="paragraph" w:customStyle="1" w:styleId="131">
    <w:name w:val="图表标题"/>
    <w:qFormat/>
    <w:uiPriority w:val="0"/>
    <w:pPr>
      <w:jc w:val="center"/>
    </w:pPr>
    <w:rPr>
      <w:rFonts w:ascii="Times New Roman" w:hAnsi="Times New Roman" w:eastAsia="宋体" w:cs="Times New Roman"/>
      <w:b/>
      <w:snapToGrid w:val="0"/>
      <w:sz w:val="24"/>
      <w:szCs w:val="24"/>
      <w:lang w:val="en-US" w:eastAsia="zh-CN" w:bidi="ar-SA"/>
    </w:rPr>
  </w:style>
  <w:style w:type="paragraph" w:customStyle="1" w:styleId="132">
    <w:name w:val="表内的表头"/>
    <w:basedOn w:val="1"/>
    <w:qFormat/>
    <w:uiPriority w:val="0"/>
    <w:pPr>
      <w:spacing w:line="360" w:lineRule="auto"/>
      <w:jc w:val="center"/>
    </w:pPr>
    <w:rPr>
      <w:b/>
      <w:kern w:val="0"/>
      <w:sz w:val="24"/>
      <w:szCs w:val="20"/>
    </w:rPr>
  </w:style>
  <w:style w:type="paragraph" w:customStyle="1" w:styleId="133">
    <w:name w:val="文本框内容"/>
    <w:basedOn w:val="1"/>
    <w:qFormat/>
    <w:uiPriority w:val="0"/>
    <w:pPr>
      <w:jc w:val="center"/>
    </w:pPr>
    <w:rPr>
      <w:szCs w:val="21"/>
    </w:rPr>
  </w:style>
  <w:style w:type="paragraph" w:customStyle="1" w:styleId="134">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35">
    <w:name w:val="正文，首行缩进"/>
    <w:basedOn w:val="1"/>
    <w:qFormat/>
    <w:uiPriority w:val="0"/>
    <w:pPr>
      <w:adjustRightInd w:val="0"/>
      <w:snapToGrid w:val="0"/>
      <w:spacing w:line="360" w:lineRule="auto"/>
      <w:ind w:left="42" w:leftChars="20" w:right="42" w:rightChars="20" w:firstLine="480" w:firstLineChars="200"/>
    </w:pPr>
    <w:rPr>
      <w:rFonts w:cs="宋体"/>
      <w:kern w:val="0"/>
      <w:sz w:val="24"/>
      <w:szCs w:val="20"/>
    </w:rPr>
  </w:style>
  <w:style w:type="paragraph" w:customStyle="1" w:styleId="136">
    <w:name w:val="正文五号无缩进表格内容字"/>
    <w:basedOn w:val="1"/>
    <w:qFormat/>
    <w:uiPriority w:val="0"/>
    <w:pPr>
      <w:adjustRightInd w:val="0"/>
      <w:snapToGrid w:val="0"/>
    </w:pPr>
    <w:rPr>
      <w:kern w:val="0"/>
    </w:rPr>
  </w:style>
  <w:style w:type="paragraph" w:customStyle="1" w:styleId="137">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138">
    <w:name w:val="样式35"/>
    <w:basedOn w:val="1"/>
    <w:next w:val="1"/>
    <w:qFormat/>
    <w:uiPriority w:val="0"/>
    <w:pPr>
      <w:spacing w:line="312" w:lineRule="auto"/>
      <w:ind w:firstLine="567"/>
    </w:pPr>
    <w:rPr>
      <w:rFonts w:ascii="宋体"/>
      <w:sz w:val="28"/>
    </w:rPr>
  </w:style>
  <w:style w:type="paragraph" w:customStyle="1" w:styleId="139">
    <w:name w:val="正文文本缩进 21"/>
    <w:basedOn w:val="1"/>
    <w:next w:val="1"/>
    <w:qFormat/>
    <w:uiPriority w:val="0"/>
    <w:pPr>
      <w:spacing w:line="312" w:lineRule="atLeast"/>
      <w:ind w:firstLine="570"/>
      <w:jc w:val="distribute"/>
      <w:textAlignment w:val="baseline"/>
    </w:pPr>
    <w:rPr>
      <w:rFonts w:eastAsia="仿宋_GB2312"/>
      <w:sz w:val="28"/>
      <w:szCs w:val="20"/>
    </w:rPr>
  </w:style>
  <w:style w:type="paragraph" w:customStyle="1" w:styleId="140">
    <w:name w:val="表格内容"/>
    <w:basedOn w:val="133"/>
    <w:qFormat/>
    <w:uiPriority w:val="0"/>
    <w:pPr>
      <w:tabs>
        <w:tab w:val="left" w:pos="980"/>
      </w:tabs>
      <w:overflowPunct w:val="0"/>
      <w:adjustRightInd w:val="0"/>
      <w:spacing w:before="40" w:after="40" w:afterLines="30" w:line="200" w:lineRule="atLeast"/>
      <w:ind w:firstLine="200" w:firstLineChars="200"/>
      <w:textAlignment w:val="baseline"/>
    </w:pPr>
    <w:rPr>
      <w:rFonts w:ascii="Arial" w:hAnsi="Arial" w:eastAsia="仿宋_GB2312"/>
      <w:snapToGrid w:val="0"/>
      <w:kern w:val="0"/>
      <w:sz w:val="22"/>
      <w:szCs w:val="20"/>
    </w:rPr>
  </w:style>
  <w:style w:type="paragraph" w:customStyle="1" w:styleId="141">
    <w:name w:val="英瑞表格内容"/>
    <w:basedOn w:val="1"/>
    <w:qFormat/>
    <w:uiPriority w:val="0"/>
    <w:pPr>
      <w:jc w:val="center"/>
    </w:pPr>
    <w:rPr>
      <w:szCs w:val="21"/>
    </w:rPr>
  </w:style>
  <w:style w:type="paragraph" w:customStyle="1" w:styleId="142">
    <w:name w:val="赢创正文"/>
    <w:basedOn w:val="1"/>
    <w:qFormat/>
    <w:uiPriority w:val="0"/>
    <w:pPr>
      <w:ind w:firstLine="480"/>
    </w:pPr>
    <w:rPr>
      <w:color w:val="000000"/>
      <w:szCs w:val="22"/>
    </w:rPr>
  </w:style>
  <w:style w:type="paragraph" w:customStyle="1" w:styleId="143">
    <w:name w:val="FootnoteText"/>
    <w:basedOn w:val="1"/>
    <w:qFormat/>
    <w:uiPriority w:val="0"/>
    <w:pPr>
      <w:snapToGrid w:val="0"/>
      <w:jc w:val="left"/>
      <w:textAlignment w:val="baseline"/>
    </w:pPr>
    <w:rPr>
      <w:sz w:val="18"/>
    </w:rPr>
  </w:style>
  <w:style w:type="paragraph" w:customStyle="1" w:styleId="144">
    <w:name w:val="Char Char Char Char Char Char Char"/>
    <w:basedOn w:val="1"/>
    <w:qFormat/>
    <w:uiPriority w:val="0"/>
    <w:pPr>
      <w:snapToGrid w:val="0"/>
      <w:spacing w:line="360" w:lineRule="auto"/>
      <w:ind w:firstLine="529" w:firstLineChars="200"/>
    </w:pPr>
    <w:rPr>
      <w:rFonts w:ascii="宋体" w:hAnsi="宋体" w:cs="宋体"/>
      <w:b/>
      <w:bCs/>
      <w:szCs w:val="21"/>
    </w:rPr>
  </w:style>
  <w:style w:type="paragraph" w:customStyle="1" w:styleId="145">
    <w:name w:val="列出段落3"/>
    <w:basedOn w:val="1"/>
    <w:qFormat/>
    <w:uiPriority w:val="34"/>
    <w:pPr>
      <w:ind w:firstLine="420" w:firstLineChars="200"/>
    </w:pPr>
  </w:style>
  <w:style w:type="paragraph" w:customStyle="1" w:styleId="146">
    <w:name w:val="表格标题-段前0.3行"/>
    <w:basedOn w:val="1"/>
    <w:qFormat/>
    <w:uiPriority w:val="0"/>
    <w:pPr>
      <w:keepNext/>
      <w:keepLines/>
      <w:widowControl/>
      <w:spacing w:before="30" w:beforeLines="30"/>
      <w:jc w:val="center"/>
    </w:pPr>
    <w:rPr>
      <w:b/>
      <w:bCs/>
    </w:rPr>
  </w:style>
  <w:style w:type="paragraph" w:customStyle="1" w:styleId="147">
    <w:name w:val="正文图表标题"/>
    <w:basedOn w:val="1"/>
    <w:qFormat/>
    <w:uiPriority w:val="0"/>
    <w:pPr>
      <w:adjustRightInd w:val="0"/>
      <w:snapToGrid w:val="0"/>
      <w:spacing w:line="360" w:lineRule="auto"/>
      <w:jc w:val="center"/>
    </w:pPr>
    <w:rPr>
      <w:b/>
      <w:snapToGrid w:val="0"/>
      <w:kern w:val="24"/>
      <w:sz w:val="24"/>
    </w:rPr>
  </w:style>
  <w:style w:type="paragraph" w:customStyle="1" w:styleId="148">
    <w:name w:val="表内表"/>
    <w:basedOn w:val="1"/>
    <w:qFormat/>
    <w:uiPriority w:val="0"/>
    <w:pPr>
      <w:jc w:val="center"/>
    </w:pPr>
    <w:rPr>
      <w:rFonts w:eastAsia="仿宋_GB2312"/>
      <w:kern w:val="0"/>
      <w:szCs w:val="20"/>
    </w:rPr>
  </w:style>
  <w:style w:type="paragraph" w:customStyle="1" w:styleId="149">
    <w:name w:val="报告正文"/>
    <w:basedOn w:val="1"/>
    <w:next w:val="1"/>
    <w:qFormat/>
    <w:uiPriority w:val="0"/>
    <w:pPr>
      <w:spacing w:line="500" w:lineRule="exact"/>
      <w:ind w:firstLine="480"/>
    </w:pPr>
    <w:rPr>
      <w:rFonts w:ascii="Tahoma" w:hAnsi="Tahoma"/>
      <w:kern w:val="0"/>
      <w:sz w:val="24"/>
      <w:szCs w:val="20"/>
    </w:rPr>
  </w:style>
  <w:style w:type="table" w:customStyle="1" w:styleId="150">
    <w:name w:val="Table Normal"/>
    <w:unhideWhenUsed/>
    <w:qFormat/>
    <w:uiPriority w:val="0"/>
    <w:tblPr>
      <w:tblCellMar>
        <w:top w:w="0" w:type="dxa"/>
        <w:left w:w="0" w:type="dxa"/>
        <w:bottom w:w="0" w:type="dxa"/>
        <w:right w:w="0" w:type="dxa"/>
      </w:tblCellMar>
    </w:tblPr>
  </w:style>
  <w:style w:type="paragraph" w:customStyle="1" w:styleId="151">
    <w:name w:val="Table Text"/>
    <w:basedOn w:val="1"/>
    <w:semiHidden/>
    <w:qFormat/>
    <w:uiPriority w:val="0"/>
    <w:rPr>
      <w:rFonts w:ascii="宋体" w:hAnsi="宋体" w:cs="宋体"/>
      <w:sz w:val="20"/>
      <w:szCs w:val="20"/>
      <w:lang w:eastAsia="en-US"/>
    </w:rPr>
  </w:style>
  <w:style w:type="paragraph" w:customStyle="1" w:styleId="152">
    <w:name w:val="报告表样式"/>
    <w:basedOn w:val="1"/>
    <w:qFormat/>
    <w:uiPriority w:val="0"/>
    <w:pPr>
      <w:adjustRightInd w:val="0"/>
      <w:snapToGrid w:val="0"/>
      <w:spacing w:line="360" w:lineRule="auto"/>
      <w:ind w:firstLine="200" w:firstLineChars="200"/>
    </w:pPr>
    <w:rPr>
      <w:sz w:val="28"/>
      <w:szCs w:val="28"/>
    </w:rPr>
  </w:style>
  <w:style w:type="paragraph" w:customStyle="1" w:styleId="153">
    <w:name w:val="0表头"/>
    <w:next w:val="125"/>
    <w:qFormat/>
    <w:uiPriority w:val="0"/>
    <w:pPr>
      <w:keepNext/>
      <w:jc w:val="center"/>
    </w:pPr>
    <w:rPr>
      <w:rFonts w:ascii="Times New Roman" w:hAnsi="Times New Roman" w:eastAsia="宋体" w:cs="Times New Roman"/>
      <w:b/>
      <w:sz w:val="24"/>
      <w:szCs w:val="24"/>
      <w:lang w:val="en-US" w:eastAsia="zh-CN" w:bidi="ar-SA"/>
    </w:rPr>
  </w:style>
  <w:style w:type="paragraph" w:customStyle="1" w:styleId="154">
    <w:name w:val="0表格里"/>
    <w:qFormat/>
    <w:uiPriority w:val="0"/>
    <w:pPr>
      <w:jc w:val="center"/>
    </w:pPr>
    <w:rPr>
      <w:rFonts w:ascii="Times New Roman" w:hAnsi="Times New Roman" w:eastAsia="宋体" w:cs="Times New Roman"/>
      <w:sz w:val="21"/>
      <w:szCs w:val="21"/>
      <w:lang w:val="en-US" w:eastAsia="zh-CN" w:bidi="ar-SA"/>
    </w:rPr>
  </w:style>
  <w:style w:type="paragraph" w:customStyle="1" w:styleId="155">
    <w:name w:val="段落格式"/>
    <w:basedOn w:val="1"/>
    <w:qFormat/>
    <w:uiPriority w:val="0"/>
    <w:pPr>
      <w:spacing w:line="360" w:lineRule="auto"/>
      <w:ind w:firstLine="720" w:firstLineChars="200"/>
      <w:jc w:val="left"/>
    </w:pPr>
  </w:style>
  <w:style w:type="paragraph" w:customStyle="1" w:styleId="156">
    <w:name w:val="toc 75"/>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157">
    <w:name w:val="环评一室报告表格文字"/>
    <w:basedOn w:val="1"/>
    <w:qFormat/>
    <w:uiPriority w:val="0"/>
    <w:pPr>
      <w:autoSpaceDE w:val="0"/>
      <w:autoSpaceDN w:val="0"/>
      <w:adjustRightInd w:val="0"/>
      <w:jc w:val="center"/>
    </w:pPr>
    <w:rPr>
      <w:rFonts w:hAnsi="宋体" w:cs="黑体"/>
      <w:szCs w:val="21"/>
      <w:lang w:val="zh-CN"/>
    </w:rPr>
  </w:style>
  <w:style w:type="paragraph" w:customStyle="1" w:styleId="158">
    <w:name w:val="新表头"/>
    <w:basedOn w:val="1"/>
    <w:qFormat/>
    <w:uiPriority w:val="0"/>
    <w:pPr>
      <w:spacing w:line="276" w:lineRule="auto"/>
      <w:jc w:val="center"/>
    </w:pPr>
    <w:rPr>
      <w:rFonts w:eastAsia="黑体"/>
      <w:bCs/>
      <w:kern w:val="0"/>
      <w:szCs w:val="21"/>
    </w:rPr>
  </w:style>
  <w:style w:type="paragraph" w:customStyle="1" w:styleId="159">
    <w:name w:val="其他"/>
    <w:basedOn w:val="1"/>
    <w:qFormat/>
    <w:uiPriority w:val="0"/>
    <w:rPr>
      <w:rFonts w:ascii="宋体" w:hAnsi="宋体" w:cs="宋体"/>
      <w:sz w:val="20"/>
      <w:szCs w:val="20"/>
      <w:lang w:val="zh-CN" w:bidi="zh-CN"/>
    </w:rPr>
  </w:style>
  <w:style w:type="character" w:customStyle="1" w:styleId="160">
    <w:name w:val="ui-jqgrid-resize"/>
    <w:basedOn w:val="33"/>
    <w:qFormat/>
    <w:uiPriority w:val="0"/>
  </w:style>
  <w:style w:type="character" w:customStyle="1" w:styleId="161">
    <w:name w:val="ui-jqgrid-resize1"/>
    <w:basedOn w:val="33"/>
    <w:qFormat/>
    <w:uiPriority w:val="0"/>
  </w:style>
  <w:style w:type="character" w:customStyle="1" w:styleId="162">
    <w:name w:val="checkbox9"/>
    <w:basedOn w:val="33"/>
    <w:qFormat/>
    <w:uiPriority w:val="0"/>
  </w:style>
  <w:style w:type="character" w:customStyle="1" w:styleId="163">
    <w:name w:val="input-icon"/>
    <w:basedOn w:val="33"/>
    <w:qFormat/>
    <w:uiPriority w:val="0"/>
  </w:style>
  <w:style w:type="character" w:customStyle="1" w:styleId="164">
    <w:name w:val="before"/>
    <w:basedOn w:val="33"/>
    <w:qFormat/>
    <w:uiPriority w:val="0"/>
    <w:rPr>
      <w:rFonts w:hint="default" w:ascii="FontAwesome" w:hAnsi="FontAwesome" w:eastAsia="FontAwesome" w:cs="FontAwesome"/>
      <w:color w:val="888888"/>
      <w:sz w:val="18"/>
      <w:szCs w:val="18"/>
    </w:rPr>
  </w:style>
  <w:style w:type="character" w:customStyle="1" w:styleId="165">
    <w:name w:val="before1"/>
    <w:basedOn w:val="33"/>
    <w:qFormat/>
    <w:uiPriority w:val="0"/>
    <w:rPr>
      <w:rFonts w:hint="default" w:ascii="FontAwesome" w:hAnsi="FontAwesome" w:eastAsia="FontAwesome" w:cs="FontAwesome"/>
      <w:color w:val="888888"/>
      <w:sz w:val="18"/>
      <w:szCs w:val="18"/>
    </w:rPr>
  </w:style>
  <w:style w:type="character" w:customStyle="1" w:styleId="166">
    <w:name w:val="ui-icon10"/>
    <w:basedOn w:val="33"/>
    <w:qFormat/>
    <w:uiPriority w:val="0"/>
  </w:style>
  <w:style w:type="character" w:customStyle="1" w:styleId="167">
    <w:name w:val="ui-icon"/>
    <w:basedOn w:val="33"/>
    <w:qFormat/>
    <w:uiPriority w:val="0"/>
  </w:style>
  <w:style w:type="character" w:customStyle="1" w:styleId="168">
    <w:name w:val="checkbox"/>
    <w:basedOn w:val="33"/>
    <w:qFormat/>
    <w:uiPriority w:val="0"/>
  </w:style>
  <w:style w:type="character" w:customStyle="1" w:styleId="169">
    <w:name w:val="input-icon2"/>
    <w:basedOn w:val="33"/>
    <w:qFormat/>
    <w:uiPriority w:val="0"/>
  </w:style>
  <w:style w:type="character" w:customStyle="1" w:styleId="170">
    <w:name w:val="checkbox2"/>
    <w:basedOn w:val="33"/>
    <w:qFormat/>
    <w:uiPriority w:val="0"/>
  </w:style>
  <w:style w:type="paragraph" w:customStyle="1" w:styleId="171">
    <w:name w:val="表格-报告表"/>
    <w:qFormat/>
    <w:uiPriority w:val="0"/>
    <w:pPr>
      <w:jc w:val="center"/>
    </w:pPr>
    <w:rPr>
      <w:rFonts w:ascii="Times New Roman" w:hAnsi="Times New Roman" w:eastAsia="宋体" w:cs="Times New Roman"/>
      <w:sz w:val="21"/>
      <w:szCs w:val="21"/>
      <w:lang w:val="en-US" w:eastAsia="zh-CN" w:bidi="ar-SA"/>
    </w:rPr>
  </w:style>
  <w:style w:type="paragraph" w:customStyle="1" w:styleId="172">
    <w:name w:val="表内容"/>
    <w:basedOn w:val="1"/>
    <w:qFormat/>
    <w:uiPriority w:val="0"/>
    <w:pPr>
      <w:jc w:val="center"/>
    </w:pPr>
    <w:rPr>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9" Type="http://schemas.openxmlformats.org/officeDocument/2006/relationships/fontTable" Target="fontTable.xml"/><Relationship Id="rId88" Type="http://schemas.openxmlformats.org/officeDocument/2006/relationships/customXml" Target="../customXml/item2.xml"/><Relationship Id="rId87" Type="http://schemas.openxmlformats.org/officeDocument/2006/relationships/numbering" Target="numbering.xml"/><Relationship Id="rId86" Type="http://schemas.openxmlformats.org/officeDocument/2006/relationships/customXml" Target="../customXml/item1.xml"/><Relationship Id="rId85" Type="http://schemas.openxmlformats.org/officeDocument/2006/relationships/image" Target="media/image54.png"/><Relationship Id="rId84" Type="http://schemas.openxmlformats.org/officeDocument/2006/relationships/image" Target="media/image53.png"/><Relationship Id="rId83" Type="http://schemas.openxmlformats.org/officeDocument/2006/relationships/image" Target="media/image52.png"/><Relationship Id="rId82" Type="http://schemas.openxmlformats.org/officeDocument/2006/relationships/image" Target="media/image51.png"/><Relationship Id="rId81" Type="http://schemas.openxmlformats.org/officeDocument/2006/relationships/image" Target="media/image50.png"/><Relationship Id="rId80" Type="http://schemas.openxmlformats.org/officeDocument/2006/relationships/image" Target="media/image49.png"/><Relationship Id="rId8" Type="http://schemas.openxmlformats.org/officeDocument/2006/relationships/footer" Target="footer5.xml"/><Relationship Id="rId79" Type="http://schemas.openxmlformats.org/officeDocument/2006/relationships/image" Target="media/image48.png"/><Relationship Id="rId78" Type="http://schemas.openxmlformats.org/officeDocument/2006/relationships/image" Target="media/image47.png"/><Relationship Id="rId77" Type="http://schemas.openxmlformats.org/officeDocument/2006/relationships/image" Target="media/image46.jpeg"/><Relationship Id="rId76" Type="http://schemas.openxmlformats.org/officeDocument/2006/relationships/image" Target="media/image45.jpeg"/><Relationship Id="rId75" Type="http://schemas.openxmlformats.org/officeDocument/2006/relationships/image" Target="media/image44.jpeg"/><Relationship Id="rId74" Type="http://schemas.openxmlformats.org/officeDocument/2006/relationships/image" Target="media/image43.jpeg"/><Relationship Id="rId73" Type="http://schemas.openxmlformats.org/officeDocument/2006/relationships/image" Target="media/image42.png"/><Relationship Id="rId72" Type="http://schemas.openxmlformats.org/officeDocument/2006/relationships/image" Target="media/image41.png"/><Relationship Id="rId71" Type="http://schemas.openxmlformats.org/officeDocument/2006/relationships/image" Target="media/image40.png"/><Relationship Id="rId70" Type="http://schemas.openxmlformats.org/officeDocument/2006/relationships/image" Target="media/image39.png"/><Relationship Id="rId7" Type="http://schemas.openxmlformats.org/officeDocument/2006/relationships/footer" Target="footer4.xml"/><Relationship Id="rId69" Type="http://schemas.openxmlformats.org/officeDocument/2006/relationships/image" Target="media/image38.png"/><Relationship Id="rId68" Type="http://schemas.openxmlformats.org/officeDocument/2006/relationships/image" Target="media/image37.emf"/><Relationship Id="rId67" Type="http://schemas.openxmlformats.org/officeDocument/2006/relationships/oleObject" Target="embeddings/oleObject21.bin"/><Relationship Id="rId66" Type="http://schemas.openxmlformats.org/officeDocument/2006/relationships/image" Target="media/image36.emf"/><Relationship Id="rId65" Type="http://schemas.openxmlformats.org/officeDocument/2006/relationships/oleObject" Target="embeddings/oleObject20.bin"/><Relationship Id="rId64" Type="http://schemas.openxmlformats.org/officeDocument/2006/relationships/image" Target="media/image35.emf"/><Relationship Id="rId63" Type="http://schemas.openxmlformats.org/officeDocument/2006/relationships/oleObject" Target="embeddings/oleObject19.bin"/><Relationship Id="rId62" Type="http://schemas.openxmlformats.org/officeDocument/2006/relationships/image" Target="media/image34.emf"/><Relationship Id="rId61" Type="http://schemas.openxmlformats.org/officeDocument/2006/relationships/oleObject" Target="embeddings/oleObject18.bin"/><Relationship Id="rId60" Type="http://schemas.openxmlformats.org/officeDocument/2006/relationships/image" Target="media/image33.emf"/><Relationship Id="rId6" Type="http://schemas.openxmlformats.org/officeDocument/2006/relationships/footer" Target="footer3.xml"/><Relationship Id="rId59" Type="http://schemas.openxmlformats.org/officeDocument/2006/relationships/oleObject" Target="embeddings/oleObject17.bin"/><Relationship Id="rId58" Type="http://schemas.openxmlformats.org/officeDocument/2006/relationships/image" Target="media/image32.emf"/><Relationship Id="rId57" Type="http://schemas.openxmlformats.org/officeDocument/2006/relationships/oleObject" Target="embeddings/oleObject16.bin"/><Relationship Id="rId56" Type="http://schemas.openxmlformats.org/officeDocument/2006/relationships/image" Target="media/image31.emf"/><Relationship Id="rId55" Type="http://schemas.openxmlformats.org/officeDocument/2006/relationships/oleObject" Target="embeddings/oleObject15.bin"/><Relationship Id="rId54" Type="http://schemas.openxmlformats.org/officeDocument/2006/relationships/image" Target="media/image30.png"/><Relationship Id="rId53" Type="http://schemas.openxmlformats.org/officeDocument/2006/relationships/image" Target="media/image29.jpe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footer" Target="footer2.xml"/><Relationship Id="rId49" Type="http://schemas.openxmlformats.org/officeDocument/2006/relationships/image" Target="media/image25.png"/><Relationship Id="rId48" Type="http://schemas.openxmlformats.org/officeDocument/2006/relationships/image" Target="media/image24.jpeg"/><Relationship Id="rId47" Type="http://schemas.openxmlformats.org/officeDocument/2006/relationships/image" Target="media/image23.png"/><Relationship Id="rId46" Type="http://schemas.openxmlformats.org/officeDocument/2006/relationships/image" Target="media/image22.png"/><Relationship Id="rId45" Type="http://schemas.openxmlformats.org/officeDocument/2006/relationships/image" Target="media/image21.png"/><Relationship Id="rId44" Type="http://schemas.openxmlformats.org/officeDocument/2006/relationships/image" Target="media/image20.wmf"/><Relationship Id="rId43" Type="http://schemas.openxmlformats.org/officeDocument/2006/relationships/oleObject" Target="embeddings/oleObject14.bin"/><Relationship Id="rId42" Type="http://schemas.openxmlformats.org/officeDocument/2006/relationships/image" Target="media/image19.png"/><Relationship Id="rId41" Type="http://schemas.openxmlformats.org/officeDocument/2006/relationships/image" Target="media/image18.wmf"/><Relationship Id="rId40" Type="http://schemas.openxmlformats.org/officeDocument/2006/relationships/oleObject" Target="embeddings/oleObject13.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2.bin"/><Relationship Id="rId37" Type="http://schemas.openxmlformats.org/officeDocument/2006/relationships/image" Target="media/image16.wmf"/><Relationship Id="rId36" Type="http://schemas.openxmlformats.org/officeDocument/2006/relationships/oleObject" Target="embeddings/oleObject11.bin"/><Relationship Id="rId35" Type="http://schemas.openxmlformats.org/officeDocument/2006/relationships/image" Target="media/image15.wmf"/><Relationship Id="rId34" Type="http://schemas.openxmlformats.org/officeDocument/2006/relationships/oleObject" Target="embeddings/oleObject10.bin"/><Relationship Id="rId33" Type="http://schemas.openxmlformats.org/officeDocument/2006/relationships/image" Target="media/image14.wmf"/><Relationship Id="rId32" Type="http://schemas.openxmlformats.org/officeDocument/2006/relationships/oleObject" Target="embeddings/oleObject9.bin"/><Relationship Id="rId31" Type="http://schemas.openxmlformats.org/officeDocument/2006/relationships/image" Target="media/image13.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7.bin"/><Relationship Id="rId27" Type="http://schemas.openxmlformats.org/officeDocument/2006/relationships/image" Target="media/image11.wmf"/><Relationship Id="rId26" Type="http://schemas.openxmlformats.org/officeDocument/2006/relationships/oleObject" Target="embeddings/oleObject6.bin"/><Relationship Id="rId25" Type="http://schemas.openxmlformats.org/officeDocument/2006/relationships/image" Target="media/image10.wmf"/><Relationship Id="rId24" Type="http://schemas.openxmlformats.org/officeDocument/2006/relationships/oleObject" Target="embeddings/oleObject5.bin"/><Relationship Id="rId23" Type="http://schemas.openxmlformats.org/officeDocument/2006/relationships/image" Target="media/image9.emf"/><Relationship Id="rId22" Type="http://schemas.openxmlformats.org/officeDocument/2006/relationships/oleObject" Target="embeddings/oleObject4.bin"/><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3.bin"/><Relationship Id="rId17" Type="http://schemas.openxmlformats.org/officeDocument/2006/relationships/image" Target="media/image5.emf"/><Relationship Id="rId16" Type="http://schemas.openxmlformats.org/officeDocument/2006/relationships/oleObject" Target="embeddings/oleObject2.bin"/><Relationship Id="rId15" Type="http://schemas.openxmlformats.org/officeDocument/2006/relationships/image" Target="media/image4.emf"/><Relationship Id="rId14" Type="http://schemas.openxmlformats.org/officeDocument/2006/relationships/oleObject" Target="embeddings/oleObject1.bin"/><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Exts>
</s:customData>
</file>

<file path=customXml/item2.xml><?xml version="1.0" encoding="utf-8"?>
<contractReview xmlns="http://schemas.wps.cn/vas-ai-hub/contract-review">
  <reviewItems>
    <reviewItem>
      <errorID>83debbdc-ab4f-4c6b-a373-60b193063ad5</errorID>
      <errorWord>实行</errorWord>
      <group>L1_Word</group>
      <groupName>字词问题</groupName>
      <ability>L2_Typo</ability>
      <abilityName>字词错误</abilityName>
      <candidateList>
        <item>试行</item>
      </candidateList>
      <explain>存在发音相同字词的误用。</explain>
      <paraID>6E9E3A5E</paraID>
      <start>28</start>
      <end>30</end>
      <status>modified</status>
      <modifiedWord>试行</modifiedWord>
      <trackRevisions>false</trackRevisions>
    </reviewItem>
    <reviewItem>
      <errorID>768914c9-7694-400b-8d18-b23c8daada1d</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48ABD41B</paraID>
      <start>8</start>
      <end>12</end>
      <status>ignored</status>
      <modifiedWord/>
      <trackRevisions>false</trackRevisions>
    </reviewItem>
    <reviewItem>
      <errorID>2c877126-7cc6-40ef-8c22-2d36290bf0ad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4D80C629</paraID>
      <start>26</start>
      <end>27</end>
      <status>ignored</status>
      <modifiedWord/>
      <trackRevisions>false</trackRevisions>
    </reviewItem>
    <reviewItem>
      <errorID>e7da910e-3dde-4ab4-b771-2178a394139d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2AD8A038</paraID>
      <start>34</start>
      <end>35</end>
      <status>ignored</status>
      <modifiedWord/>
      <trackRevisions>false</trackRevisions>
    </reviewItem>
    <reviewItem>
      <errorID>10fd360d-aca3-424f-959b-7d965026ec30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56C529DA</paraID>
      <start>43</start>
      <end>44</end>
      <status>unmodified</status>
      <modifiedWord/>
      <trackRevisions>false</trackRevisions>
    </reviewItem>
    <reviewItem>
      <errorID>694c5e84-df8d-45ab-bdeb-8ec8a199548e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551147E3</paraID>
      <start>26</start>
      <end>27</end>
      <status>unmodified</status>
      <modifiedWord/>
      <trackRevisions>false</trackRevisions>
    </reviewItem>
    <reviewItem>
      <errorID>44e308b4-68f6-4f03-81f7-14a3bb32f022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370C24C9</paraID>
      <start>25</start>
      <end>26</end>
      <status>ignored</status>
      <modifiedWord/>
      <trackRevisions>false</trackRevisions>
    </reviewItem>
    <reviewItem>
      <errorID>4e535152-97fb-48b9-8bf0-fc65288c610c</errorID>
      <errorWord>调</errorWord>
      <group>L1_Word</group>
      <groupName>字词问题</groupName>
      <ability>L2_Typo</ability>
      <abilityName>字词错误</abilityName>
      <candidateList>
        <item>调整</item>
      </candidateList>
      <explain/>
      <paraID>3D807696</paraID>
      <start>7</start>
      <end>9</end>
      <status>modified</status>
      <modifiedWord>调整</modifiedWord>
      <trackRevisions>false</trackRevisions>
    </reviewItem>
    <reviewItem>
      <errorID>78bfb0fe-d8ee-4bd8-b62d-eab4333ddc50</errorID>
      <errorWord>引入引</errorWord>
      <group>L1_Word</group>
      <groupName>字词问题</groupName>
      <ability>L2_Typo</ability>
      <abilityName>字词错误</abilityName>
      <candidateList>
        <item>引入</item>
      </candidateList>
      <explain/>
      <paraID>46A5F20D</paraID>
      <start>16</start>
      <end>18</end>
      <status>modified</status>
      <modifiedWord>引入</modifiedWord>
      <trackRevisions>false</trackRevisions>
    </reviewItem>
    <reviewItem>
      <errorID>8527eaec-8d89-4123-a912-b1f113b78389</errorID>
      <errorWord>:</errorWord>
      <group>L1_Format</group>
      <groupName>格式问题</groupName>
      <ability>L2_HalfPunc</ability>
      <abilityName>全半角检查</abilityName>
      <candidateList>
        <item>：</item>
      </candidateList>
      <explain>文本全半角错误。</explain>
      <paraID>6D9B7D7B</paraID>
      <start>53</start>
      <end>54</end>
      <status>unmodified</status>
      <modifiedWord/>
      <trackRevisions>false</trackRevisions>
    </reviewItem>
    <reviewItem>
      <errorID>62b3f552-6b90-496b-ae5c-2c4fa59002a8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151CA441</paraID>
      <start>0</start>
      <end>2</end>
      <status>unmodified</status>
      <modifiedWord/>
      <trackRevisions>false</trackRevisions>
    </reviewItem>
    <reviewItem>
      <errorID>00080431-68df-4215-b6a8-7f301f94662c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5AD5D158</paraID>
      <start>0</start>
      <end>2</end>
      <status>unmodified</status>
      <modifiedWord/>
      <trackRevisions>false</trackRevisions>
    </reviewItem>
    <reviewItem>
      <errorID>65e9d4ef-e9e7-4469-b793-5d10e00c12cb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FE308CA</paraID>
      <start>0</start>
      <end>2</end>
      <status>unmodified</status>
      <modifiedWord/>
      <trackRevisions>false</trackRevisions>
    </reviewItem>
    <reviewItem>
      <errorID>0105704a-b060-41b2-8193-eef969d6bbd1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1EA824F5</paraID>
      <start>0</start>
      <end>2</end>
      <status>unmodified</status>
      <modifiedWord/>
      <trackRevisions>false</trackRevisions>
    </reviewItem>
    <reviewItem>
      <errorID>fdded4b6-1789-4dc1-9056-a9129f02be7e</errorID>
      <errorWord>法律、法规</errorWord>
      <group>L1_Word</group>
      <groupName>字词问题</groupName>
      <ability>L2_Typo</ability>
      <abilityName>字词错误</abilityName>
      <candidateList>
        <item>法律法规</item>
      </candidateList>
      <explain/>
      <paraID>1EA824F5</paraID>
      <start>2</start>
      <end>7</end>
      <status>unmodified</status>
      <modifiedWord/>
      <trackRevisions>false</trackRevisions>
    </reviewItem>
    <reviewItem>
      <errorID>3e96cec5-cff2-43e7-a111-d78fb3130dd2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11F69511</paraID>
      <start>25</start>
      <end>26</end>
      <status>unmodified</status>
      <modifiedWord/>
      <trackRevisions>false</trackRevisions>
    </reviewItem>
    <reviewItem>
      <errorID>49ea4b78-5523-4495-bf29-c7dd6204aa62</errorID>
      <errorWord>国道线</errorWord>
      <group>L1_Word</group>
      <groupName>字词问题</groupName>
      <ability>L2_Typo</ability>
      <abilityName>字词错误</abilityName>
      <candidateList>
        <item>国道</item>
      </candidateList>
      <explain/>
      <paraID>312A75DD</paraID>
      <start>286</start>
      <end>289</end>
      <status>unmodified</status>
      <modifiedWord/>
      <trackRevisions>false</trackRevisions>
    </reviewItem>
    <reviewItem>
      <errorID>e69467be-c13f-4165-808c-3d07b5cce978</errorID>
      <errorWord>:</errorWord>
      <group>L1_Format</group>
      <groupName>格式问题</groupName>
      <ability>L2_HalfPunc</ability>
      <abilityName>全半角检查</abilityName>
      <candidateList>
        <item>：</item>
      </candidateList>
      <explain>文本全半角错误。</explain>
      <paraID>7F0FAAE4</paraID>
      <start>69</start>
      <end>70</end>
      <status>unmodified</status>
      <modifiedWord/>
      <trackRevisions>false</trackRevisions>
    </reviewItem>
    <reviewItem>
      <errorID>762402db-fd0a-4424-be9c-939aa0d70334</errorID>
      <errorWord>:</errorWord>
      <group>L1_Format</group>
      <groupName>格式问题</groupName>
      <ability>L2_HalfPunc</ability>
      <abilityName>全半角检查</abilityName>
      <candidateList>
        <item>：</item>
      </candidateList>
      <explain>文本全半角错误。</explain>
      <paraID>7F0FAAE4</paraID>
      <start>117</start>
      <end>118</end>
      <status>unmodified</status>
      <modifiedWord/>
      <trackRevisions>false</trackRevisions>
    </reviewItem>
    <reviewItem>
      <errorID>b363e82c-2401-46cf-a2eb-02ad4c070696</errorID>
      <errorWord>(</errorWord>
      <group>L1_Format</group>
      <groupName>格式问题</groupName>
      <ability>L2_HalfPunc</ability>
      <abilityName>全半角检查</abilityName>
      <candidateList>
        <item>（</item>
      </candidateList>
      <explain>文本全半角错误。</explain>
      <paraID>4F00535C</paraID>
      <start>19</start>
      <end>20</end>
      <status>unmodified</status>
      <modifiedWord/>
      <trackRevisions>false</trackRevisions>
    </reviewItem>
    <reviewItem>
      <errorID>47b6c920-8713-4079-86e5-fd9152b5def3</errorID>
      <errorWord>)</errorWord>
      <group>L1_Format</group>
      <groupName>格式问题</groupName>
      <ability>L2_HalfPunc</ability>
      <abilityName>全半角检查</abilityName>
      <candidateList>
        <item>）</item>
      </candidateList>
      <explain>文本全半角错误。</explain>
      <paraID>4F00535C</paraID>
      <start>24</start>
      <end>25</end>
      <status>unmodified</status>
      <modifiedWord/>
      <trackRevisions>false</trackRevisions>
    </reviewItem>
    <reviewItem>
      <errorID>50e89248-d99b-4fda-b7b3-4d64a8d90a89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4F00535C</paraID>
      <start>28</start>
      <end>29</end>
      <status>unmodified</status>
      <modifiedWord/>
      <trackRevisions>false</trackRevisions>
    </reviewItem>
    <reviewItem>
      <errorID>f214dea7-2687-4a97-a741-9e51b47ec98d</errorID>
      <errorWord>(</errorWord>
      <group>L1_Format</group>
      <groupName>格式问题</groupName>
      <ability>L2_HalfPunc</ability>
      <abilityName>全半角检查</abilityName>
      <candidateList>
        <item>（</item>
      </candidateList>
      <explain>文本全半角错误。</explain>
      <paraID>4F00535C</paraID>
      <start>29</start>
      <end>30</end>
      <status>unmodified</status>
      <modifiedWord/>
      <trackRevisions>false</trackRevisions>
    </reviewItem>
    <reviewItem>
      <errorID>101b4b13-b479-4870-a3d0-f5fabb5faf91</errorID>
      <errorWord>)</errorWord>
      <group>L1_Format</group>
      <groupName>格式问题</groupName>
      <ability>L2_HalfPunc</ability>
      <abilityName>全半角检查</abilityName>
      <candidateList>
        <item>）</item>
      </candidateList>
      <explain>文本全半角错误。</explain>
      <paraID>4F00535C</paraID>
      <start>42</start>
      <end>43</end>
      <status>unmodified</status>
      <modifiedWord/>
      <trackRevisions>false</trackRevisions>
    </reviewItem>
    <reviewItem>
      <errorID>f185db34-836b-4dd4-84d6-0a2ec2d567bf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4F00535C</paraID>
      <start>60</start>
      <end>63</end>
      <status>unmodified</status>
      <modifiedWord/>
      <trackRevisions>false</trackRevisions>
    </reviewItem>
    <reviewItem>
      <errorID>61b700ab-31e5-470e-8489-0f67bcc660f5</errorID>
      <errorWord>;</errorWord>
      <group>L1_Format</group>
      <groupName>格式问题</groupName>
      <ability>L2_HalfPunc</ability>
      <abilityName>全半角检查</abilityName>
      <candidateList>
        <item>；</item>
      </candidateList>
      <explain>文本全半角错误。</explain>
      <paraID>508ECD42</paraID>
      <start>30</start>
      <end>31</end>
      <status>unmodified</status>
      <modifiedWord/>
      <trackRevisions>false</trackRevisions>
    </reviewItem>
    <reviewItem>
      <errorID>a9d118a0-6f98-4a73-937e-e06c200de876</errorID>
      <errorWord>:</errorWord>
      <group>L1_Format</group>
      <groupName>格式问题</groupName>
      <ability>L2_HalfPunc</ability>
      <abilityName>全半角检查</abilityName>
      <candidateList>
        <item>：</item>
      </candidateList>
      <explain>文本全半角错误。</explain>
      <paraID>508ECD42</paraID>
      <start>75</start>
      <end>76</end>
      <status>unmodified</status>
      <modifiedWord/>
      <trackRevisions>false</trackRevisions>
    </reviewItem>
    <reviewItem>
      <errorID>a960a6a2-6a88-4747-af3a-36dfbbc803df</errorID>
      <errorWord>总体规划总体规划</errorWord>
      <group>L1_Word</group>
      <groupName>字词问题</groupName>
      <ability>L2_Typo</ability>
      <abilityName>字词错误</abilityName>
      <candidateList>
        <item>总体规划</item>
      </candidateList>
      <explain/>
      <paraID>6AC57CC0</paraID>
      <start>20</start>
      <end>28</end>
      <status>unmodified</status>
      <modifiedWord/>
      <trackRevisions>false</trackRevisions>
    </reviewItem>
    <reviewItem>
      <errorID>5073f305-5f45-4393-8cbf-f9f8f0c6c026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5CBBD109</paraID>
      <start>0</start>
      <end>2</end>
      <status>unmodified</status>
      <modifiedWord/>
      <trackRevisions>false</trackRevisions>
    </reviewItem>
    <reviewItem>
      <errorID>cd714ceb-9089-4542-8d22-be7859328e6b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682CC95D</paraID>
      <start>191</start>
      <end>194</end>
      <status>unmodified</status>
      <modifiedWord/>
      <trackRevisions>false</trackRevisions>
    </reviewItem>
    <reviewItem>
      <errorID>6aaf1993-d621-4008-ba96-6e3e52db0571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682CC95D</paraID>
      <start>197</start>
      <end>200</end>
      <status>unmodified</status>
      <modifiedWord/>
      <trackRevisions>false</trackRevisions>
    </reviewItem>
    <reviewItem>
      <errorID>bef15c27-5934-45d7-82c6-b08df3ce723f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3CC494B0</paraID>
      <start>0</start>
      <end>2</end>
      <status>unmodified</status>
      <modifiedWord/>
      <trackRevisions>false</trackRevisions>
    </reviewItem>
    <reviewItem>
      <errorID>dbc1df1b-06f7-40a6-b359-2accc074f3a8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22067960</paraID>
      <start>0</start>
      <end>2</end>
      <status>unmodified</status>
      <modifiedWord/>
      <trackRevisions>false</trackRevisions>
    </reviewItem>
    <reviewItem>
      <errorID>fae73ab3-8e02-448e-af09-f8ccccfd9af8</errorID>
      <errorWord>生态功能区保护区</errorWord>
      <group>L1_Political</group>
      <groupName>政治性问题</groupName>
      <ability>L2_Keyword</ability>
      <abilityName>固定表述</abilityName>
      <candidateList>
        <item>生态功能保护区</item>
      </candidateList>
      <explain>词汇“生态功能保护区”在特定场景下为固定表述形式，请确认此处的“生态功能区保护区”是否存在不当。</explain>
      <paraID>48CD7B17</paraID>
      <start>33</start>
      <end>41</end>
      <status>unmodified</status>
      <modifiedWord/>
      <trackRevisions>false</trackRevisions>
    </reviewItem>
    <reviewItem>
      <errorID>f5062009-f483-4f0f-a7fb-ea26fc5b128f</errorID>
      <errorWord>上线</errorWord>
      <group>L1_Word</group>
      <groupName>字词问题</groupName>
      <ability>L2_Typo</ability>
      <abilityName>字词错误</abilityName>
      <candidateList>
        <item>上限</item>
      </candidateList>
      <explain/>
      <paraID>558B0CEA</paraID>
      <start>123</start>
      <end>125</end>
      <status>unmodified</status>
      <modifiedWord/>
      <trackRevisions>false</trackRevisions>
    </reviewItem>
    <reviewItem>
      <errorID>86b5f95c-6f21-441b-b36e-19d778aa8323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F7C48A4</paraID>
      <start>64</start>
      <end>65</end>
      <status>unmodified</status>
      <modifiedWord/>
      <trackRevisions>false</trackRevisions>
    </reviewItem>
    <reviewItem>
      <errorID>eee505da-72d5-409d-9d7b-efa100d8e58b</errorID>
      <errorWord>)</errorWord>
      <group>L1_Format</group>
      <groupName>格式问题</groupName>
      <ability>L2_HalfPunc</ability>
      <abilityName>全半角检查</abilityName>
      <candidateList>
        <item>）</item>
      </candidateList>
      <explain>文本全半角错误。</explain>
      <paraID>4D3E555A</paraID>
      <start>40</start>
      <end>41</end>
      <status>unmodified</status>
      <modifiedWord/>
      <trackRevisions>false</trackRevisions>
    </reviewItem>
    <reviewItem>
      <errorID>562f5d44-ba2f-40eb-8e02-959c609610d5</errorID>
      <errorWord>.，</errorWord>
      <group>L1_Punc</group>
      <groupName>标点问题</groupName>
      <ability>L2_Punc</ability>
      <abilityName>标点符号检查</abilityName>
      <candidateList>
        <item>.</item>
      </candidateList>
      <explain/>
      <paraID>53C002AF</paraID>
      <start>1</start>
      <end>3</end>
      <status>unmodified</status>
      <modifiedWord/>
      <trackRevisions>false</trackRevisions>
    </reviewItem>
    <reviewItem>
      <errorID>5352d2aa-71e5-49db-b36c-b3a7484fd18e</errorID>
      <errorWord>仅</errorWord>
      <group>L1_Word</group>
      <groupName>字词问题</groupName>
      <ability>L2_Typo</ability>
      <abilityName>字词错误</abilityName>
      <candidateList>
        <item>均</item>
      </candidateList>
      <explain>存在发音相近字词的误用。</explain>
      <paraID>7C21F707</paraID>
      <start>10</start>
      <end>11</end>
      <status>unmodified</status>
      <modifiedWord/>
      <trackRevisions>false</trackRevisions>
    </reviewItem>
    <reviewItem>
      <errorID>e7261d6d-600d-4f9d-802d-64b4c05db410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4C192B64</paraID>
      <start>0</start>
      <end>2</end>
      <status>unmodified</status>
      <modifiedWord/>
      <trackRevisions>false</trackRevisions>
    </reviewItem>
    <reviewItem>
      <errorID>d4229db0-9865-45ff-b1c8-f1e9c6fd4d22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D8CA5AC</paraID>
      <start>20</start>
      <end>21</end>
      <status>unmodified</status>
      <modifiedWord/>
      <trackRevisions>false</trackRevisions>
    </reviewItem>
    <reviewItem>
      <errorID>820c268f-4cf8-49fe-81ae-565518c2e3eb</errorID>
      <errorWord>污染治理攻坚战</errorWord>
      <group>L1_Political</group>
      <groupName>政治性问题</groupName>
      <ability>L2_Keyword</ability>
      <abilityName>固定表述</abilityName>
      <candidateList>
        <item>污染防治攻坚战</item>
      </candidateList>
      <explain>词汇“污染防治攻坚战”在特定场景下为固定表述形式，请确认此处的“污染治理攻坚战”是否存在不当。</explain>
      <paraID>52FDD13B</paraID>
      <start>8</start>
      <end>15</end>
      <status>unmodified</status>
      <modifiedWord/>
      <trackRevisions>false</trackRevisions>
    </reviewItem>
    <reviewItem>
      <errorID>a6839980-1cb6-467a-b12e-ac6d6850b5ab</errorID>
      <errorWord>城乡结合部</errorWord>
      <group>L1_Word</group>
      <groupName>字词问题</groupName>
      <ability>L2_Typo</ability>
      <abilityName>字词错误</abilityName>
      <candidateList>
        <item>城乡接合部</item>
      </candidateList>
      <explain/>
      <paraID>3DE89CDD</paraID>
      <start>57</start>
      <end>62</end>
      <status>unmodified</status>
      <modifiedWord/>
      <trackRevisions>false</trackRevisions>
    </reviewItem>
    <reviewItem>
      <errorID>0001f1f7-4b48-4e5d-b620-5e2ddadb0607</errorID>
      <errorWord>加强</errorWord>
      <group>L1_Grammar</group>
      <groupName>语法问题</groupName>
      <ability>L2_Grammar</ability>
      <abilityName>语法错误</abilityName>
      <candidateList>
        <item>加大</item>
      </candidateList>
      <explain>“加强～力度”搭配不当，建议修改为“加大～力度”。</explain>
      <paraID>4D09E692</paraID>
      <start>55</start>
      <end>57</end>
      <status>unmodified</status>
      <modifiedWord/>
      <trackRevisions>false</trackRevisions>
    </reviewItem>
    <reviewItem>
      <errorID>182a735f-8999-41e6-b1bc-8ad42c8fa400</errorID>
      <errorWord>污染治理攻坚战</errorWord>
      <group>L1_Political</group>
      <groupName>政治性问题</groupName>
      <ability>L2_Keyword</ability>
      <abilityName>固定表述</abilityName>
      <candidateList>
        <item>污染防治攻坚战</item>
      </candidateList>
      <explain>词汇“污染防治攻坚战”在特定场景下为固定表述形式，请确认此处的“污染治理攻坚战”是否存在不当。</explain>
      <paraID> 9C41627</paraID>
      <start>6</start>
      <end>13</end>
      <status>unmodified</status>
      <modifiedWord/>
      <trackRevisions>false</trackRevisions>
    </reviewItem>
    <reviewItem>
      <errorID>e9c32ffa-950b-43cb-8ebc-dba5f8d847fb</errorID>
      <errorWord>(</errorWord>
      <group>L1_Format</group>
      <groupName>格式问题</groupName>
      <ability>L2_HalfPunc</ability>
      <abilityName>全半角检查</abilityName>
      <candidateList>
        <item>（</item>
      </candidateList>
      <explain>文本全半角错误。</explain>
      <paraID>5199EB90</paraID>
      <start>33</start>
      <end>34</end>
      <status>unmodified</status>
      <modifiedWord/>
      <trackRevisions>false</trackRevisions>
    </reviewItem>
    <reviewItem>
      <errorID>fbb21ceb-92fe-48ea-b66d-403670b92e8e</errorID>
      <errorWord>)</errorWord>
      <group>L1_Format</group>
      <groupName>格式问题</groupName>
      <ability>L2_HalfPunc</ability>
      <abilityName>全半角检查</abilityName>
      <candidateList>
        <item>）</item>
      </candidateList>
      <explain>文本全半角错误。</explain>
      <paraID>5199EB90</paraID>
      <start>46</start>
      <end>47</end>
      <status>unmodified</status>
      <modifiedWord/>
      <trackRevisions>false</trackRevisions>
    </reviewItem>
    <reviewItem>
      <errorID>b30ef328-b151-4f68-88dd-2b3feaa87b6b</errorID>
      <errorWord>法律、法规</errorWord>
      <group>L1_Word</group>
      <groupName>字词问题</groupName>
      <ability>L2_Typo</ability>
      <abilityName>字词错误</abilityName>
      <candidateList>
        <item>法律法规</item>
      </candidateList>
      <explain/>
      <paraID>39B9910B</paraID>
      <start>84</start>
      <end>89</end>
      <status>unmodified</status>
      <modifiedWord/>
      <trackRevisions>false</trackRevisions>
    </reviewItem>
    <reviewItem>
      <errorID>6db90966-dfc4-4004-8005-b5020efc8b7f</errorID>
      <errorWord>法律、法规</errorWord>
      <group>L1_Word</group>
      <groupName>字词问题</groupName>
      <ability>L2_Typo</ability>
      <abilityName>字词错误</abilityName>
      <candidateList>
        <item>法律法规</item>
      </candidateList>
      <explain/>
      <paraID>409A55A1</paraID>
      <start>3</start>
      <end>8</end>
      <status>unmodified</status>
      <modifiedWord/>
      <trackRevisions>false</trackRevisions>
    </reviewItem>
    <reviewItem>
      <errorID>29939fe9-ba9c-4ae6-9bb9-e301086531e6</errorID>
      <errorWord>法律、法规</errorWord>
      <group>L1_Word</group>
      <groupName>字词问题</groupName>
      <ability>L2_Typo</ability>
      <abilityName>字词错误</abilityName>
      <candidateList>
        <item>法律法规</item>
      </candidateList>
      <explain/>
      <paraID>4A0739C9</paraID>
      <start>8</start>
      <end>13</end>
      <status>unmodified</status>
      <modifiedWord/>
      <trackRevisions>false</trackRevisions>
    </reviewItem>
    <reviewItem>
      <errorID>b9cf01a8-2635-4e9b-8b53-3c5655b77ab3</errorID>
      <errorWord>)</errorWord>
      <group>L1_Format</group>
      <groupName>格式问题</groupName>
      <ability>L2_HalfPunc</ability>
      <abilityName>全半角检查</abilityName>
      <candidateList>
        <item>）</item>
      </candidateList>
      <explain>文本全半角错误。</explain>
      <paraID>1C50F0DB</paraID>
      <start>2</start>
      <end>3</end>
      <status>unmodified</status>
      <modifiedWord/>
      <trackRevisions>false</trackRevisions>
    </reviewItem>
    <reviewItem>
      <errorID>f338101b-7d1e-4bbf-a8d8-89893a904be8</errorID>
      <errorWord>&lt;</errorWord>
      <group>L1_Format</group>
      <groupName>格式问题</groupName>
      <ability>L2_HalfPunc</ability>
      <abilityName>全半角检查</abilityName>
      <candidateList>
        <item>〈</item>
      </candidateList>
      <explain>文本全半角错误。</explain>
      <paraID>1B074FFA</paraID>
      <start>10</start>
      <end>11</end>
      <status>unmodified</status>
      <modifiedWord/>
      <trackRevisions>false</trackRevisions>
    </reviewItem>
    <reviewItem>
      <errorID>39e39438-b26e-41e3-8096-ff88521c367a</errorID>
      <errorWord>&gt;的通知》</errorWord>
      <group>L1_Punc</group>
      <groupName>标点问题</groupName>
      <ability>L2_Punc</ability>
      <abilityName>标点符号检查</abilityName>
      <candidateList>
        <item>〉的通知》</item>
      </candidateList>
      <explain/>
      <paraID>1B074FFA</paraID>
      <start>18</start>
      <end>23</end>
      <status>unmodified</status>
      <modifiedWord/>
      <trackRevisions>false</trackRevisions>
    </reviewItem>
    <reviewItem>
      <errorID>21d4e853-c077-4a23-8d53-fb1885ca0cb7</errorID>
      <errorWord>(</errorWord>
      <group>L1_Format</group>
      <groupName>格式问题</groupName>
      <ability>L2_HalfPunc</ability>
      <abilityName>全半角检查</abilityName>
      <candidateList>
        <item>（</item>
      </candidateList>
      <explain>文本全半角错误。</explain>
      <paraID> F790288</paraID>
      <start>128</start>
      <end>129</end>
      <status>unmodified</status>
      <modifiedWord/>
      <trackRevisions>false</trackRevisions>
    </reviewItem>
    <reviewItem>
      <errorID>6812b3f6-f56f-4425-9184-f4c467c1486e</errorID>
      <errorWord>)</errorWord>
      <group>L1_Format</group>
      <groupName>格式问题</groupName>
      <ability>L2_HalfPunc</ability>
      <abilityName>全半角检查</abilityName>
      <candidateList>
        <item>）</item>
      </candidateList>
      <explain>文本全半角错误。</explain>
      <paraID> F790288</paraID>
      <start>141</start>
      <end>142</end>
      <status>unmodified</status>
      <modifiedWord/>
      <trackRevisions>false</trackRevisions>
    </reviewItem>
    <reviewItem>
      <errorID>8681045c-1bef-42fa-b5d0-77ec2aed1625</errorID>
      <errorWord>&lt;</errorWord>
      <group>L1_Format</group>
      <groupName>格式问题</groupName>
      <ability>L2_HalfPunc</ability>
      <abilityName>全半角检查</abilityName>
      <candidateList>
        <item>〈</item>
      </candidateList>
      <explain>文本全半角错误。</explain>
      <paraID> F790288</paraID>
      <start>259</start>
      <end>260</end>
      <status>unmodified</status>
      <modifiedWord/>
      <trackRevisions>false</trackRevisions>
    </reviewItem>
    <reviewItem>
      <errorID>b836dc85-de9c-41c9-a166-11bf3a79064c</errorID>
      <errorWord>&gt;的通知》</errorWord>
      <group>L1_Punc</group>
      <groupName>标点问题</groupName>
      <ability>L2_Punc</ability>
      <abilityName>标点符号检查</abilityName>
      <candidateList>
        <item>〉的通知》</item>
      </candidateList>
      <explain/>
      <paraID> F790288</paraID>
      <start>267</start>
      <end>272</end>
      <status>unmodified</status>
      <modifiedWord/>
      <trackRevisions>false</trackRevisions>
    </reviewItem>
    <reviewItem>
      <errorID>e85f300d-46e0-4d32-9bb2-62161ca60a73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63CCF51F</paraID>
      <start>0</start>
      <end>2</end>
      <status>unmodified</status>
      <modifiedWord/>
      <trackRevisions>false</trackRevisions>
    </reviewItem>
    <reviewItem>
      <errorID>51c1b34e-f768-4efa-a502-66caa95a53a6</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2B0C1116</paraID>
      <start>145</start>
      <end>148</end>
      <status>unmodified</status>
      <modifiedWord/>
      <trackRevisions>false</trackRevisions>
    </reviewItem>
    <reviewItem>
      <errorID>ffb86682-90b8-4ee3-98f6-525e0057238d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3BB4D65B</paraID>
      <start>39</start>
      <end>40</end>
      <status>unmodified</status>
      <modifiedWord/>
      <trackRevisions>false</trackRevisions>
    </reviewItem>
    <reviewItem>
      <errorID>d13211b1-938f-4ba1-b543-9d01b582f931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4E14D6AC</paraID>
      <start>0</start>
      <end>2</end>
      <status>unmodified</status>
      <modifiedWord/>
      <trackRevisions>false</trackRevisions>
    </reviewItem>
    <reviewItem>
      <errorID>145a7c74-2c77-46ca-9668-1fef908efb3b</errorID>
      <errorWord>)</errorWord>
      <group>L1_Format</group>
      <groupName>格式问题</groupName>
      <ability>L2_HalfPunc</ability>
      <abilityName>全半角检查</abilityName>
      <candidateList>
        <item>）</item>
      </candidateList>
      <explain>文本全半角错误。</explain>
      <paraID>5A488B40</paraID>
      <start>49</start>
      <end>50</end>
      <status>unmodified</status>
      <modifiedWord/>
      <trackRevisions>false</trackRevisions>
    </reviewItem>
    <reviewItem>
      <errorID>a77451af-e00b-418f-ac67-d6a84066dc36</errorID>
      <errorWord>)</errorWord>
      <group>L1_Format</group>
      <groupName>格式问题</groupName>
      <ability>L2_HalfPunc</ability>
      <abilityName>全半角检查</abilityName>
      <candidateList>
        <item>）</item>
      </candidateList>
      <explain>文本全半角错误。</explain>
      <paraID>41DD7BCF</paraID>
      <start>26</start>
      <end>27</end>
      <status>unmodified</status>
      <modifiedWord/>
      <trackRevisions>false</trackRevisions>
    </reviewItem>
    <reviewItem>
      <errorID>7e84403c-05e2-478f-97c3-da5f3f469a60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CE7D830</paraID>
      <start>0</start>
      <end>2</end>
      <status>unmodified</status>
      <modifiedWord/>
      <trackRevisions>false</trackRevisions>
    </reviewItem>
    <reviewItem>
      <errorID>dd6c43fd-b0a9-4bb4-bc64-2605b67d794c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614E9B99</paraID>
      <start>0</start>
      <end>2</end>
      <status>unmodified</status>
      <modifiedWord/>
      <trackRevisions>false</trackRevisions>
    </reviewItem>
    <reviewItem>
      <errorID>e70c6a5d-e62d-4c1f-8d12-adb245f16ea6</errorID>
      <errorWord>~</errorWord>
      <group>L1_Format</group>
      <groupName>格式问题</groupName>
      <ability>L2_HalfPunc</ability>
      <abilityName>全半角检查</abilityName>
      <candidateList>
        <item>～</item>
      </candidateList>
      <explain>文本全半角错误。</explain>
      <paraID>1B69B150</paraID>
      <start>12</start>
      <end>13</end>
      <status>unmodified</status>
      <modifiedWord/>
      <trackRevisions>false</trackRevisions>
    </reviewItem>
    <reviewItem>
      <errorID>6d3b4f88-1b6b-45fc-b7e1-2320e7936958</errorID>
      <errorWord>粘度</errorWord>
      <group>L1_Word</group>
      <groupName>字词问题</groupName>
      <ability>L2_Alias</ability>
      <abilityName>也作/曾用词</abilityName>
      <candidateList>
        <item>黏度</item>
      </candidateList>
      <explain>词汇[粘度]为不规范表述或旧称，其规范书面表述为[黏度]。</explain>
      <paraID>3626F1DB</paraID>
      <start>0</start>
      <end>2</end>
      <status>unmodified</status>
      <modifiedWord/>
      <trackRevisions>false</trackRevisions>
    </reviewItem>
    <reviewItem>
      <errorID>13beaac2-8777-4686-a530-8e0c4ebda1f4</errorID>
      <errorWord>粘度</errorWord>
      <group>L1_Word</group>
      <groupName>字词问题</groupName>
      <ability>L2_Alias</ability>
      <abilityName>也作/曾用词</abilityName>
      <candidateList>
        <item>黏度</item>
      </candidateList>
      <explain>词汇[粘度]为不规范表述或旧称，其规范书面表述为[黏度]。</explain>
      <paraID>3626F1DB</paraID>
      <start>5</start>
      <end>7</end>
      <status>unmodified</status>
      <modifiedWord/>
      <trackRevisions>false</trackRevisions>
    </reviewItem>
    <reviewItem>
      <errorID>b7c2cf55-e2c7-4d01-8ae4-ab9fae187be5</errorID>
      <errorWord>,</errorWord>
      <group>L1_Format</group>
      <groupName>格式问题</groupName>
      <ability>L2_HalfPunc</ability>
      <abilityName>全半角检查</abilityName>
      <candidateList>
        <item>，</item>
      </candidateList>
      <explain>文本全半角错误。</explain>
      <paraID>279D4724</paraID>
      <start>23</start>
      <end>24</end>
      <status>unmodified</status>
      <modifiedWord/>
      <trackRevisions>false</trackRevisions>
    </reviewItem>
    <reviewItem>
      <errorID>137dfbc3-3e7f-4846-bc57-de613e95ad6b</errorID>
      <errorWord>:</errorWord>
      <group>L1_Format</group>
      <groupName>格式问题</groupName>
      <ability>L2_HalfPunc</ability>
      <abilityName>全半角检查</abilityName>
      <candidateList>
        <item>：</item>
      </candidateList>
      <explain>文本全半角错误。</explain>
      <paraID>279D4724</paraID>
      <start>112</start>
      <end>113</end>
      <status>unmodified</status>
      <modifiedWord/>
      <trackRevisions>false</trackRevisions>
    </reviewItem>
    <reviewItem>
      <errorID>3dd5d612-459d-48f0-af11-bca8c09482c5</errorID>
      <errorWord>;</errorWord>
      <group>L1_Format</group>
      <groupName>格式问题</groupName>
      <ability>L2_HalfPunc</ability>
      <abilityName>全半角检查</abilityName>
      <candidateList>
        <item>；</item>
      </candidateList>
      <explain>文本全半角错误。</explain>
      <paraID>279D4724</paraID>
      <start>130</start>
      <end>131</end>
      <status>unmodified</status>
      <modifiedWord/>
      <trackRevisions>false</trackRevisions>
    </reviewItem>
    <reviewItem>
      <errorID>2fe389fe-62f0-47a7-881b-5d5d2525ce31</errorID>
      <errorWord>;</errorWord>
      <group>L1_Format</group>
      <groupName>格式问题</groupName>
      <ability>L2_HalfPunc</ability>
      <abilityName>全半角检查</abilityName>
      <candidateList>
        <item>；</item>
      </candidateList>
      <explain>文本全半角错误。</explain>
      <paraID>2AB788EA</paraID>
      <start>22</start>
      <end>23</end>
      <status>unmodified</status>
      <modifiedWord/>
      <trackRevisions>false</trackRevisions>
    </reviewItem>
    <reviewItem>
      <errorID>5b8669bf-2ee2-408b-99e8-000a769a18db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32750F9E</paraID>
      <start>0</start>
      <end>2</end>
      <status>unmodified</status>
      <modifiedWord/>
      <trackRevisions>false</trackRevisions>
    </reviewItem>
    <reviewItem>
      <errorID>ebe7529d-a677-489a-b8d7-04b55b85b6dd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165559B</paraID>
      <start>0</start>
      <end>2</end>
      <status>unmodified</status>
      <modifiedWord/>
      <trackRevisions>false</trackRevisions>
    </reviewItem>
    <reviewItem>
      <errorID>fb5005ae-b08a-4e3a-99d8-902cdba78d10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5275D1BB</paraID>
      <start>0</start>
      <end>2</end>
      <status>unmodified</status>
      <modifiedWord/>
      <trackRevisions>false</trackRevisions>
    </reviewItem>
    <reviewItem>
      <errorID>eee24aed-5de3-4614-8298-75489019f45b</errorID>
      <errorWord>计</errorWord>
      <group>L1_Word</group>
      <groupName>字词问题</groupName>
      <ability>L2_Typo</ability>
      <abilityName>字词错误</abilityName>
      <candidateList>
        <item>计算</item>
      </candidateList>
      <explain/>
      <paraID>404ABE25</paraID>
      <start>78</start>
      <end>79</end>
      <status>unmodified</status>
      <modifiedWord/>
      <trackRevisions>false</trackRevisions>
    </reviewItem>
    <reviewItem>
      <errorID>c0a6f55a-736b-44da-be9b-44421f2b46e0</errorID>
      <errorWord>配置</errorWord>
      <group>L1_Word</group>
      <groupName>字词问题</groupName>
      <ability>L2_Typo</ability>
      <abilityName>字词错误</abilityName>
      <candidateList>
        <item>配制</item>
      </candidateList>
      <explain/>
      <paraID>3B977BA0</paraID>
      <start>23</start>
      <end>25</end>
      <status>unmodified</status>
      <modifiedWord/>
      <trackRevisions>false</trackRevisions>
    </reviewItem>
    <reviewItem>
      <errorID>a8e95bdd-79f0-4a98-abb4-6169cddfa283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387892BD</paraID>
      <start>0</start>
      <end>2</end>
      <status>unmodified</status>
      <modifiedWord/>
      <trackRevisions>false</trackRevisions>
    </reviewItem>
    <reviewItem>
      <errorID>4b85956a-2891-466e-8eca-db6717c5d6b8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20BC4EE</paraID>
      <start>0</start>
      <end>3</end>
      <status>unmodified</status>
      <modifiedWord/>
      <trackRevisions>false</trackRevisions>
    </reviewItem>
    <reviewItem>
      <errorID>ac26872e-53e8-4d37-9223-0d7cf18859f7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2506953F</paraID>
      <start>0</start>
      <end>2</end>
      <status>unmodified</status>
      <modifiedWord/>
      <trackRevisions>false</trackRevisions>
    </reviewItem>
    <reviewItem>
      <errorID>f1485bdf-6c79-4547-916e-1accad360ea2</errorID>
      <errorWord>:</errorWord>
      <group>L1_Format</group>
      <groupName>格式问题</groupName>
      <ability>L2_HalfPunc</ability>
      <abilityName>全半角检查</abilityName>
      <candidateList>
        <item>：</item>
      </candidateList>
      <explain>文本全半角错误。</explain>
      <paraID>383DCEC2</paraID>
      <start>11</start>
      <end>12</end>
      <status>unmodified</status>
      <modifiedWord/>
      <trackRevisions>false</trackRevisions>
    </reviewItem>
    <reviewItem>
      <errorID>142f7cb3-0cfe-469e-aac9-5afa5856c49e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100EFBAF</paraID>
      <start>0</start>
      <end>2</end>
      <status>unmodified</status>
      <modifiedWord/>
      <trackRevisions>false</trackRevisions>
    </reviewItem>
    <reviewItem>
      <errorID>319e7f49-4a9e-4f7b-a7ae-2ec436053acc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612E2C8D</paraID>
      <start>108</start>
      <end>109</end>
      <status>unmodified</status>
      <modifiedWord/>
      <trackRevisions>false</trackRevisions>
    </reviewItem>
    <reviewItem>
      <errorID>f98ea3e5-78df-459d-9a5f-dd904b7f5d19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3AEB1CA0</paraID>
      <start>0</start>
      <end>2</end>
      <status>unmodified</status>
      <modifiedWord/>
      <trackRevisions>false</trackRevisions>
    </reviewItem>
    <reviewItem>
      <errorID>9b41f2e6-0757-4aa6-a96f-db75599b0985</errorID>
      <errorWord>、附</errorWord>
      <group>L1_Word</group>
      <groupName>字词问题</groupName>
      <ability>L2_Typo</ability>
      <abilityName>字词错误</abilityName>
      <candidateList>
        <item>、</item>
      </candidateList>
      <explain/>
      <paraID> FCF7883</paraID>
      <start>108</start>
      <end>110</end>
      <status>unmodified</status>
      <modifiedWord/>
      <trackRevisions>false</trackRevisions>
    </reviewItem>
    <reviewItem>
      <errorID>dfd6056b-f3fb-4c25-9c61-7706ac563eda</errorID>
      <errorWord>松籽</errorWord>
      <group>L1_Word</group>
      <groupName>字词问题</groupName>
      <ability>L2_Typo</ability>
      <abilityName>字词错误</abilityName>
      <candidateList>
        <item>松子</item>
      </candidateList>
      <explain>存在发音相同字词的误用。</explain>
      <paraID> FCF7883</paraID>
      <start>113</start>
      <end>115</end>
      <status>unmodified</status>
      <modifiedWord/>
      <trackRevisions>false</trackRevisions>
    </reviewItem>
    <reviewItem>
      <errorID>98b17593-9faf-4a1a-ada9-4d5cbcb158c6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4CCC8839</paraID>
      <start>0</start>
      <end>2</end>
      <status>unmodified</status>
      <modifiedWord/>
      <trackRevisions>false</trackRevisions>
    </reviewItem>
    <reviewItem>
      <errorID>ceddae30-187b-4d22-9449-5ce20cd6e6d6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3850533</paraID>
      <start>0</start>
      <end>2</end>
      <status>unmodified</status>
      <modifiedWord/>
      <trackRevisions>false</trackRevisions>
    </reviewItem>
    <reviewItem>
      <errorID>adc9c43a-9884-430e-bf9d-59aa590d762c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560D16D9</paraID>
      <start>0</start>
      <end>2</end>
      <status>unmodified</status>
      <modifiedWord/>
      <trackRevisions>false</trackRevisions>
    </reviewItem>
    <reviewItem>
      <errorID>c3064b13-b934-4c21-9d6b-001eb69ac9b2</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70509254</paraID>
      <start>62</start>
      <end>65</end>
      <status>unmodified</status>
      <modifiedWord/>
      <trackRevisions>false</trackRevisions>
    </reviewItem>
    <reviewItem>
      <errorID>d5278938-323a-4a18-af6c-ac0a4e82dda4</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51806AC9</paraID>
      <start>6</start>
      <end>9</end>
      <status>unmodified</status>
      <modifiedWord/>
      <trackRevisions>false</trackRevisions>
    </reviewItem>
    <reviewItem>
      <errorID>5264b577-c954-4561-83b6-2f19047f5d12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4F6F2F3A</paraID>
      <start>0</start>
      <end>2</end>
      <status>unmodified</status>
      <modifiedWord/>
      <trackRevisions>false</trackRevisions>
    </reviewItem>
    <reviewItem>
      <errorID>75805cf8-8493-47a1-8acd-3f3b5df2c9a8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DF9433E</paraID>
      <start>0</start>
      <end>2</end>
      <status>unmodified</status>
      <modifiedWord/>
      <trackRevisions>false</trackRevisions>
    </reviewItem>
    <reviewItem>
      <errorID>0b86d13b-5f3c-44be-8490-a46175b721b0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58BFFFEA</paraID>
      <start>0</start>
      <end>2</end>
      <status>unmodified</status>
      <modifiedWord/>
      <trackRevisions>false</trackRevisions>
    </reviewItem>
    <reviewItem>
      <errorID>fbab2443-484f-4de1-915b-2e88bd9d7478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3D784369</paraID>
      <start>0</start>
      <end>2</end>
      <status>unmodified</status>
      <modifiedWord/>
      <trackRevisions>false</trackRevisions>
    </reviewItem>
    <reviewItem>
      <errorID>9a78b312-b37f-4956-a7d3-503358294a71</errorID>
      <errorWord>设</errorWord>
      <group>L1_Word</group>
      <groupName>字词问题</groupName>
      <ability>L2_Typo</ability>
      <abilityName>字词错误</abilityName>
      <candidateList>
        <item>设项</item>
      </candidateList>
      <explain/>
      <paraID>105711B7</paraID>
      <start>4</start>
      <end>5</end>
      <status>unmodified</status>
      <modifiedWord/>
      <trackRevisions>false</trackRevisions>
    </reviewItem>
    <reviewItem>
      <errorID>42a6a04d-c0c1-4604-874e-6c475dd66144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383F4F48</paraID>
      <start>0</start>
      <end>2</end>
      <status>unmodified</status>
      <modifiedWord/>
      <trackRevisions>false</trackRevisions>
    </reviewItem>
    <reviewItem>
      <errorID>62afd078-ded3-478e-a5a9-793ac7dec7bd</errorID>
      <errorWord>（</errorWord>
      <group>L1_Format</group>
      <groupName>格式问题</groupName>
      <ability>L2_HalfPunc</ability>
      <abilityName>全半角检查</abilityName>
      <candidateList>
        <item>(</item>
      </candidateList>
      <explain>文本全半角错误。</explain>
      <paraID>458F40EC</paraID>
      <start>0</start>
      <end>1</end>
      <status>unmodified</status>
      <modifiedWord/>
      <trackRevisions>false</trackRevisions>
    </reviewItem>
    <reviewItem>
      <errorID>48a23fe4-4400-4c6c-b8f5-769f16c34491</errorID>
      <errorWord>）</errorWord>
      <group>L1_Format</group>
      <groupName>格式问题</groupName>
      <ability>L2_HalfPunc</ability>
      <abilityName>全半角检查</abilityName>
      <candidateList>
        <item>)</item>
      </candidateList>
      <explain>文本全半角错误。</explain>
      <paraID>458F40EC</paraID>
      <start>2</start>
      <end>3</end>
      <status>unmodified</status>
      <modifiedWord/>
      <trackRevisions>false</trackRevisions>
    </reviewItem>
    <reviewItem>
      <errorID>e9e69c3c-78f9-4c08-893f-cf976f96440a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EB22529</paraID>
      <start>0</start>
      <end>2</end>
      <status>unmodified</status>
      <modifiedWord/>
      <trackRevisions>false</trackRevisions>
    </reviewItem>
    <reviewItem>
      <errorID>2e6638a9-afa4-423a-b9c3-a490605874b5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418F3E88</paraID>
      <start>0</start>
      <end>2</end>
      <status>unmodified</status>
      <modifiedWord/>
      <trackRevisions>false</trackRevisions>
    </reviewItem>
    <reviewItem>
      <errorID>b678b658-d8e4-4095-8bdb-a336340ecff5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112133FE</paraID>
      <start>0</start>
      <end>2</end>
      <status>unmodified</status>
      <modifiedWord/>
      <trackRevisions>false</trackRevisions>
    </reviewItem>
    <reviewItem>
      <errorID>daf0e766-ed93-4c4e-b331-587d6b1ad4c2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AB0ECFC</paraID>
      <start>0</start>
      <end>2</end>
      <status>unmodified</status>
      <modifiedWord/>
      <trackRevisions>false</trackRevisions>
    </reviewItem>
    <reviewItem>
      <errorID>97c0e23d-8089-43d0-b2ac-8a5b759536d1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11EFC961</paraID>
      <start>71</start>
      <end>72</end>
      <status>unmodified</status>
      <modifiedWord/>
      <trackRevisions>false</trackRevisions>
    </reviewItem>
    <reviewItem>
      <errorID>318fba20-7783-4d7f-97e7-8d923a9b6f73</errorID>
      <errorWord>）中</errorWord>
      <group>L1_Word</group>
      <groupName>字词问题</groupName>
      <ability>L2_Typo</ability>
      <abilityName>字词错误</abilityName>
      <candidateList>
        <item>）</item>
      </candidateList>
      <explain/>
      <paraID>2E1658EB</paraID>
      <start>31</start>
      <end>33</end>
      <status>unmodified</status>
      <modifiedWord/>
      <trackRevisions>false</trackRevisions>
    </reviewItem>
    <reviewItem>
      <errorID>d710dfed-c009-4a22-a675-d382236d0531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2CB891B0</paraID>
      <start>0</start>
      <end>2</end>
      <status>unmodified</status>
      <modifiedWord/>
      <trackRevisions>false</trackRevisions>
    </reviewItem>
    <reviewItem>
      <errorID>e8f67faa-0517-46be-8ebe-3fb967af24df</errorID>
      <errorWord>:</errorWord>
      <group>L1_Format</group>
      <groupName>格式问题</groupName>
      <ability>L2_HalfPunc</ability>
      <abilityName>全半角检查</abilityName>
      <candidateList>
        <item>：</item>
      </candidateList>
      <explain>文本全半角错误。</explain>
      <paraID>48680F3C</paraID>
      <start>23</start>
      <end>24</end>
      <status>unmodified</status>
      <modifiedWord/>
      <trackRevisions>false</trackRevisions>
    </reviewItem>
    <reviewItem>
      <errorID>ee824869-5c7e-49a4-a07f-2d2e0921eb5f</errorID>
      <errorWord>)</errorWord>
      <group>L1_Format</group>
      <groupName>格式问题</groupName>
      <ability>L2_HalfPunc</ability>
      <abilityName>全半角检查</abilityName>
      <candidateList>
        <item>）</item>
      </candidateList>
      <explain>文本全半角错误。</explain>
      <paraID>48680F3C</paraID>
      <start>34</start>
      <end>35</end>
      <status>unmodified</status>
      <modifiedWord/>
      <trackRevisions>false</trackRevisions>
    </reviewItem>
    <reviewItem>
      <errorID>83887b11-c91e-4a88-9f3f-c5bbc9f0244e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3BEBF385</paraID>
      <start>0</start>
      <end>2</end>
      <status>unmodified</status>
      <modifiedWord/>
      <trackRevisions>false</trackRevisions>
    </reviewItem>
    <reviewItem>
      <errorID>47e39463-84fb-4e2c-8aef-c315723c2062</errorID>
      <errorWord>)</errorWord>
      <group>L1_Format</group>
      <groupName>格式问题</groupName>
      <ability>L2_HalfPunc</ability>
      <abilityName>全半角检查</abilityName>
      <candidateList>
        <item>）</item>
      </candidateList>
      <explain>文本全半角错误。</explain>
      <paraID>4C11707F</paraID>
      <start>9</start>
      <end>10</end>
      <status>unmodified</status>
      <modifiedWord/>
      <trackRevisions>false</trackRevisions>
    </reviewItem>
    <reviewItem>
      <errorID>fc7c363b-2fc6-4b69-8d13-bc89e8df134f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77353414</paraID>
      <start>0</start>
      <end>2</end>
      <status>unmodified</status>
      <modifiedWord/>
      <trackRevisions>false</trackRevisions>
    </reviewItem>
    <reviewItem>
      <errorID>7793182b-8ba9-4594-9880-f5621380420c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36377CC7</paraID>
      <start>0</start>
      <end>2</end>
      <status>unmodified</status>
      <modifiedWord/>
      <trackRevisions>false</trackRevisions>
    </reviewItem>
    <reviewItem>
      <errorID>fc257961-d6d3-4b37-8b78-8754c0e46811</errorID>
      <errorWord>工地</errorWord>
      <group>L1_Word</group>
      <groupName>字词问题</groupName>
      <ability>L2_Typo</ability>
      <abilityName>字词错误</abilityName>
      <candidateList>
        <item>场地</item>
      </candidateList>
      <explain/>
      <paraID>7EB58FE6</paraID>
      <start>30</start>
      <end>32</end>
      <status>unmodified</status>
      <modifiedWord/>
      <trackRevisions>false</trackRevisions>
    </reviewItem>
    <reviewItem>
      <errorID>bd1747d5-a34a-481c-83f7-ac0772e74ff7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13EDD2BA</paraID>
      <start>0</start>
      <end>2</end>
      <status>unmodified</status>
      <modifiedWord/>
      <trackRevisions>false</trackRevisions>
    </reviewItem>
    <reviewItem>
      <errorID>4d7e46bf-20a5-4bc0-a694-1bd4637c1591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38C970E1</paraID>
      <start>0</start>
      <end>2</end>
      <status>unmodified</status>
      <modifiedWord/>
      <trackRevisions>false</trackRevisions>
    </reviewItem>
    <reviewItem>
      <errorID>6f899700-0efa-44de-9122-1d1b05971e7c</errorID>
      <errorWord>震动</errorWord>
      <group>L1_Word</group>
      <groupName>字词问题</groupName>
      <ability>L2_Typo</ability>
      <abilityName>字词错误</abilityName>
      <candidateList>
        <item>振动</item>
      </candidateList>
      <explain>存在发音相同字词的误用。</explain>
      <paraID>1327916C</paraID>
      <start>64</start>
      <end>66</end>
      <status>unmodified</status>
      <modifiedWord/>
      <trackRevisions>false</trackRevisions>
    </reviewItem>
    <reviewItem>
      <errorID>088b8b66-b5b2-48bc-a20f-a237a29466d6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1249E763</paraID>
      <start>0</start>
      <end>2</end>
      <status>unmodified</status>
      <modifiedWord/>
      <trackRevisions>false</trackRevisions>
    </reviewItem>
    <reviewItem>
      <errorID>3166ef4b-657f-4697-bf05-6de394dc90b9</errorID>
      <errorWord>（</errorWord>
      <group>L1_Format</group>
      <groupName>格式问题</groupName>
      <ability>L2_HalfPunc</ability>
      <abilityName>全半角检查</abilityName>
      <candidateList>
        <item>(</item>
      </candidateList>
      <explain>文本全半角错误。</explain>
      <paraID>47AC4C0F</paraID>
      <start>22</start>
      <end>23</end>
      <status>unmodified</status>
      <modifiedWord/>
      <trackRevisions>false</trackRevisions>
    </reviewItem>
    <reviewItem>
      <errorID>e62361fe-db69-4f7d-92da-b0b4e02b3bed</errorID>
      <errorWord>，</errorWord>
      <group>L1_Format</group>
      <groupName>格式问题</groupName>
      <ability>L2_HalfPunc</ability>
      <abilityName>全半角检查</abilityName>
      <candidateList>
        <item>, </item>
      </candidateList>
      <explain>文本全半角错误。</explain>
      <paraID>47AC4C0F</paraID>
      <start>41</start>
      <end>42</end>
      <status>unmodified</status>
      <modifiedWord/>
      <trackRevisions>false</trackRevisions>
    </reviewItem>
    <reviewItem>
      <errorID>33a97cce-c231-476f-b9db-21b8cfd68f62</errorID>
      <errorWord>）</errorWord>
      <group>L1_Format</group>
      <groupName>格式问题</groupName>
      <ability>L2_HalfPunc</ability>
      <abilityName>全半角检查</abilityName>
      <candidateList>
        <item>)</item>
      </candidateList>
      <explain>文本全半角错误。</explain>
      <paraID>47AC4C0F</paraID>
      <start>50</start>
      <end>51</end>
      <status>unmodified</status>
      <modifiedWord/>
      <trackRevisions>false</trackRevisions>
    </reviewItem>
    <reviewItem>
      <errorID>4b37fbd6-547c-4a55-a4d8-1f14d4256eb4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3316C29</paraID>
      <start>21</start>
      <end>22</end>
      <status>unmodified</status>
      <modifiedWord/>
      <trackRevisions>false</trackRevisions>
    </reviewItem>
    <reviewItem>
      <errorID>e7ecb208-d180-47d6-8a3e-03397f0ad05a</errorID>
      <errorWord>料</errorWord>
      <group>L1_Word</group>
      <groupName>字词问题</groupName>
      <ability>L2_Typo</ability>
      <abilityName>字词错误</abilityName>
      <candidateList>
        <item>料消</item>
      </candidateList>
      <explain/>
      <paraID>2F7F0163</paraID>
      <start>11</start>
      <end>12</end>
      <status>unmodified</status>
      <modifiedWord/>
      <trackRevisions>false</trackRevisions>
    </reviewItem>
    <reviewItem>
      <errorID>80d2148a-351d-4af9-a12a-9b873684362d</errorID>
      <errorWord>料</errorWord>
      <group>L1_Word</group>
      <groupName>字词问题</groupName>
      <ability>L2_Typo</ability>
      <abilityName>字词错误</abilityName>
      <candidateList>
        <item>料消</item>
      </candidateList>
      <explain/>
      <paraID> 7E000FE</paraID>
      <start>11</start>
      <end>12</end>
      <status>unmodified</status>
      <modifiedWord/>
      <trackRevisions>false</trackRevisions>
    </reviewItem>
    <reviewItem>
      <errorID>f840b6db-9d1a-4e19-a458-1146b0f751c6</errorID>
      <errorWord>产生及</errorWord>
      <group>L1_Word</group>
      <groupName>字词问题</groupName>
      <ability>L2_Typo</ability>
      <abilityName>字词错误</abilityName>
      <candidateList>
        <item>产生</item>
      </candidateList>
      <explain/>
      <paraID>7DDFA47B</paraID>
      <start>13</start>
      <end>16</end>
      <status>unmodified</status>
      <modifiedWord/>
      <trackRevisions>false</trackRevisions>
    </reviewItem>
    <reviewItem>
      <errorID>44953116-c951-4760-a062-b72ffcdcdea1</errorID>
      <errorWord>(</errorWord>
      <group>L1_Format</group>
      <groupName>格式问题</groupName>
      <ability>L2_HalfPunc</ability>
      <abilityName>全半角检查</abilityName>
      <candidateList>
        <item>（</item>
      </candidateList>
      <explain>文本全半角错误。</explain>
      <paraID>519ADFB8</paraID>
      <start>6</start>
      <end>7</end>
      <status>unmodified</status>
      <modifiedWord/>
      <trackRevisions>false</trackRevisions>
    </reviewItem>
    <reviewItem>
      <errorID>acc60819-d4d9-4668-bf49-74e30064c84e</errorID>
      <errorWord>)</errorWord>
      <group>L1_Format</group>
      <groupName>格式问题</groupName>
      <ability>L2_HalfPunc</ability>
      <abilityName>全半角检查</abilityName>
      <candidateList>
        <item>）</item>
      </candidateList>
      <explain>文本全半角错误。</explain>
      <paraID>519ADFB8</paraID>
      <start>12</start>
      <end>13</end>
      <status>unmodified</status>
      <modifiedWord/>
      <trackRevisions>false</trackRevisions>
    </reviewItem>
    <reviewItem>
      <errorID>e43cb4cd-6a19-49d2-8562-8557f1118ce9</errorID>
      <errorWord>（</errorWord>
      <group>L1_Format</group>
      <groupName>格式问题</groupName>
      <ability>L2_HalfPunc</ability>
      <abilityName>全半角检查</abilityName>
      <candidateList>
        <item>(</item>
      </candidateList>
      <explain>文本全半角错误。</explain>
      <paraID> 11F6BC2</paraID>
      <start>0</start>
      <end>1</end>
      <status>unmodified</status>
      <modifiedWord/>
      <trackRevisions>false</trackRevisions>
    </reviewItem>
    <reviewItem>
      <errorID>397ad83f-3a7d-4193-a7ec-e6eab6f3b59b</errorID>
      <errorWord>）</errorWord>
      <group>L1_Format</group>
      <groupName>格式问题</groupName>
      <ability>L2_HalfPunc</ability>
      <abilityName>全半角检查</abilityName>
      <candidateList>
        <item>)</item>
      </candidateList>
      <explain>文本全半角错误。</explain>
      <paraID> 11F6BC2</paraID>
      <start>4</start>
      <end>5</end>
      <status>unmodified</status>
      <modifiedWord/>
      <trackRevisions>false</trackRevisions>
    </reviewItem>
    <reviewItem>
      <errorID>229b81ee-259d-466e-8e5f-fcbdfd2a9c68</errorID>
      <errorWord>（</errorWord>
      <group>L1_Format</group>
      <groupName>格式问题</groupName>
      <ability>L2_HalfPunc</ability>
      <abilityName>全半角检查</abilityName>
      <candidateList>
        <item>(</item>
      </candidateList>
      <explain>文本全半角错误。</explain>
      <paraID>626D5932</paraID>
      <start>0</start>
      <end>1</end>
      <status>unmodified</status>
      <modifiedWord/>
      <trackRevisions>false</trackRevisions>
    </reviewItem>
    <reviewItem>
      <errorID>fcc3ff71-2252-44d7-8847-9206bc9ad110</errorID>
      <errorWord>）</errorWord>
      <group>L1_Format</group>
      <groupName>格式问题</groupName>
      <ability>L2_HalfPunc</ability>
      <abilityName>全半角检查</abilityName>
      <candidateList>
        <item>)</item>
      </candidateList>
      <explain>文本全半角错误。</explain>
      <paraID>626D5932</paraID>
      <start>4</start>
      <end>5</end>
      <status>unmodified</status>
      <modifiedWord/>
      <trackRevisions>false</trackRevisions>
    </reviewItem>
    <reviewItem>
      <errorID>c7532313-5cd9-4d42-b010-69c237a14b6d</errorID>
      <errorWord>-</errorWord>
      <group>L1_Format</group>
      <groupName>格式问题</groupName>
      <ability>L2_HalfPunc</ability>
      <abilityName>全半角检查</abilityName>
      <candidateList>
        <item>－</item>
      </candidateList>
      <explain>文本全半角错误。</explain>
      <paraID>34BD7692</paraID>
      <start>144</start>
      <end>145</end>
      <status>unmodified</status>
      <modifiedWord/>
      <trackRevisions>false</trackRevisions>
    </reviewItem>
    <reviewItem>
      <errorID>eb66c01c-633f-49a6-818b-af6c25d5d9f1</errorID>
      <errorWord>-</errorWord>
      <group>L1_Format</group>
      <groupName>格式问题</groupName>
      <ability>L2_HalfPunc</ability>
      <abilityName>全半角检查</abilityName>
      <candidateList>
        <item>－</item>
      </candidateList>
      <explain>文本全半角错误。</explain>
      <paraID>34BD7692</paraID>
      <start>160</start>
      <end>161</end>
      <status>unmodified</status>
      <modifiedWord/>
      <trackRevisions>false</trackRevisions>
    </reviewItem>
    <reviewItem>
      <errorID>feb1524e-4633-4e80-8fa5-ef7d96a9fff0</errorID>
      <errorWord>(</errorWord>
      <group>L1_Format</group>
      <groupName>格式问题</groupName>
      <ability>L2_HalfPunc</ability>
      <abilityName>全半角检查</abilityName>
      <candidateList>
        <item>（</item>
      </candidateList>
      <explain>文本全半角错误。</explain>
      <paraID>1A772798</paraID>
      <start>6</start>
      <end>7</end>
      <status>unmodified</status>
      <modifiedWord/>
      <trackRevisions>false</trackRevisions>
    </reviewItem>
    <reviewItem>
      <errorID>b9b56814-c512-47f0-ae4b-e0a7dcfa5838</errorID>
      <errorWord>)</errorWord>
      <group>L1_Format</group>
      <groupName>格式问题</groupName>
      <ability>L2_HalfPunc</ability>
      <abilityName>全半角检查</abilityName>
      <candidateList>
        <item>）</item>
      </candidateList>
      <explain>文本全半角错误。</explain>
      <paraID>1A772798</paraID>
      <start>12</start>
      <end>13</end>
      <status>unmodified</status>
      <modifiedWord/>
      <trackRevisions>false</trackRevisions>
    </reviewItem>
    <reviewItem>
      <errorID>6577869d-9a50-4b0a-9aa4-9f8a62a8f7d4</errorID>
      <errorWord>（</errorWord>
      <group>L1_Format</group>
      <groupName>格式问题</groupName>
      <ability>L2_HalfPunc</ability>
      <abilityName>全半角检查</abilityName>
      <candidateList>
        <item>(</item>
      </candidateList>
      <explain>文本全半角错误。</explain>
      <paraID>3DEE7099</paraID>
      <start>0</start>
      <end>1</end>
      <status>unmodified</status>
      <modifiedWord/>
      <trackRevisions>false</trackRevisions>
    </reviewItem>
    <reviewItem>
      <errorID>42a792cc-7721-4749-a33a-0eb2b01f0694</errorID>
      <errorWord>）</errorWord>
      <group>L1_Format</group>
      <groupName>格式问题</groupName>
      <ability>L2_HalfPunc</ability>
      <abilityName>全半角检查</abilityName>
      <candidateList>
        <item>)</item>
      </candidateList>
      <explain>文本全半角错误。</explain>
      <paraID>3DEE7099</paraID>
      <start>4</start>
      <end>5</end>
      <status>unmodified</status>
      <modifiedWord/>
      <trackRevisions>false</trackRevisions>
    </reviewItem>
    <reviewItem>
      <errorID>7bfd0537-9682-434e-833e-a090d9e78fd4</errorID>
      <errorWord>（</errorWord>
      <group>L1_Format</group>
      <groupName>格式问题</groupName>
      <ability>L2_HalfPunc</ability>
      <abilityName>全半角检查</abilityName>
      <candidateList>
        <item>(</item>
      </candidateList>
      <explain>文本全半角错误。</explain>
      <paraID>54B7B754</paraID>
      <start>0</start>
      <end>1</end>
      <status>unmodified</status>
      <modifiedWord/>
      <trackRevisions>false</trackRevisions>
    </reviewItem>
    <reviewItem>
      <errorID>2c685e02-b5b5-42bc-a613-e972bbe8e507</errorID>
      <errorWord>）</errorWord>
      <group>L1_Format</group>
      <groupName>格式问题</groupName>
      <ability>L2_HalfPunc</ability>
      <abilityName>全半角检查</abilityName>
      <candidateList>
        <item>)</item>
      </candidateList>
      <explain>文本全半角错误。</explain>
      <paraID>54B7B754</paraID>
      <start>4</start>
      <end>5</end>
      <status>unmodified</status>
      <modifiedWord/>
      <trackRevisions>false</trackRevisions>
    </reviewItem>
    <reviewItem>
      <errorID>2d0c4d1e-b5a6-483b-8371-e125eb5e99f1</errorID>
      <errorWord>公示</errorWord>
      <group>L1_Word</group>
      <groupName>字词问题</groupName>
      <ability>L2_Typo</ability>
      <abilityName>字词错误</abilityName>
      <candidateList>
        <item>公式</item>
      </candidateList>
      <explain/>
      <paraID>2BFFA93F</paraID>
      <start>166</start>
      <end>168</end>
      <status>unmodified</status>
      <modifiedWord/>
      <trackRevisions>false</trackRevisions>
    </reviewItem>
    <reviewItem>
      <errorID>4493c1b5-83ea-4e64-bddd-e716d99828b9</errorID>
      <errorWord>（</errorWord>
      <group>L1_Format</group>
      <groupName>格式问题</groupName>
      <ability>L2_HalfPunc</ability>
      <abilityName>全半角检查</abilityName>
      <candidateList>
        <item>(</item>
      </candidateList>
      <explain>文本全半角错误。</explain>
      <paraID>6BAF722D</paraID>
      <start>0</start>
      <end>1</end>
      <status>unmodified</status>
      <modifiedWord/>
      <trackRevisions>false</trackRevisions>
    </reviewItem>
    <reviewItem>
      <errorID>003a8cf2-277a-4f5a-9411-caa27424a521</errorID>
      <errorWord>）</errorWord>
      <group>L1_Format</group>
      <groupName>格式问题</groupName>
      <ability>L2_HalfPunc</ability>
      <abilityName>全半角检查</abilityName>
      <candidateList>
        <item>)</item>
      </candidateList>
      <explain>文本全半角错误。</explain>
      <paraID>6BAF722D</paraID>
      <start>4</start>
      <end>5</end>
      <status>unmodified</status>
      <modifiedWord/>
      <trackRevisions>false</trackRevisions>
    </reviewItem>
    <reviewItem>
      <errorID>e61e7df4-556a-4db9-9be2-07809123ecb0</errorID>
      <errorWord>(</errorWord>
      <group>L1_Format</group>
      <groupName>格式问题</groupName>
      <ability>L2_HalfPunc</ability>
      <abilityName>全半角检查</abilityName>
      <candidateList>
        <item>（</item>
      </candidateList>
      <explain>文本全半角错误。</explain>
      <paraID>13B5675C</paraID>
      <start>6</start>
      <end>7</end>
      <status>unmodified</status>
      <modifiedWord/>
      <trackRevisions>false</trackRevisions>
    </reviewItem>
    <reviewItem>
      <errorID>7210b353-83ad-4580-b4e9-2656a2f7cab9</errorID>
      <errorWord>)</errorWord>
      <group>L1_Format</group>
      <groupName>格式问题</groupName>
      <ability>L2_HalfPunc</ability>
      <abilityName>全半角检查</abilityName>
      <candidateList>
        <item>）</item>
      </candidateList>
      <explain>文本全半角错误。</explain>
      <paraID>13B5675C</paraID>
      <start>12</start>
      <end>13</end>
      <status>unmodified</status>
      <modifiedWord/>
      <trackRevisions>false</trackRevisions>
    </reviewItem>
    <reviewItem>
      <errorID>e2d1748e-612c-4593-be53-9b5cd18bdcb4</errorID>
      <errorWord>-</errorWord>
      <group>L1_Format</group>
      <groupName>格式问题</groupName>
      <ability>L2_HalfPunc</ability>
      <abilityName>全半角检查</abilityName>
      <candidateList>
        <item>－</item>
      </candidateList>
      <explain>文本全半角错误。</explain>
      <paraID>1A0C0A60</paraID>
      <start>6</start>
      <end>7</end>
      <status>unmodified</status>
      <modifiedWord/>
      <trackRevisions>false</trackRevisions>
    </reviewItem>
    <reviewItem>
      <errorID>8534c72d-ff25-44a5-9b10-a6219adfe992</errorID>
      <errorWord>-</errorWord>
      <group>L1_Format</group>
      <groupName>格式问题</groupName>
      <ability>L2_HalfPunc</ability>
      <abilityName>全半角检查</abilityName>
      <candidateList>
        <item>－</item>
      </candidateList>
      <explain>文本全半角错误。</explain>
      <paraID>7500BE5D</paraID>
      <start>6</start>
      <end>7</end>
      <status>unmodified</status>
      <modifiedWord/>
      <trackRevisions>false</trackRevisions>
    </reviewItem>
    <reviewItem>
      <errorID>1fb31147-a3c4-4a11-9d3f-1b7ecd1fddbb</errorID>
      <errorWord>-</errorWord>
      <group>L1_Format</group>
      <groupName>格式问题</groupName>
      <ability>L2_HalfPunc</ability>
      <abilityName>全半角检查</abilityName>
      <candidateList>
        <item>－</item>
      </candidateList>
      <explain>文本全半角错误。</explain>
      <paraID> 7444428</paraID>
      <start>6</start>
      <end>7</end>
      <status>unmodified</status>
      <modifiedWord/>
      <trackRevisions>false</trackRevisions>
    </reviewItem>
    <reviewItem>
      <errorID>e3cacaa0-5da9-4eaa-84b1-362830433587</errorID>
      <errorWord>(</errorWord>
      <group>L1_Format</group>
      <groupName>格式问题</groupName>
      <ability>L2_HalfPunc</ability>
      <abilityName>全半角检查</abilityName>
      <candidateList>
        <item>（</item>
      </candidateList>
      <explain>文本全半角错误。</explain>
      <paraID>63687DD1</paraID>
      <start>2</start>
      <end>3</end>
      <status>unmodified</status>
      <modifiedWord/>
      <trackRevisions>false</trackRevisions>
    </reviewItem>
    <reviewItem>
      <errorID>28bd1edb-a3eb-44f4-8aa2-fe9a040dfbed</errorID>
      <errorWord>)</errorWord>
      <group>L1_Format</group>
      <groupName>格式问题</groupName>
      <ability>L2_HalfPunc</ability>
      <abilityName>全半角检查</abilityName>
      <candidateList>
        <item>）</item>
      </candidateList>
      <explain>文本全半角错误。</explain>
      <paraID>63687DD1</paraID>
      <start>4</start>
      <end>5</end>
      <status>unmodified</status>
      <modifiedWord/>
      <trackRevisions>false</trackRevisions>
    </reviewItem>
    <reviewItem>
      <errorID>23b198fe-05db-46b8-ad5c-b5f779f0654a</errorID>
      <errorWord>-</errorWord>
      <group>L1_Format</group>
      <groupName>格式问题</groupName>
      <ability>L2_HalfPunc</ability>
      <abilityName>全半角检查</abilityName>
      <candidateList>
        <item>－</item>
      </candidateList>
      <explain>文本全半角错误。</explain>
      <paraID>1F2502F0</paraID>
      <start>15</start>
      <end>16</end>
      <status>unmodified</status>
      <modifiedWord/>
      <trackRevisions>false</trackRevisions>
    </reviewItem>
    <reviewItem>
      <errorID>c98ac309-3d48-4944-9045-8c5a3c9fef18</errorID>
      <errorWord>(</errorWord>
      <group>L1_Format</group>
      <groupName>格式问题</groupName>
      <ability>L2_HalfPunc</ability>
      <abilityName>全半角检查</abilityName>
      <candidateList>
        <item>（</item>
      </candidateList>
      <explain>文本全半角错误。</explain>
      <paraID>38426ED1</paraID>
      <start>6</start>
      <end>7</end>
      <status>unmodified</status>
      <modifiedWord/>
      <trackRevisions>false</trackRevisions>
    </reviewItem>
    <reviewItem>
      <errorID>787f736a-2920-45d2-88c1-ea46d9717530</errorID>
      <errorWord>)</errorWord>
      <group>L1_Format</group>
      <groupName>格式问题</groupName>
      <ability>L2_HalfPunc</ability>
      <abilityName>全半角检查</abilityName>
      <candidateList>
        <item>）</item>
      </candidateList>
      <explain>文本全半角错误。</explain>
      <paraID>38426ED1</paraID>
      <start>8</start>
      <end>9</end>
      <status>unmodified</status>
      <modifiedWord/>
      <trackRevisions>false</trackRevisions>
    </reviewItem>
    <reviewItem>
      <errorID>8e2a93d6-4022-49e5-9885-e72e3fee73ed</errorID>
      <errorWord>，</errorWord>
      <group>L1_Word</group>
      <groupName>字词问题</groupName>
      <ability>L2_Typo</ability>
      <abilityName>字词错误</abilityName>
      <candidateList>
        <item>，在</item>
      </candidateList>
      <explain/>
      <paraID>38AA49CF</paraID>
      <start>55</start>
      <end>56</end>
      <status>unmodified</status>
      <modifiedWord/>
      <trackRevisions>false</trackRevisions>
    </reviewItem>
    <reviewItem>
      <errorID>635fc0dc-0051-4b7b-be31-b0251af24618</errorID>
      <errorWord>-</errorWord>
      <group>L1_Format</group>
      <groupName>格式问题</groupName>
      <ability>L2_HalfPunc</ability>
      <abilityName>全半角检查</abilityName>
      <candidateList>
        <item>－</item>
      </candidateList>
      <explain>文本全半角错误。</explain>
      <paraID>1BECEDF7</paraID>
      <start>43</start>
      <end>44</end>
      <status>unmodified</status>
      <modifiedWord/>
      <trackRevisions>false</trackRevisions>
    </reviewItem>
    <reviewItem>
      <errorID>6bd78dbb-5336-4569-aafb-8253fce0e40e</errorID>
      <errorWord>)</errorWord>
      <group>L1_Format</group>
      <groupName>格式问题</groupName>
      <ability>L2_HalfPunc</ability>
      <abilityName>全半角检查</abilityName>
      <candidateList>
        <item>）</item>
      </candidateList>
      <explain>文本全半角错误。</explain>
      <paraID>3EDF1E0F</paraID>
      <start>114</start>
      <end>115</end>
      <status>unmodified</status>
      <modifiedWord/>
      <trackRevisions>false</trackRevisions>
    </reviewItem>
    <reviewItem>
      <errorID>73326f82-3c8d-47e9-bb7a-c89f720a4959</errorID>
      <errorWord>(</errorWord>
      <group>L1_Format</group>
      <groupName>格式问题</groupName>
      <ability>L2_HalfPunc</ability>
      <abilityName>全半角检查</abilityName>
      <candidateList>
        <item>（</item>
      </candidateList>
      <explain>文本全半角错误。</explain>
      <paraID>3EDF1E0F</paraID>
      <start>130</start>
      <end>131</end>
      <status>unmodified</status>
      <modifiedWord/>
      <trackRevisions>false</trackRevisions>
    </reviewItem>
    <reviewItem>
      <errorID>55560245-28e5-43ff-9c65-43806183bc4e</errorID>
      <errorWord>)</errorWord>
      <group>L1_Format</group>
      <groupName>格式问题</groupName>
      <ability>L2_HalfPunc</ability>
      <abilityName>全半角检查</abilityName>
      <candidateList>
        <item>）</item>
      </candidateList>
      <explain>文本全半角错误。</explain>
      <paraID>3EDF1E0F</paraID>
      <start>133</start>
      <end>134</end>
      <status>unmodified</status>
      <modifiedWord/>
      <trackRevisions>false</trackRevisions>
    </reviewItem>
    <reviewItem>
      <errorID>715cfcbf-ade9-4aff-b8f6-a38fccfed93c</errorID>
      <errorWord>粘附</errorWord>
      <group>L1_Word</group>
      <groupName>字词问题</groupName>
      <ability>L2_Alias</ability>
      <abilityName>也作/曾用词</abilityName>
      <candidateList>
        <item>黏附</item>
      </candidateList>
      <explain>词汇[粘附]为不规范表述或旧称，其规范书面表述为[黏附]。</explain>
      <paraID>3EDF1E0F</paraID>
      <start>361</start>
      <end>363</end>
      <status>unmodified</status>
      <modifiedWord/>
      <trackRevisions>false</trackRevisions>
    </reviewItem>
    <reviewItem>
      <errorID>d1154020-8502-46c5-b50e-8b9493de1172</errorID>
      <errorWord>其它工艺</errorWord>
      <group>L1_Word</group>
      <groupName>字词问题</groupName>
      <ability>L2_Alias</ability>
      <abilityName>也作/曾用词</abilityName>
      <candidateList>
        <item>其他工艺</item>
      </candidateList>
      <explain>词汇[其它工艺]为不规范表述或旧称，其规范书面表述为[其他工艺]。</explain>
      <paraID>22ED80DD</paraID>
      <start>107</start>
      <end>111</end>
      <status>unmodified</status>
      <modifiedWord/>
      <trackRevisions>false</trackRevisions>
    </reviewItem>
    <reviewItem>
      <errorID>424260ea-15df-4659-8ea5-4e8d574ada9c</errorID>
      <errorWord>(</errorWord>
      <group>L1_Format</group>
      <groupName>格式问题</groupName>
      <ability>L2_HalfPunc</ability>
      <abilityName>全半角检查</abilityName>
      <candidateList>
        <item>（</item>
      </candidateList>
      <explain>文本全半角错误。</explain>
      <paraID>651A8309</paraID>
      <start>80</start>
      <end>81</end>
      <status>unmodified</status>
      <modifiedWord/>
      <trackRevisions>false</trackRevisions>
    </reviewItem>
    <reviewItem>
      <errorID>2e1c60e6-4953-4623-bd40-bd62516afc76</errorID>
      <errorWord>)</errorWord>
      <group>L1_Format</group>
      <groupName>格式问题</groupName>
      <ability>L2_HalfPunc</ability>
      <abilityName>全半角检查</abilityName>
      <candidateList>
        <item>）</item>
      </candidateList>
      <explain>文本全半角错误。</explain>
      <paraID>651A8309</paraID>
      <start>90</start>
      <end>91</end>
      <status>unmodified</status>
      <modifiedWord/>
      <trackRevisions>false</trackRevisions>
    </reviewItem>
    <reviewItem>
      <errorID>7e11bcf2-8870-4be5-bb5c-40eadee6098a</errorID>
      <errorWord>(</errorWord>
      <group>L1_Format</group>
      <groupName>格式问题</groupName>
      <ability>L2_HalfPunc</ability>
      <abilityName>全半角检查</abilityName>
      <candidateList>
        <item>（</item>
      </candidateList>
      <explain>文本全半角错误。</explain>
      <paraID>651A8309</paraID>
      <start>106</start>
      <end>107</end>
      <status>unmodified</status>
      <modifiedWord/>
      <trackRevisions>false</trackRevisions>
    </reviewItem>
    <reviewItem>
      <errorID>9727edf3-e039-4e62-b3ee-23cc0191422c</errorID>
      <errorWord>)</errorWord>
      <group>L1_Format</group>
      <groupName>格式问题</groupName>
      <ability>L2_HalfPunc</ability>
      <abilityName>全半角检查</abilityName>
      <candidateList>
        <item>）</item>
      </candidateList>
      <explain>文本全半角错误。</explain>
      <paraID>651A8309</paraID>
      <start>118</start>
      <end>119</end>
      <status>unmodified</status>
      <modifiedWord/>
      <trackRevisions>false</trackRevisions>
    </reviewItem>
    <reviewItem>
      <errorID>bce1ae07-4d95-48c8-bb84-ee0d7c11a9cc</errorID>
      <errorWord>清原县</errorWord>
      <group>L1_Knowledge</group>
      <groupName>知识性问题</groupName>
      <ability>L2_Location</ability>
      <abilityName>地名检查</abilityName>
      <candidateList>
        <item>清原满族自治县</item>
      </candidateList>
      <explain>自治区州县缩写不规范。《地名管理条例》第十八条规定，标识牌、公共平台发布的信息、各类公文证件、学习类公开出版物、地图、法律法规规定等场景范围内必须使用标准地名。</explain>
      <paraID>19B91B7E</paraID>
      <start>118</start>
      <end>121</end>
      <status>unmodified</status>
      <modifiedWord/>
      <trackRevisions>false</trackRevisions>
    </reviewItem>
    <reviewItem>
      <errorID>21a38b39-8e1e-42cd-bc8d-ba4fdfb641e3</errorID>
      <errorWord>(</errorWord>
      <group>L1_Format</group>
      <groupName>格式问题</groupName>
      <ability>L2_HalfPunc</ability>
      <abilityName>全半角检查</abilityName>
      <candidateList>
        <item>（</item>
      </candidateList>
      <explain>文本全半角错误。</explain>
      <paraID>19B91B7E</paraID>
      <start>256</start>
      <end>257</end>
      <status>unmodified</status>
      <modifiedWord/>
      <trackRevisions>false</trackRevisions>
    </reviewItem>
    <reviewItem>
      <errorID>44146031-9ca2-4a90-8905-551dee9acaba</errorID>
      <errorWord>)</errorWord>
      <group>L1_Format</group>
      <groupName>格式问题</groupName>
      <ability>L2_HalfPunc</ability>
      <abilityName>全半角检查</abilityName>
      <candidateList>
        <item>）</item>
      </candidateList>
      <explain>文本全半角错误。</explain>
      <paraID>19B91B7E</paraID>
      <start>269</start>
      <end>270</end>
      <status>unmodified</status>
      <modifiedWord/>
      <trackRevisions>false</trackRevisions>
    </reviewItem>
    <reviewItem>
      <errorID>9b3ddb5f-1355-49d8-8bfc-8847caf5a427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21F33DC0</paraID>
      <start>0</start>
      <end>2</end>
      <status>unmodified</status>
      <modifiedWord/>
      <trackRevisions>false</trackRevisions>
    </reviewItem>
    <reviewItem>
      <errorID>139d10e9-381f-4067-b031-4f9de123dbd7</errorID>
      <errorWord>)</errorWord>
      <group>L1_Format</group>
      <groupName>格式问题</groupName>
      <ability>L2_HalfPunc</ability>
      <abilityName>全半角检查</abilityName>
      <candidateList>
        <item>）</item>
      </candidateList>
      <explain>文本全半角错误。</explain>
      <paraID>1FB06B1E</paraID>
      <start>31</start>
      <end>32</end>
      <status>unmodified</status>
      <modifiedWord/>
      <trackRevisions>false</trackRevisions>
    </reviewItem>
    <reviewItem>
      <errorID>d6c27788-c41c-42b2-83e1-cdbce2fbdf0f</errorID>
      <errorWord>)</errorWord>
      <group>L1_Format</group>
      <groupName>格式问题</groupName>
      <ability>L2_HalfPunc</ability>
      <abilityName>全半角检查</abilityName>
      <candidateList>
        <item>）</item>
      </candidateList>
      <explain>文本全半角错误。</explain>
      <paraID> 8B5C531</paraID>
      <start>18</start>
      <end>19</end>
      <status>unmodified</status>
      <modifiedWord/>
      <trackRevisions>false</trackRevisions>
    </reviewItem>
    <reviewItem>
      <errorID>f1b82f14-0241-4dbf-bcd9-debada7805b5</errorID>
      <errorWord>(</errorWord>
      <group>L1_Format</group>
      <groupName>格式问题</groupName>
      <ability>L2_HalfPunc</ability>
      <abilityName>全半角检查</abilityName>
      <candidateList>
        <item>（</item>
      </candidateList>
      <explain>文本全半角错误。</explain>
      <paraID>7BA5B4A2</paraID>
      <start>13</start>
      <end>14</end>
      <status>unmodified</status>
      <modifiedWord/>
      <trackRevisions>false</trackRevisions>
    </reviewItem>
    <reviewItem>
      <errorID>f65a917e-9a8a-4cb0-91a8-4d2656b49ded</errorID>
      <errorWord>)</errorWord>
      <group>L1_Format</group>
      <groupName>格式问题</groupName>
      <ability>L2_HalfPunc</ability>
      <abilityName>全半角检查</abilityName>
      <candidateList>
        <item>）</item>
      </candidateList>
      <explain>文本全半角错误。</explain>
      <paraID>7BA5B4A2</paraID>
      <start>17</start>
      <end>18</end>
      <status>unmodified</status>
      <modifiedWord/>
      <trackRevisions>false</trackRevisions>
    </reviewItem>
    <reviewItem>
      <errorID>909391ed-ef00-4edd-a133-bc28ae0c7004</errorID>
      <errorWord>(</errorWord>
      <group>L1_Format</group>
      <groupName>格式问题</groupName>
      <ability>L2_HalfPunc</ability>
      <abilityName>全半角检查</abilityName>
      <candidateList>
        <item>（</item>
      </candidateList>
      <explain>文本全半角错误。</explain>
      <paraID>495EC7E3</paraID>
      <start>10</start>
      <end>11</end>
      <status>unmodified</status>
      <modifiedWord/>
      <trackRevisions>false</trackRevisions>
    </reviewItem>
    <reviewItem>
      <errorID>813d0e55-55ba-4780-b4aa-7f32d7881b99</errorID>
      <errorWord>)</errorWord>
      <group>L1_Format</group>
      <groupName>格式问题</groupName>
      <ability>L2_HalfPunc</ability>
      <abilityName>全半角检查</abilityName>
      <candidateList>
        <item>）</item>
      </candidateList>
      <explain>文本全半角错误。</explain>
      <paraID>495EC7E3</paraID>
      <start>14</start>
      <end>15</end>
      <status>unmodified</status>
      <modifiedWord/>
      <trackRevisions>false</trackRevisions>
    </reviewItem>
    <reviewItem>
      <errorID>fcc1f77a-de91-4b9e-9032-f85193cb5103</errorID>
      <errorWord>(</errorWord>
      <group>L1_Format</group>
      <groupName>格式问题</groupName>
      <ability>L2_HalfPunc</ability>
      <abilityName>全半角检查</abilityName>
      <candidateList>
        <item>（</item>
      </candidateList>
      <explain>文本全半角错误。</explain>
      <paraID>23C60A0C</paraID>
      <start>6</start>
      <end>7</end>
      <status>unmodified</status>
      <modifiedWord/>
      <trackRevisions>false</trackRevisions>
    </reviewItem>
    <reviewItem>
      <errorID>a6c4dd9a-2efa-4da1-a26b-18b36da115dc</errorID>
      <errorWord>)</errorWord>
      <group>L1_Format</group>
      <groupName>格式问题</groupName>
      <ability>L2_HalfPunc</ability>
      <abilityName>全半角检查</abilityName>
      <candidateList>
        <item>）</item>
      </candidateList>
      <explain>文本全半角错误。</explain>
      <paraID>23C60A0C</paraID>
      <start>10</start>
      <end>11</end>
      <status>unmodified</status>
      <modifiedWord/>
      <trackRevisions>false</trackRevisions>
    </reviewItem>
    <reviewItem>
      <errorID>c30871b9-f7a1-4d4d-b086-410b75dcd944</errorID>
      <errorWord>(</errorWord>
      <group>L1_Format</group>
      <groupName>格式问题</groupName>
      <ability>L2_HalfPunc</ability>
      <abilityName>全半角检查</abilityName>
      <candidateList>
        <item>（</item>
      </candidateList>
      <explain>文本全半角错误。</explain>
      <paraID>71BB5011</paraID>
      <start>13</start>
      <end>14</end>
      <status>unmodified</status>
      <modifiedWord/>
      <trackRevisions>false</trackRevisions>
    </reviewItem>
    <reviewItem>
      <errorID>4de4df4e-1952-4f20-b7af-a3152e90588b</errorID>
      <errorWord>)</errorWord>
      <group>L1_Format</group>
      <groupName>格式问题</groupName>
      <ability>L2_HalfPunc</ability>
      <abilityName>全半角检查</abilityName>
      <candidateList>
        <item>）</item>
      </candidateList>
      <explain>文本全半角错误。</explain>
      <paraID>71BB5011</paraID>
      <start>17</start>
      <end>18</end>
      <status>unmodified</status>
      <modifiedWord/>
      <trackRevisions>false</trackRevisions>
    </reviewItem>
    <reviewItem>
      <errorID>e508bb4f-d376-4a03-9fe1-9e991f0a4b19</errorID>
      <errorWord>(</errorWord>
      <group>L1_Format</group>
      <groupName>格式问题</groupName>
      <ability>L2_HalfPunc</ability>
      <abilityName>全半角检查</abilityName>
      <candidateList>
        <item>（</item>
      </candidateList>
      <explain>文本全半角错误。</explain>
      <paraID>3B4BEB72</paraID>
      <start>11</start>
      <end>12</end>
      <status>unmodified</status>
      <modifiedWord/>
      <trackRevisions>false</trackRevisions>
    </reviewItem>
    <reviewItem>
      <errorID>50939f6f-db77-4932-8a1c-84591a86b439</errorID>
      <errorWord>)</errorWord>
      <group>L1_Format</group>
      <groupName>格式问题</groupName>
      <ability>L2_HalfPunc</ability>
      <abilityName>全半角检查</abilityName>
      <candidateList>
        <item>）</item>
      </candidateList>
      <explain>文本全半角错误。</explain>
      <paraID>3B4BEB72</paraID>
      <start>19</start>
      <end>20</end>
      <status>unmodified</status>
      <modifiedWord/>
      <trackRevisions>false</trackRevisions>
    </reviewItem>
    <reviewItem>
      <errorID>57d95bfc-5e0e-4ea0-a7ad-c21b258f43a3</errorID>
      <errorWord>(</errorWord>
      <group>L1_Format</group>
      <groupName>格式问题</groupName>
      <ability>L2_HalfPunc</ability>
      <abilityName>全半角检查</abilityName>
      <candidateList>
        <item>（</item>
      </candidateList>
      <explain>文本全半角错误。</explain>
      <paraID>3DD094B6</paraID>
      <start>16</start>
      <end>17</end>
      <status>unmodified</status>
      <modifiedWord/>
      <trackRevisions>false</trackRevisions>
    </reviewItem>
    <reviewItem>
      <errorID>9c05949c-efc4-4580-b615-6a22f16078af</errorID>
      <errorWord>)</errorWord>
      <group>L1_Format</group>
      <groupName>格式问题</groupName>
      <ability>L2_HalfPunc</ability>
      <abilityName>全半角检查</abilityName>
      <candidateList>
        <item>）</item>
      </candidateList>
      <explain>文本全半角错误。</explain>
      <paraID>3DD094B6</paraID>
      <start>20</start>
      <end>21</end>
      <status>unmodified</status>
      <modifiedWord/>
      <trackRevisions>false</trackRevisions>
    </reviewItem>
    <reviewItem>
      <errorID>b23af5ba-9e76-4ea4-8f79-aeb885ced433</errorID>
      <errorWord>)</errorWord>
      <group>L1_Format</group>
      <groupName>格式问题</groupName>
      <ability>L2_HalfPunc</ability>
      <abilityName>全半角检查</abilityName>
      <candidateList>
        <item>）</item>
      </candidateList>
      <explain>文本全半角错误。</explain>
      <paraID> 63AC032</paraID>
      <start>9</start>
      <end>10</end>
      <status>unmodified</status>
      <modifiedWord/>
      <trackRevisions>false</trackRevisions>
    </reviewItem>
    <reviewItem>
      <errorID>f4635864-38f1-419e-be8e-f8b606087073</errorID>
      <errorWord>(</errorWord>
      <group>L1_Format</group>
      <groupName>格式问题</groupName>
      <ability>L2_HalfPunc</ability>
      <abilityName>全半角检查</abilityName>
      <candidateList>
        <item>（</item>
      </candidateList>
      <explain>文本全半角错误。</explain>
      <paraID>26144042</paraID>
      <start>45</start>
      <end>46</end>
      <status>unmodified</status>
      <modifiedWord/>
      <trackRevisions>false</trackRevisions>
    </reviewItem>
    <reviewItem>
      <errorID>afe73020-f568-4724-a502-27d2f6a8b640</errorID>
      <errorWord>)</errorWord>
      <group>L1_Format</group>
      <groupName>格式问题</groupName>
      <ability>L2_HalfPunc</ability>
      <abilityName>全半角检查</abilityName>
      <candidateList>
        <item>）</item>
      </candidateList>
      <explain>文本全半角错误。</explain>
      <paraID>26144042</paraID>
      <start>47</start>
      <end>48</end>
      <status>unmodified</status>
      <modifiedWord/>
      <trackRevisions>false</trackRevisions>
    </reviewItem>
    <reviewItem>
      <errorID>24868527-981d-4b08-a72e-b431093b4c6a</errorID>
      <errorWord>(</errorWord>
      <group>L1_Format</group>
      <groupName>格式问题</groupName>
      <ability>L2_HalfPunc</ability>
      <abilityName>全半角检查</abilityName>
      <candidateList>
        <item>（</item>
      </candidateList>
      <explain>文本全半角错误。</explain>
      <paraID> A2BDA2E</paraID>
      <start>18</start>
      <end>19</end>
      <status>unmodified</status>
      <modifiedWord/>
      <trackRevisions>false</trackRevisions>
    </reviewItem>
    <reviewItem>
      <errorID>6ba1c49f-0465-468f-9363-000c9caef75a</errorID>
      <errorWord>)</errorWord>
      <group>L1_Format</group>
      <groupName>格式问题</groupName>
      <ability>L2_HalfPunc</ability>
      <abilityName>全半角检查</abilityName>
      <candidateList>
        <item>）</item>
      </candidateList>
      <explain>文本全半角错误。</explain>
      <paraID> A2BDA2E</paraID>
      <start>20</start>
      <end>21</end>
      <status>unmodified</status>
      <modifiedWord/>
      <trackRevisions>false</trackRevisions>
    </reviewItem>
    <reviewItem>
      <errorID>57718b1c-123a-49aa-9f2e-8150464094d5</errorID>
      <errorWord>噪声的</errorWord>
      <group>L1_Word</group>
      <groupName>字词问题</groupName>
      <ability>L2_Typo</ability>
      <abilityName>字词错误</abilityName>
      <candidateList>
        <item>噪声</item>
      </candidateList>
      <explain/>
      <paraID> 40EDC2E</paraID>
      <start>6</start>
      <end>9</end>
      <status>unmodified</status>
      <modifiedWord/>
      <trackRevisions>false</trackRevisions>
    </reviewItem>
    <reviewItem>
      <errorID>cebdc483-9c7d-46d8-9036-e47c0403b421</errorID>
      <errorWord>（</errorWord>
      <group>L1_Format</group>
      <groupName>格式问题</groupName>
      <ability>L2_HalfPunc</ability>
      <abilityName>全半角检查</abilityName>
      <candidateList>
        <item>(</item>
      </candidateList>
      <explain>文本全半角错误。</explain>
      <paraID>301499B4</paraID>
      <start>3</start>
      <end>4</end>
      <status>unmodified</status>
      <modifiedWord/>
      <trackRevisions>false</trackRevisions>
    </reviewItem>
    <reviewItem>
      <errorID>63455e6b-aebf-4c7b-b188-ff827d7d6f79</errorID>
      <errorWord>）</errorWord>
      <group>L1_Format</group>
      <groupName>格式问题</groupName>
      <ability>L2_HalfPunc</ability>
      <abilityName>全半角检查</abilityName>
      <candidateList>
        <item>)</item>
      </candidateList>
      <explain>文本全半角错误。</explain>
      <paraID>301499B4</paraID>
      <start>5</start>
      <end>6</end>
      <status>unmodified</status>
      <modifiedWord/>
      <trackRevisions>false</trackRevisions>
    </reviewItem>
    <reviewItem>
      <errorID>bab1bdcc-215c-418a-bc7d-a37d98d5206d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7F5BA110</paraID>
      <start>0</start>
      <end>2</end>
      <status>unmodified</status>
      <modifiedWord/>
      <trackRevisions>false</trackRevisions>
    </reviewItem>
    <reviewItem>
      <errorID>d2541aea-deac-43eb-a15d-cd9c9de9f87d</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 73BF3DA</paraID>
      <start>17</start>
      <end>19</end>
      <status>unmodified</status>
      <modifiedWord/>
      <trackRevisions>false</trackRevisions>
    </reviewItem>
    <reviewItem>
      <errorID>4954766e-af69-43aa-9fa4-dd43c1655098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612D5B6F</paraID>
      <start>0</start>
      <end>2</end>
      <status>unmodified</status>
      <modifiedWord/>
      <trackRevisions>false</trackRevisions>
    </reviewItem>
    <reviewItem>
      <errorID>b87394b0-786c-4722-b075-37aae7dba30a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7B26945C</paraID>
      <start>0</start>
      <end>2</end>
      <status>unmodified</status>
      <modifiedWord/>
      <trackRevisions>false</trackRevisions>
    </reviewItem>
    <reviewItem>
      <errorID>8fd4a0f0-c00b-4cf5-a4b6-fa770c5c1bb6</errorID>
      <errorWord>减噪</errorWord>
      <group>L1_Word</group>
      <groupName>字词问题</groupName>
      <ability>L2_Typo</ability>
      <abilityName>字词错误</abilityName>
      <candidateList>
        <item>降噪</item>
      </candidateList>
      <explain/>
      <paraID>2DD4F96D</paraID>
      <start>117</start>
      <end>119</end>
      <status>unmodified</status>
      <modifiedWord/>
      <trackRevisions>false</trackRevisions>
    </reviewItem>
    <reviewItem>
      <errorID>4e34e49e-20da-4ba2-b833-b343501ab0d2</errorID>
      <errorWord>:</errorWord>
      <group>L1_Format</group>
      <groupName>格式问题</groupName>
      <ability>L2_HalfPunc</ability>
      <abilityName>全半角检查</abilityName>
      <candidateList>
        <item>：</item>
      </candidateList>
      <explain>文本全半角错误。</explain>
      <paraID>4780B9D1</paraID>
      <start>5</start>
      <end>6</end>
      <status>unmodified</status>
      <modifiedWord/>
      <trackRevisions>false</trackRevisions>
    </reviewItem>
    <reviewItem>
      <errorID>fb3ccddd-be31-47c6-a0ac-c083071656f3</errorID>
      <errorWord>～</errorWord>
      <group>L1_Format</group>
      <groupName>格式问题</groupName>
      <ability>L2_HalfPunc</ability>
      <abilityName>全半角检查</abilityName>
      <candidateList>
        <item>~</item>
      </candidateList>
      <explain>文本全半角错误。</explain>
      <paraID>4696D633</paraID>
      <start>3</start>
      <end>4</end>
      <status>unmodified</status>
      <modifiedWord/>
      <trackRevisions>false</trackRevisions>
    </reviewItem>
    <reviewItem>
      <errorID>e2cd4c1e-430e-468b-a27a-2d6617fff494</errorID>
      <errorWord>(</errorWord>
      <group>L1_Format</group>
      <groupName>格式问题</groupName>
      <ability>L2_HalfPunc</ability>
      <abilityName>全半角检查</abilityName>
      <candidateList>
        <item>（</item>
      </candidateList>
      <explain>文本全半角错误。</explain>
      <paraID>238F25E8</paraID>
      <start>2</start>
      <end>3</end>
      <status>unmodified</status>
      <modifiedWord/>
      <trackRevisions>false</trackRevisions>
    </reviewItem>
    <reviewItem>
      <errorID>cfad8984-9090-4087-85e5-90e5f972cf1a</errorID>
      <errorWord>)</errorWord>
      <group>L1_Format</group>
      <groupName>格式问题</groupName>
      <ability>L2_HalfPunc</ability>
      <abilityName>全半角检查</abilityName>
      <candidateList>
        <item>）</item>
      </candidateList>
      <explain>文本全半角错误。</explain>
      <paraID>238F25E8</paraID>
      <start>5</start>
      <end>6</end>
      <status>unmodified</status>
      <modifiedWord/>
      <trackRevisions>false</trackRevisions>
    </reviewItem>
    <reviewItem>
      <errorID>ec1d7502-9578-49db-9fa7-cc0228c36df8</errorID>
      <errorWord>免</errorWord>
      <group>L1_Word</group>
      <groupName>字词问题</groupName>
      <ability>L2_Typo</ability>
      <abilityName>字词错误</abilityName>
      <candidateList>
        <item>兔</item>
      </candidateList>
      <explain>存在字形相近字词的误用。</explain>
      <paraID>6A3DA916</paraID>
      <start>24</start>
      <end>25</end>
      <status>unmodified</status>
      <modifiedWord/>
      <trackRevisions>false</trackRevisions>
    </reviewItem>
    <reviewItem>
      <errorID>9ad3d0c0-2683-4c20-a301-6d2f9c8f0407</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1B426408</paraID>
      <start>2</start>
      <end>3</end>
      <status>unmodified</status>
      <modifiedWord/>
      <trackRevisions>false</trackRevisions>
    </reviewItem>
    <reviewItem>
      <errorID>10e9fa67-fc47-4c53-a395-66e622cb7330</errorID>
      <errorWord>佩带</errorWord>
      <group>L1_Word</group>
      <groupName>字词问题</groupName>
      <ability>L2_Typo</ability>
      <abilityName>字词错误</abilityName>
      <candidateList>
        <item>佩戴</item>
      </candidateList>
      <explain>〈动〉（把徽章、符号等）挂在胸前、臂上、肩上等部位：～校徽｜～肩章。也作佩带。</explain>
      <paraID>6C8A9E9C</paraID>
      <start>26</start>
      <end>28</end>
      <status>unmodified</status>
      <modifiedWord/>
      <trackRevisions>false</trackRevisions>
    </reviewItem>
    <reviewItem>
      <errorID>f19f83e1-dc9d-4535-b51d-cc2bae73e161</errorID>
      <errorWord>其它</errorWord>
      <group>L1_Word</group>
      <groupName>字词问题</groupName>
      <ability>L2_Alias</ability>
      <abilityName>也作/曾用词</abilityName>
      <candidateList>
        <item>其他</item>
      </candidateList>
      <explain>词汇[其它]为不规范表述或旧称，其规范书面表述为[其他]。</explain>
      <paraID>20490C16</paraID>
      <start>0</start>
      <end>2</end>
      <status>unmodified</status>
      <modifiedWord/>
      <trackRevisions>false</trackRevisions>
    </reviewItem>
    <reviewItem>
      <errorID>bef4704a-1d61-4ffc-b3e1-a3286c57a219</errorID>
      <errorWord>其它</errorWord>
      <group>L1_Word</group>
      <groupName>字词问题</groupName>
      <ability>L2_Alias</ability>
      <abilityName>也作/曾用词</abilityName>
      <candidateList>
        <item>其他</item>
      </candidateList>
      <explain>词汇[其它]为不规范表述或旧称，其规范书面表述为[其他]。</explain>
      <paraID>20490C16</paraID>
      <start>31</start>
      <end>33</end>
      <status>unmodified</status>
      <modifiedWord/>
      <trackRevisions>false</trackRevisions>
    </reviewItem>
    <reviewItem>
      <errorID>17810647-575f-4a4f-8469-37a26aac3730</errorID>
      <errorWord>曝晒</errorWord>
      <group>L1_Word</group>
      <groupName>字词问题</groupName>
      <ability>L2_Typo</ability>
      <abilityName>字词错误</abilityName>
      <candidateList>
        <item>暴晒</item>
      </candidateList>
      <explain>〈动〉在强烈的阳光下久晒：烈日～｜洗好的丝绸衣服不宜～。</explain>
      <paraID> 6AE7C50</paraID>
      <start>221</start>
      <end>223</end>
      <status>unmodified</status>
      <modifiedWord/>
      <trackRevisions>false</trackRevisions>
    </reviewItem>
    <reviewItem>
      <errorID>bf30065e-2cc8-4171-9e3c-6b9929d6258f</errorID>
      <errorWord>,…,</errorWord>
      <group>L1_Punc</group>
      <groupName>标点问题</groupName>
      <ability>L2_Punc</ability>
      <abilityName>标点符号检查</abilityName>
      <candidateList>
        <item>,</item>
      </candidateList>
      <explain/>
      <paraID>6FE6C33A</paraID>
      <start>8</start>
      <end>11</end>
      <status>unmodified</status>
      <modifiedWord/>
      <trackRevisions>false</trackRevisions>
    </reviewItem>
    <reviewItem>
      <errorID>1105da83-a1fc-4f53-a542-ac64bb3cad07</errorID>
      <errorWord>,…,</errorWord>
      <group>L1_Punc</group>
      <groupName>标点问题</groupName>
      <ability>L2_Punc</ability>
      <abilityName>标点符号检查</abilityName>
      <candidateList>
        <item>,</item>
      </candidateList>
      <explain/>
      <paraID>667AA5AC</paraID>
      <start>5</start>
      <end>8</end>
      <status>unmodified</status>
      <modifiedWord/>
      <trackRevisions>false</trackRevisions>
    </reviewItem>
    <reviewItem>
      <errorID>7569d22b-f9e6-45bc-9c41-c46c431e93e7</errorID>
      <errorWord>天燃气</errorWord>
      <group>L1_Word</group>
      <groupName>字词问题</groupName>
      <ability>L2_Typo</ability>
      <abilityName>字词错误</abilityName>
      <candidateList>
        <item>天然气</item>
      </candidateList>
      <explain>〈名〉通常指产生于油田、煤田和沼泽地带的天然气体，主要成分是甲烷等，是埋藏在地下的古代生物经高温、高压等作用形成的。主要用作燃料和化工原料。</explain>
      <paraID>2FEC8029</paraID>
      <start>65</start>
      <end>68</end>
      <status>unmodified</status>
      <modifiedWord/>
      <trackRevisions>false</trackRevisions>
    </reviewItem>
    <reviewItem>
      <errorID>f2fc4f81-1fcc-403a-b215-2b04fec21dda</errorID>
      <errorWord>存储量为</errorWord>
      <group>L1_Word</group>
      <groupName>字词问题</groupName>
      <ability>L2_Typo</ability>
      <abilityName>字词错误</abilityName>
      <candidateList>
        <item>存储量</item>
      </candidateList>
      <explain/>
      <paraID>2FEC8029</paraID>
      <start>135</start>
      <end>139</end>
      <status>unmodified</status>
      <modifiedWord/>
      <trackRevisions>false</trackRevisions>
    </reviewItem>
    <reviewItem>
      <errorID>de659788-9a2c-4c58-bd1d-8e4aba95d292</errorID>
      <errorWord>约为</errorWord>
      <group>L1_Word</group>
      <groupName>字词问题</groupName>
      <ability>L2_Typo</ability>
      <abilityName>字词错误</abilityName>
      <candidateList>
        <item>约</item>
      </candidateList>
      <explain/>
      <paraID>2FEC8029</paraID>
      <start>139</start>
      <end>141</end>
      <status>unmodified</status>
      <modifiedWord/>
      <trackRevisions>false</trackRevisions>
    </reviewItem>
    <reviewItem>
      <errorID>81c6ac9e-d4a8-4782-bac2-66129c85a012</errorID>
      <errorWord>III</errorWord>
      <group>L1_Word</group>
      <groupName>字词问题</groupName>
      <ability>L2_Typo</ability>
      <abilityName>字词错误</abilityName>
      <candidateList>
        <item>Ⅲ</item>
      </candidateList>
      <explain/>
      <paraID>7BEB14F9</paraID>
      <start>31</start>
      <end>34</end>
      <status>unmodified</status>
      <modifiedWord/>
      <trackRevisions>false</trackRevisions>
    </reviewItem>
    <reviewItem>
      <errorID>4bbff5a2-81f5-43ab-90f1-0978a8e14645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43F83AA3</paraID>
      <start>0</start>
      <end>2</end>
      <status>unmodified</status>
      <modifiedWord/>
      <trackRevisions>false</trackRevisions>
    </reviewItem>
    <reviewItem>
      <errorID>ae8b2727-b03c-4fe4-aad5-7417d17f2cb6</errorID>
      <errorWord>企</errorWord>
      <group>L1_Word</group>
      <groupName>字词问题</groupName>
      <ability>L2_Typo</ability>
      <abilityName>字词错误</abilityName>
      <candidateList>
        <item>企业</item>
      </candidateList>
      <explain>〈名〉从事生产、运输、贸易等经济活动的部门，如工厂、矿山、铁路、公司等。</explain>
      <paraID>3DA0D879</paraID>
      <start>67</start>
      <end>68</end>
      <status>unmodified</status>
      <modifiedWord/>
      <trackRevisions>false</trackRevisions>
    </reviewItem>
    <reviewItem>
      <errorID>370c767a-0aff-427a-87bd-b1ac887ab32c</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7A1CF107</paraID>
      <start>9</start>
      <end>10</end>
      <status>unmodified</status>
      <modifiedWord/>
      <trackRevisions>false</trackRevisions>
    </reviewItem>
    <reviewItem>
      <errorID>5ebb24cb-221d-4a5e-b2ac-0a0b1570b448</errorID>
      <errorWord>泄露</errorWord>
      <group>L1_Word</group>
      <groupName>字词问题</groupName>
      <ability>L2_Typo</ability>
      <abilityName>字词错误</abilityName>
      <candidateList>
        <item>泄漏</item>
      </candidateList>
      <explain/>
      <paraID>43E4D850</paraID>
      <start>18</start>
      <end>20</end>
      <status>unmodified</status>
      <modifiedWord/>
      <trackRevisions>false</trackRevisions>
    </reviewItem>
    <reviewItem>
      <errorID>2030179c-9802-4f9a-95fa-9bcfae6dc2dd</errorID>
      <errorWord>及其它有</errorWord>
      <group>L1_Word</group>
      <groupName>字词问题</groupName>
      <ability>L2_Alias</ability>
      <abilityName>也作/曾用词</abilityName>
      <candidateList>
        <item>及其他有</item>
      </candidateList>
      <explain>词汇[及其它有]为不规范表述或旧称，其规范书面表述为[及其他有]。</explain>
      <paraID>78B30E96</paraID>
      <start>69</start>
      <end>73</end>
      <status>unmodified</status>
      <modifiedWord/>
      <trackRevisions>false</trackRevisions>
    </reviewItem>
    <reviewItem>
      <errorID>b0501277-d915-4aa2-adee-1af2125d5c07</errorID>
      <errorWord>周围是</errorWord>
      <group>L1_Word</group>
      <groupName>字词问题</groupName>
      <ability>L2_Typo</ability>
      <abilityName>字词错误</abilityName>
      <candidateList>
        <item>周围</item>
      </candidateList>
      <explain/>
      <paraID>68595F18</paraID>
      <start>17</start>
      <end>20</end>
      <status>unmodified</status>
      <modifiedWord/>
      <trackRevisions>false</trackRevisions>
    </reviewItem>
    <reviewItem>
      <errorID>24cb8dfe-e9c1-401f-89ff-259fba010133</errorID>
      <errorWord>、</errorWord>
      <group>L1_Punc</group>
      <groupName>标点问题</groupName>
      <ability>L2_Punc</ability>
      <abilityName>标点符号检查</abilityName>
      <candidateList>
        <item>.</item>
      </candidateList>
      <explain/>
      <paraID> C387891</paraID>
      <start>1</start>
      <end>2</end>
      <status>unmodified</status>
      <modifiedWord/>
      <trackRevisions>false</trackRevisions>
    </reviewItem>
    <reviewItem>
      <errorID>7a341046-063a-42cb-9437-d7552a702f29</errorID>
      <errorWord>、</errorWord>
      <group>L1_Punc</group>
      <groupName>标点问题</groupName>
      <ability>L2_Punc</ability>
      <abilityName>标点符号检查</abilityName>
      <candidateList>
        <item>.</item>
      </candidateList>
      <explain/>
      <paraID>480802C8</paraID>
      <start>1</start>
      <end>2</end>
      <status>unmodified</status>
      <modifiedWord/>
      <trackRevisions>false</trackRevisions>
    </reviewItem>
    <reviewItem>
      <errorID>7543be9c-acac-4a38-9232-c4045d3099a3</errorID>
      <errorWord>、</errorWord>
      <group>L1_Punc</group>
      <groupName>标点问题</groupName>
      <ability>L2_Punc</ability>
      <abilityName>标点符号检查</abilityName>
      <candidateList>
        <item>.</item>
      </candidateList>
      <explain/>
      <paraID>4FEF9C3D</paraID>
      <start>1</start>
      <end>2</end>
      <status>unmodified</status>
      <modifiedWord/>
      <trackRevisions>false</trackRevisions>
    </reviewItem>
    <reviewItem>
      <errorID>a532e0b2-1775-4285-8e50-1c711dc76392</errorID>
      <errorWord>、</errorWord>
      <group>L1_Punc</group>
      <groupName>标点问题</groupName>
      <ability>L2_Punc</ability>
      <abilityName>标点符号检查</abilityName>
      <candidateList>
        <item>.</item>
      </candidateList>
      <explain/>
      <paraID>14123E2E</paraID>
      <start>1</start>
      <end>2</end>
      <status>unmodified</status>
      <modifiedWord/>
      <trackRevisions>false</trackRevisions>
    </reviewItem>
    <reviewItem>
      <errorID>0ffaa749-f555-42fd-a449-9432f9304e6a</errorID>
      <errorWord>间</errorWord>
      <group>L1_Word</group>
      <groupName>字词问题</groupName>
      <ability>L2_Typo</ability>
      <abilityName>字词错误</abilityName>
      <candidateList>
        <item>间内</item>
      </candidateList>
      <explain/>
      <paraID>14123E2E</paraID>
      <start>41</start>
      <end>42</end>
      <status>unmodified</status>
      <modifiedWord/>
      <trackRevisions>false</trackRevisions>
    </reviewItem>
    <reviewItem>
      <errorID>44d373f1-bd8a-4999-9a42-206afd3ec201</errorID>
      <errorWord>、</errorWord>
      <group>L1_Punc</group>
      <groupName>标点问题</groupName>
      <ability>L2_Punc</ability>
      <abilityName>标点符号检查</abilityName>
      <candidateList>
        <item>.</item>
      </candidateList>
      <explain/>
      <paraID>69552AB2</paraID>
      <start>1</start>
      <end>2</end>
      <status>unmodified</status>
      <modifiedWord/>
      <trackRevisions>false</trackRevisions>
    </reviewItem>
    <reviewItem>
      <errorID>634dce1d-ff21-4ac3-a5c5-cb477e70cc7a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144E710E</paraID>
      <start>0</start>
      <end>2</end>
      <status>unmodified</status>
      <modifiedWord/>
      <trackRevisions>false</trackRevisions>
    </reviewItem>
    <reviewItem>
      <errorID>0a68166d-3ece-4003-b6f7-ed1b31fd2c69</errorID>
      <errorWord>(</errorWord>
      <group>L1_Format</group>
      <groupName>格式问题</groupName>
      <ability>L2_HalfPunc</ability>
      <abilityName>全半角检查</abilityName>
      <candidateList>
        <item>（</item>
      </candidateList>
      <explain>文本全半角错误。</explain>
      <paraID>58B11A43</paraID>
      <start>174</start>
      <end>175</end>
      <status>unmodified</status>
      <modifiedWord/>
      <trackRevisions>false</trackRevisions>
    </reviewItem>
    <reviewItem>
      <errorID>ac365e59-b145-441d-a54e-3122de6cc450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3C481811</paraID>
      <start>0</start>
      <end>2</end>
      <status>unmodified</status>
      <modifiedWord/>
      <trackRevisions>false</trackRevisions>
    </reviewItem>
    <reviewItem>
      <errorID>d92e36dc-9c6e-4279-a1c2-dfcca875dc7e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488E273</paraID>
      <start>0</start>
      <end>2</end>
      <status>unmodified</status>
      <modifiedWord/>
      <trackRevisions>false</trackRevisions>
    </reviewItem>
    <reviewItem>
      <errorID>c002faf3-3995-4df2-948b-e723d38f8d60</errorID>
      <errorWord>)</errorWord>
      <group>L1_Format</group>
      <groupName>格式问题</groupName>
      <ability>L2_HalfPunc</ability>
      <abilityName>全半角检查</abilityName>
      <candidateList>
        <item>）</item>
      </candidateList>
      <explain>文本全半角错误。</explain>
      <paraID>50A9CF64</paraID>
      <start>25</start>
      <end>26</end>
      <status>unmodified</status>
      <modifiedWord/>
      <trackRevisions>false</trackRevisions>
    </reviewItem>
    <reviewItem>
      <errorID>9da6d7e0-5283-4fa1-b899-e60c1c7d2cba</errorID>
      <errorWord>减震</errorWord>
      <group>L1_Word</group>
      <groupName>字词问题</groupName>
      <ability>L2_Typo</ability>
      <abilityName>字词错误</abilityName>
      <candidateList>
        <item>减振</item>
      </candidateList>
      <explain>存在发音相同字词的误用。</explain>
      <paraID> 1AF4C3D</paraID>
      <start>10</start>
      <end>12</end>
      <status>unmodified</status>
      <modifiedWord/>
      <trackRevisions>false</trackRevisions>
    </reviewItem>
    <reviewItem>
      <errorID>d6108b43-1f94-484e-bcdb-0fb66a04098e</errorID>
      <errorWord>(</errorWord>
      <group>L1_Format</group>
      <groupName>格式问题</groupName>
      <ability>L2_HalfPunc</ability>
      <abilityName>全半角检查</abilityName>
      <candidateList>
        <item>（</item>
      </candidateList>
      <explain>文本全半角错误。</explain>
      <paraID>64AC37AE</paraID>
      <start>3</start>
      <end>4</end>
      <status>unmodified</status>
      <modifiedWord/>
      <trackRevisions>false</trackRevisions>
    </reviewItem>
    <reviewItem>
      <errorID>3fd8a81e-6e5c-4815-88f8-86ad9831b998</errorID>
      <errorWord>)</errorWord>
      <group>L1_Format</group>
      <groupName>格式问题</groupName>
      <ability>L2_HalfPunc</ability>
      <abilityName>全半角检查</abilityName>
      <candidateList>
        <item>）</item>
      </candidateList>
      <explain>文本全半角错误。</explain>
      <paraID>64AC37AE</paraID>
      <start>9</start>
      <end>10</end>
      <status>unmodified</status>
      <modifiedWord/>
      <trackRevisions>false</trackRevisions>
    </reviewItem>
    <reviewItem>
      <errorID>89335c4f-8072-485d-83e4-dffac7f4e5a3</errorID>
      <errorWord>提高</errorWord>
      <group>L1_Grammar</group>
      <groupName>语法问题</groupName>
      <ability>L2_Grammar</ability>
      <abilityName>语法错误</abilityName>
      <candidateList>
        <item>增强</item>
      </candidateList>
      <explain>“提高～意识”搭配不当，建议修改为“增强～意识”。</explain>
      <paraID>452FD482</paraID>
      <start>39</start>
      <end>41</end>
      <status>unmodified</status>
      <modifiedWord/>
      <trackRevisions>false</trackRevisions>
    </reviewItem>
    <reviewItem>
      <errorID>c4e7081d-113c-4092-9850-43665e30aee5</errorID>
      <errorWord>管理台帐</errorWord>
      <group>L1_Word</group>
      <groupName>字词问题</groupName>
      <ability>L2_Alias</ability>
      <abilityName>也作/曾用词</abilityName>
      <candidateList>
        <item>管理台账</item>
      </candidateList>
      <explain>词汇[管理台帐]为不规范表述或旧称，其规范书面表述为[管理台账]。</explain>
      <paraID>50779802</paraID>
      <start>64</start>
      <end>68</end>
      <status>modified</status>
      <modifiedWord>管理台账</modifiedWord>
      <trackRevisions>false</trackRevisions>
    </reviewItem>
    <reviewItem>
      <errorID>773ab568-f17c-475c-a2aa-54f440ad877f</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65C5189D</paraID>
      <start>4</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8AAC81-A5A7-44D4-9D12-7A72D47215F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88</Pages>
  <Words>12490</Words>
  <Characters>13147</Characters>
  <Lines>82</Lines>
  <Paragraphs>98</Paragraphs>
  <TotalTime>2</TotalTime>
  <ScaleCrop>false</ScaleCrop>
  <LinksUpToDate>false</LinksUpToDate>
  <CharactersWithSpaces>13333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2023-11-07T01:25:00Z</dcterms:created>
  <dc:creator>lhj</dc:creator>
  <cp:lastModifiedBy>飄零的葉子</cp:lastModifiedBy>
  <cp:lastPrinted>2023-10-30T06:24:00Z</cp:lastPrinted>
  <dcterms:modified xsi:type="dcterms:W3CDTF">2026-10-26T02:14:54Z</dcterms:modified>
  <dc:title>附件2</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3246650101C947CAB06BF974039037A2_13</vt:lpwstr>
  </property>
  <property fmtid="{D5CDD505-2E9C-101B-9397-08002B2CF9AE}" pid="4" name="KSOTemplateDocerSaveRecord">
    <vt:lpwstr>eyJoZGlkIjoiMWZlZmJlZjYwZjY3ZDY3NTIzNjhhYzVjZmYyZjIwM2MiLCJ1c2VySWQiOiI1NjgzMTQwNTMifQ==</vt:lpwstr>
  </property>
</Properties>
</file>