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178347E">
      <w:pPr>
        <w:rPr>
          <w:rFonts w:ascii="仿宋_GB2312" w:hAnsi="仿宋_GB2312" w:eastAsia="仿宋_GB2312" w:cs="仿宋_GB2312"/>
          <w:color w:val="000000" w:themeColor="text1"/>
          <w:sz w:val="36"/>
          <w:szCs w:val="36"/>
          <w:highlight w:val="none"/>
          <w14:textFill>
            <w14:solidFill>
              <w14:schemeClr w14:val="tx1"/>
            </w14:solidFill>
          </w14:textFill>
        </w:rPr>
      </w:pPr>
    </w:p>
    <w:p w14:paraId="3CC0D9D1">
      <w:pPr>
        <w:rPr>
          <w:rFonts w:ascii="仿宋_GB2312" w:hAnsi="仿宋_GB2312" w:eastAsia="仿宋_GB2312" w:cs="仿宋_GB2312"/>
          <w:color w:val="000000" w:themeColor="text1"/>
          <w:sz w:val="36"/>
          <w:szCs w:val="36"/>
          <w:highlight w:val="none"/>
          <w14:textFill>
            <w14:solidFill>
              <w14:schemeClr w14:val="tx1"/>
            </w14:solidFill>
          </w14:textFill>
        </w:rPr>
      </w:pPr>
    </w:p>
    <w:p w14:paraId="716094EF">
      <w:pPr>
        <w:rPr>
          <w:rFonts w:ascii="仿宋_GB2312" w:hAnsi="仿宋_GB2312" w:eastAsia="仿宋_GB2312" w:cs="仿宋_GB2312"/>
          <w:color w:val="000000" w:themeColor="text1"/>
          <w:sz w:val="36"/>
          <w:szCs w:val="36"/>
          <w:highlight w:val="none"/>
          <w14:textFill>
            <w14:solidFill>
              <w14:schemeClr w14:val="tx1"/>
            </w14:solidFill>
          </w14:textFill>
        </w:rPr>
      </w:pPr>
    </w:p>
    <w:p w14:paraId="76A85DB0">
      <w:pPr>
        <w:rPr>
          <w:rFonts w:ascii="仿宋_GB2312" w:hAnsi="仿宋_GB2312" w:eastAsia="仿宋_GB2312" w:cs="仿宋_GB2312"/>
          <w:color w:val="000000" w:themeColor="text1"/>
          <w:sz w:val="36"/>
          <w:szCs w:val="36"/>
          <w:highlight w:val="none"/>
          <w14:textFill>
            <w14:solidFill>
              <w14:schemeClr w14:val="tx1"/>
            </w14:solidFill>
          </w14:textFill>
        </w:rPr>
      </w:pPr>
    </w:p>
    <w:p w14:paraId="629AB03D">
      <w:pPr>
        <w:adjustRightInd w:val="0"/>
        <w:snapToGrid w:val="0"/>
        <w:jc w:val="center"/>
        <w:outlineLvl w:val="0"/>
        <w:rPr>
          <w:rFonts w:ascii="方正小标宋_GBK" w:eastAsia="方正小标宋_GBK"/>
          <w:bCs/>
          <w:color w:val="000000" w:themeColor="text1"/>
          <w:sz w:val="72"/>
          <w:szCs w:val="72"/>
          <w:highlight w:val="none"/>
          <w14:textFill>
            <w14:solidFill>
              <w14:schemeClr w14:val="tx1"/>
            </w14:solidFill>
          </w14:textFill>
        </w:rPr>
      </w:pPr>
      <w:r>
        <w:rPr>
          <w:rFonts w:hint="eastAsia" w:ascii="方正小标宋_GBK" w:eastAsia="方正小标宋_GBK"/>
          <w:bCs/>
          <w:color w:val="000000" w:themeColor="text1"/>
          <w:sz w:val="72"/>
          <w:szCs w:val="72"/>
          <w:highlight w:val="none"/>
          <w14:textFill>
            <w14:solidFill>
              <w14:schemeClr w14:val="tx1"/>
            </w14:solidFill>
          </w14:textFill>
        </w:rPr>
        <w:t>建设项目环境影响报告表</w:t>
      </w:r>
    </w:p>
    <w:p w14:paraId="0984D9E2">
      <w:pPr>
        <w:adjustRightInd w:val="0"/>
        <w:snapToGrid w:val="0"/>
        <w:spacing w:before="192" w:beforeLines="80"/>
        <w:jc w:val="center"/>
        <w:rPr>
          <w:rFonts w:ascii="楷体_GB2312" w:eastAsia="楷体_GB2312"/>
          <w:bCs/>
          <w:color w:val="000000" w:themeColor="text1"/>
          <w:sz w:val="48"/>
          <w:szCs w:val="48"/>
          <w:highlight w:val="none"/>
          <w14:textFill>
            <w14:solidFill>
              <w14:schemeClr w14:val="tx1"/>
            </w14:solidFill>
          </w14:textFill>
        </w:rPr>
      </w:pPr>
      <w:r>
        <w:rPr>
          <w:rFonts w:hint="eastAsia" w:ascii="楷体_GB2312" w:eastAsia="楷体_GB2312"/>
          <w:bCs/>
          <w:color w:val="000000" w:themeColor="text1"/>
          <w:sz w:val="48"/>
          <w:szCs w:val="48"/>
          <w:highlight w:val="none"/>
          <w14:textFill>
            <w14:solidFill>
              <w14:schemeClr w14:val="tx1"/>
            </w14:solidFill>
          </w14:textFill>
        </w:rPr>
        <w:t>（污染影响类）</w:t>
      </w:r>
    </w:p>
    <w:p w14:paraId="2F84D152">
      <w:pPr>
        <w:bidi w:val="0"/>
        <w:rPr>
          <w:highlight w:val="none"/>
        </w:rPr>
      </w:pPr>
    </w:p>
    <w:p w14:paraId="52B370ED">
      <w:pPr>
        <w:bidi w:val="0"/>
        <w:rPr>
          <w:highlight w:val="none"/>
        </w:rPr>
      </w:pPr>
    </w:p>
    <w:p w14:paraId="46F7899A">
      <w:pPr>
        <w:ind w:firstLine="1040"/>
        <w:rPr>
          <w:rFonts w:eastAsia="仿宋"/>
          <w:color w:val="000000" w:themeColor="text1"/>
          <w:sz w:val="44"/>
          <w:szCs w:val="44"/>
          <w:highlight w:val="none"/>
          <w14:textFill>
            <w14:solidFill>
              <w14:schemeClr w14:val="tx1"/>
            </w14:solidFill>
          </w14:textFill>
        </w:rPr>
      </w:pPr>
    </w:p>
    <w:p w14:paraId="11BE7441">
      <w:pPr>
        <w:ind w:firstLine="1040"/>
        <w:rPr>
          <w:rFonts w:eastAsia="仿宋"/>
          <w:color w:val="000000" w:themeColor="text1"/>
          <w:sz w:val="44"/>
          <w:szCs w:val="44"/>
          <w:highlight w:val="none"/>
          <w14:textFill>
            <w14:solidFill>
              <w14:schemeClr w14:val="tx1"/>
            </w14:solidFill>
          </w14:textFill>
        </w:rPr>
      </w:pPr>
    </w:p>
    <w:p w14:paraId="0713275A">
      <w:pPr>
        <w:ind w:firstLine="1040"/>
        <w:rPr>
          <w:rFonts w:eastAsia="仿宋"/>
          <w:color w:val="000000" w:themeColor="text1"/>
          <w:sz w:val="44"/>
          <w:szCs w:val="44"/>
          <w:highlight w:val="none"/>
          <w14:textFill>
            <w14:solidFill>
              <w14:schemeClr w14:val="tx1"/>
            </w14:solidFill>
          </w14:textFill>
        </w:rPr>
      </w:pPr>
    </w:p>
    <w:p w14:paraId="43565534">
      <w:pPr>
        <w:ind w:firstLine="1040"/>
        <w:rPr>
          <w:rFonts w:eastAsia="仿宋"/>
          <w:color w:val="000000" w:themeColor="text1"/>
          <w:sz w:val="44"/>
          <w:szCs w:val="44"/>
          <w:highlight w:val="none"/>
          <w14:textFill>
            <w14:solidFill>
              <w14:schemeClr w14:val="tx1"/>
            </w14:solidFill>
          </w14:textFill>
        </w:rPr>
      </w:pPr>
    </w:p>
    <w:p w14:paraId="54BDD193">
      <w:pPr>
        <w:ind w:firstLine="1040"/>
        <w:rPr>
          <w:rFonts w:eastAsia="仿宋"/>
          <w:color w:val="000000" w:themeColor="text1"/>
          <w:sz w:val="44"/>
          <w:szCs w:val="44"/>
          <w:highlight w:val="none"/>
          <w14:textFill>
            <w14:solidFill>
              <w14:schemeClr w14:val="tx1"/>
            </w14:solidFill>
          </w14:textFill>
        </w:rPr>
      </w:pPr>
    </w:p>
    <w:p w14:paraId="2D25EED0">
      <w:pPr>
        <w:rPr>
          <w:rFonts w:eastAsia="仿宋"/>
          <w:color w:val="000000" w:themeColor="text1"/>
          <w:sz w:val="44"/>
          <w:szCs w:val="44"/>
          <w:highlight w:val="none"/>
          <w14:textFill>
            <w14:solidFill>
              <w14:schemeClr w14:val="tx1"/>
            </w14:solidFill>
          </w14:textFill>
        </w:rPr>
      </w:pPr>
    </w:p>
    <w:p w14:paraId="12E93D72">
      <w:pPr>
        <w:adjustRightInd w:val="0"/>
        <w:snapToGrid w:val="0"/>
        <w:spacing w:line="288" w:lineRule="auto"/>
        <w:jc w:val="left"/>
        <w:rPr>
          <w:rFonts w:hint="eastAsia" w:ascii="仿宋_GB2312" w:eastAsia="仿宋_GB2312"/>
          <w:color w:val="FF0000"/>
          <w:sz w:val="36"/>
          <w:szCs w:val="36"/>
          <w:highlight w:val="none"/>
          <w:u w:val="single"/>
          <w:lang w:eastAsia="zh-CN"/>
        </w:rPr>
      </w:pPr>
      <w:r>
        <w:rPr>
          <w:rFonts w:hint="eastAsia" w:ascii="仿宋_GB2312" w:eastAsia="仿宋_GB2312"/>
          <w:color w:val="FF0000"/>
          <w:sz w:val="36"/>
          <w:szCs w:val="36"/>
          <w:highlight w:val="none"/>
        </w:rPr>
        <w:t>项目名称：</w:t>
      </w:r>
      <w:r>
        <w:rPr>
          <w:rFonts w:hint="eastAsia" w:ascii="仿宋_GB2312" w:eastAsia="仿宋_GB2312"/>
          <w:color w:val="FF0000"/>
          <w:sz w:val="36"/>
          <w:szCs w:val="36"/>
          <w:highlight w:val="none"/>
          <w:u w:val="single"/>
          <w:lang w:eastAsia="zh-CN"/>
        </w:rPr>
        <w:t>抚顺禹烽建筑石材有限公司碎石加工项目</w:t>
      </w:r>
    </w:p>
    <w:p w14:paraId="1061636D">
      <w:pPr>
        <w:adjustRightInd w:val="0"/>
        <w:snapToGrid w:val="0"/>
        <w:spacing w:line="288" w:lineRule="auto"/>
        <w:jc w:val="left"/>
        <w:rPr>
          <w:rFonts w:ascii="仿宋_GB2312" w:eastAsia="仿宋_GB2312"/>
          <w:color w:val="FF0000"/>
          <w:sz w:val="36"/>
          <w:szCs w:val="36"/>
          <w:highlight w:val="none"/>
          <w:u w:val="single"/>
        </w:rPr>
      </w:pPr>
      <w:r>
        <w:rPr>
          <w:rFonts w:hint="eastAsia" w:ascii="仿宋_GB2312" w:eastAsia="仿宋_GB2312"/>
          <w:color w:val="FF0000"/>
          <w:sz w:val="36"/>
          <w:szCs w:val="36"/>
          <w:highlight w:val="none"/>
        </w:rPr>
        <w:t>建设单位（盖章）：</w:t>
      </w:r>
      <w:r>
        <w:rPr>
          <w:rFonts w:hint="eastAsia" w:ascii="仿宋_GB2312" w:eastAsia="仿宋_GB2312"/>
          <w:color w:val="FF0000"/>
          <w:sz w:val="36"/>
          <w:szCs w:val="36"/>
          <w:highlight w:val="none"/>
          <w:u w:val="single"/>
        </w:rPr>
        <w:t xml:space="preserve">  </w:t>
      </w:r>
      <w:r>
        <w:rPr>
          <w:rFonts w:hint="eastAsia" w:ascii="仿宋_GB2312" w:eastAsia="仿宋_GB2312"/>
          <w:color w:val="FF0000"/>
          <w:sz w:val="36"/>
          <w:szCs w:val="36"/>
          <w:highlight w:val="none"/>
          <w:u w:val="single"/>
          <w:lang w:eastAsia="zh-CN"/>
        </w:rPr>
        <w:t>抚顺禹烽建筑石材有限公司</w:t>
      </w:r>
      <w:r>
        <w:rPr>
          <w:rFonts w:hint="eastAsia" w:ascii="仿宋_GB2312" w:eastAsia="仿宋_GB2312"/>
          <w:color w:val="FF0000"/>
          <w:sz w:val="36"/>
          <w:szCs w:val="36"/>
          <w:highlight w:val="none"/>
          <w:u w:val="single"/>
        </w:rPr>
        <w:t xml:space="preserve">  </w:t>
      </w:r>
    </w:p>
    <w:p w14:paraId="081F25DD">
      <w:pPr>
        <w:adjustRightInd w:val="0"/>
        <w:snapToGrid w:val="0"/>
        <w:spacing w:line="288" w:lineRule="auto"/>
        <w:jc w:val="center"/>
        <w:rPr>
          <w:rFonts w:ascii="仿宋_GB2312" w:eastAsia="仿宋_GB2312"/>
          <w:color w:val="000000" w:themeColor="text1"/>
          <w:sz w:val="36"/>
          <w:szCs w:val="36"/>
          <w:highlight w:val="none"/>
          <w:u w:val="single"/>
          <w14:textFill>
            <w14:solidFill>
              <w14:schemeClr w14:val="tx1"/>
            </w14:solidFill>
          </w14:textFill>
        </w:rPr>
      </w:pPr>
      <w:r>
        <w:rPr>
          <w:rFonts w:hint="eastAsia" w:ascii="仿宋_GB2312" w:eastAsia="仿宋_GB2312"/>
          <w:color w:val="000000" w:themeColor="text1"/>
          <w:sz w:val="36"/>
          <w:szCs w:val="36"/>
          <w:highlight w:val="none"/>
          <w14:textFill>
            <w14:solidFill>
              <w14:schemeClr w14:val="tx1"/>
            </w14:solidFill>
          </w14:textFill>
        </w:rPr>
        <w:t>编制日期：</w:t>
      </w:r>
      <w:r>
        <w:rPr>
          <w:rFonts w:hint="eastAsia" w:ascii="仿宋_GB2312" w:eastAsia="仿宋_GB2312"/>
          <w:color w:val="000000" w:themeColor="text1"/>
          <w:sz w:val="36"/>
          <w:szCs w:val="36"/>
          <w:highlight w:val="none"/>
          <w:u w:val="single"/>
          <w14:textFill>
            <w14:solidFill>
              <w14:schemeClr w14:val="tx1"/>
            </w14:solidFill>
          </w14:textFill>
        </w:rPr>
        <w:t xml:space="preserve">  202</w:t>
      </w:r>
      <w:r>
        <w:rPr>
          <w:rFonts w:hint="eastAsia" w:ascii="仿宋_GB2312" w:eastAsia="仿宋_GB2312"/>
          <w:color w:val="000000" w:themeColor="text1"/>
          <w:sz w:val="36"/>
          <w:szCs w:val="36"/>
          <w:highlight w:val="none"/>
          <w:u w:val="single"/>
          <w:lang w:val="en-US" w:eastAsia="zh-CN"/>
          <w14:textFill>
            <w14:solidFill>
              <w14:schemeClr w14:val="tx1"/>
            </w14:solidFill>
          </w14:textFill>
        </w:rPr>
        <w:t>5</w:t>
      </w:r>
      <w:r>
        <w:rPr>
          <w:rFonts w:hint="eastAsia" w:ascii="仿宋_GB2312" w:eastAsia="仿宋_GB2312"/>
          <w:color w:val="000000" w:themeColor="text1"/>
          <w:sz w:val="36"/>
          <w:szCs w:val="36"/>
          <w:highlight w:val="none"/>
          <w:u w:val="single"/>
          <w14:textFill>
            <w14:solidFill>
              <w14:schemeClr w14:val="tx1"/>
            </w14:solidFill>
          </w14:textFill>
        </w:rPr>
        <w:t xml:space="preserve">  </w:t>
      </w:r>
      <w:r>
        <w:rPr>
          <w:rFonts w:hint="eastAsia" w:ascii="仿宋_GB2312" w:eastAsia="仿宋_GB2312"/>
          <w:color w:val="000000" w:themeColor="text1"/>
          <w:sz w:val="36"/>
          <w:szCs w:val="36"/>
          <w:highlight w:val="none"/>
          <w14:textFill>
            <w14:solidFill>
              <w14:schemeClr w14:val="tx1"/>
            </w14:solidFill>
          </w14:textFill>
        </w:rPr>
        <w:t>年</w:t>
      </w:r>
      <w:r>
        <w:rPr>
          <w:rFonts w:hint="eastAsia" w:ascii="仿宋_GB2312" w:eastAsia="仿宋_GB2312"/>
          <w:color w:val="000000" w:themeColor="text1"/>
          <w:sz w:val="36"/>
          <w:szCs w:val="36"/>
          <w:highlight w:val="none"/>
          <w:u w:val="single"/>
          <w14:textFill>
            <w14:solidFill>
              <w14:schemeClr w14:val="tx1"/>
            </w14:solidFill>
          </w14:textFill>
        </w:rPr>
        <w:t xml:space="preserve">  </w:t>
      </w:r>
      <w:r>
        <w:rPr>
          <w:rFonts w:hint="eastAsia" w:ascii="仿宋_GB2312" w:eastAsia="仿宋_GB2312"/>
          <w:color w:val="000000" w:themeColor="text1"/>
          <w:sz w:val="36"/>
          <w:szCs w:val="36"/>
          <w:highlight w:val="none"/>
          <w:u w:val="single"/>
          <w:lang w:val="en-US" w:eastAsia="zh-CN"/>
          <w14:textFill>
            <w14:solidFill>
              <w14:schemeClr w14:val="tx1"/>
            </w14:solidFill>
          </w14:textFill>
        </w:rPr>
        <w:t>2</w:t>
      </w:r>
      <w:r>
        <w:rPr>
          <w:rFonts w:hint="eastAsia" w:ascii="仿宋_GB2312" w:eastAsia="仿宋_GB2312"/>
          <w:color w:val="000000" w:themeColor="text1"/>
          <w:sz w:val="36"/>
          <w:szCs w:val="36"/>
          <w:highlight w:val="none"/>
          <w:u w:val="single"/>
          <w14:textFill>
            <w14:solidFill>
              <w14:schemeClr w14:val="tx1"/>
            </w14:solidFill>
          </w14:textFill>
        </w:rPr>
        <w:t xml:space="preserve">  </w:t>
      </w:r>
      <w:r>
        <w:rPr>
          <w:rFonts w:hint="eastAsia" w:ascii="仿宋_GB2312" w:eastAsia="仿宋_GB2312"/>
          <w:color w:val="000000" w:themeColor="text1"/>
          <w:sz w:val="36"/>
          <w:szCs w:val="36"/>
          <w:highlight w:val="none"/>
          <w14:textFill>
            <w14:solidFill>
              <w14:schemeClr w14:val="tx1"/>
            </w14:solidFill>
          </w14:textFill>
        </w:rPr>
        <w:t>月</w:t>
      </w:r>
    </w:p>
    <w:p w14:paraId="2EA38899">
      <w:pPr>
        <w:adjustRightInd w:val="0"/>
        <w:snapToGrid w:val="0"/>
        <w:spacing w:line="288" w:lineRule="auto"/>
        <w:ind w:firstLine="1040"/>
        <w:rPr>
          <w:rFonts w:ascii="仿宋_GB2312" w:eastAsia="仿宋_GB2312"/>
          <w:color w:val="000000" w:themeColor="text1"/>
          <w:sz w:val="36"/>
          <w:szCs w:val="36"/>
          <w:highlight w:val="none"/>
          <w:u w:val="single"/>
          <w14:textFill>
            <w14:solidFill>
              <w14:schemeClr w14:val="tx1"/>
            </w14:solidFill>
          </w14:textFill>
        </w:rPr>
      </w:pPr>
      <w:bookmarkStart w:id="0" w:name="_Hlk57884087"/>
    </w:p>
    <w:p w14:paraId="12D4AEA8">
      <w:pPr>
        <w:adjustRightInd w:val="0"/>
        <w:snapToGrid w:val="0"/>
        <w:spacing w:line="288" w:lineRule="auto"/>
        <w:ind w:firstLine="1040"/>
        <w:rPr>
          <w:rFonts w:ascii="仿宋_GB2312" w:eastAsia="仿宋_GB2312"/>
          <w:color w:val="000000" w:themeColor="text1"/>
          <w:sz w:val="36"/>
          <w:szCs w:val="36"/>
          <w:highlight w:val="none"/>
          <w14:textFill>
            <w14:solidFill>
              <w14:schemeClr w14:val="tx1"/>
            </w14:solidFill>
          </w14:textFill>
        </w:rPr>
      </w:pPr>
    </w:p>
    <w:p w14:paraId="79A88C4D">
      <w:pPr>
        <w:adjustRightInd w:val="0"/>
        <w:snapToGrid w:val="0"/>
        <w:spacing w:line="288" w:lineRule="auto"/>
        <w:rPr>
          <w:rFonts w:ascii="仿宋_GB2312" w:eastAsia="仿宋_GB2312"/>
          <w:color w:val="000000" w:themeColor="text1"/>
          <w:sz w:val="36"/>
          <w:szCs w:val="36"/>
          <w:highlight w:val="none"/>
          <w14:textFill>
            <w14:solidFill>
              <w14:schemeClr w14:val="tx1"/>
            </w14:solidFill>
          </w14:textFill>
        </w:rPr>
      </w:pPr>
    </w:p>
    <w:p w14:paraId="601C2853">
      <w:pPr>
        <w:adjustRightInd w:val="0"/>
        <w:snapToGrid w:val="0"/>
        <w:spacing w:line="288" w:lineRule="auto"/>
        <w:ind w:firstLine="1040"/>
        <w:rPr>
          <w:rFonts w:ascii="仿宋_GB2312" w:eastAsia="仿宋_GB2312"/>
          <w:color w:val="000000" w:themeColor="text1"/>
          <w:sz w:val="36"/>
          <w:szCs w:val="36"/>
          <w:highlight w:val="none"/>
          <w14:textFill>
            <w14:solidFill>
              <w14:schemeClr w14:val="tx1"/>
            </w14:solidFill>
          </w14:textFill>
        </w:rPr>
      </w:pPr>
    </w:p>
    <w:bookmarkEnd w:id="0"/>
    <w:p w14:paraId="53E61DB7">
      <w:pPr>
        <w:adjustRightInd w:val="0"/>
        <w:snapToGrid w:val="0"/>
        <w:spacing w:line="288" w:lineRule="auto"/>
        <w:jc w:val="center"/>
        <w:rPr>
          <w:rFonts w:ascii="楷体_GB2312" w:eastAsia="楷体_GB2312"/>
          <w:color w:val="000000" w:themeColor="text1"/>
          <w:sz w:val="36"/>
          <w:szCs w:val="36"/>
          <w:highlight w:val="none"/>
          <w14:textFill>
            <w14:solidFill>
              <w14:schemeClr w14:val="tx1"/>
            </w14:solidFill>
          </w14:textFill>
        </w:rPr>
      </w:pPr>
      <w:r>
        <w:rPr>
          <w:rFonts w:hint="eastAsia" w:ascii="楷体_GB2312" w:eastAsia="楷体_GB2312"/>
          <w:color w:val="000000" w:themeColor="text1"/>
          <w:sz w:val="36"/>
          <w:szCs w:val="36"/>
          <w:highlight w:val="none"/>
          <w14:textFill>
            <w14:solidFill>
              <w14:schemeClr w14:val="tx1"/>
            </w14:solidFill>
          </w14:textFill>
        </w:rPr>
        <w:t>中华人民共和国生态环境部制</w:t>
      </w:r>
    </w:p>
    <w:p w14:paraId="77D45903">
      <w:pPr>
        <w:adjustRightInd w:val="0"/>
        <w:snapToGrid w:val="0"/>
        <w:spacing w:line="288" w:lineRule="auto"/>
        <w:ind w:firstLine="1040"/>
        <w:rPr>
          <w:rFonts w:ascii="仿宋_GB2312" w:eastAsia="仿宋_GB2312"/>
          <w:color w:val="000000" w:themeColor="text1"/>
          <w:sz w:val="36"/>
          <w:szCs w:val="36"/>
          <w:highlight w:val="none"/>
          <w14:textFill>
            <w14:solidFill>
              <w14:schemeClr w14:val="tx1"/>
            </w14:solidFill>
          </w14:textFill>
        </w:rPr>
        <w:sectPr>
          <w:headerReference r:id="rId3" w:type="default"/>
          <w:footerReference r:id="rId4" w:type="default"/>
          <w:footerReference r:id="rId5" w:type="even"/>
          <w:pgSz w:w="11906" w:h="16838"/>
          <w:pgMar w:top="1701" w:right="1531" w:bottom="1701" w:left="1531" w:header="851" w:footer="1077" w:gutter="0"/>
          <w:pgNumType w:start="3"/>
          <w:cols w:space="720" w:num="1"/>
          <w:docGrid w:linePitch="312" w:charSpace="0"/>
        </w:sectPr>
      </w:pPr>
    </w:p>
    <w:p w14:paraId="1B00A15F">
      <w:pPr>
        <w:adjustRightInd w:val="0"/>
        <w:snapToGrid w:val="0"/>
        <w:spacing w:line="288" w:lineRule="auto"/>
        <w:rPr>
          <w:rFonts w:hint="eastAsia" w:ascii="仿宋_GB2312" w:eastAsia="仿宋_GB2312"/>
          <w:color w:val="000000" w:themeColor="text1"/>
          <w:sz w:val="36"/>
          <w:szCs w:val="36"/>
          <w:highlight w:val="none"/>
          <w:lang w:eastAsia="zh-CN"/>
          <w14:textFill>
            <w14:solidFill>
              <w14:schemeClr w14:val="tx1"/>
            </w14:solidFill>
          </w14:textFill>
        </w:rPr>
        <w:sectPr>
          <w:pgSz w:w="11906" w:h="16838"/>
          <w:pgMar w:top="1701" w:right="1531" w:bottom="1701" w:left="1531" w:header="851" w:footer="1077" w:gutter="0"/>
          <w:pgNumType w:start="3"/>
          <w:cols w:space="720" w:num="1"/>
          <w:docGrid w:linePitch="312" w:charSpace="0"/>
        </w:sectPr>
      </w:pPr>
      <w:r>
        <w:rPr>
          <w:rFonts w:hint="eastAsia" w:ascii="仿宋_GB2312" w:eastAsia="仿宋_GB2312"/>
          <w:color w:val="000000" w:themeColor="text1"/>
          <w:sz w:val="36"/>
          <w:szCs w:val="36"/>
          <w:highlight w:val="none"/>
          <w:lang w:eastAsia="zh-CN"/>
          <w14:textFill>
            <w14:solidFill>
              <w14:schemeClr w14:val="tx1"/>
            </w14:solidFill>
          </w14:textFill>
        </w:rPr>
        <w:drawing>
          <wp:inline distT="0" distB="0" distL="114300" distR="114300">
            <wp:extent cx="5603875" cy="7711440"/>
            <wp:effectExtent l="0" t="0" r="15875" b="3810"/>
            <wp:docPr id="1" name="图片 1" descr="8023780f1ecd2d38fa6f63ffe955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8023780f1ecd2d38fa6f63ffe955ade"/>
                    <pic:cNvPicPr>
                      <a:picLocks noChangeAspect="1"/>
                    </pic:cNvPicPr>
                  </pic:nvPicPr>
                  <pic:blipFill>
                    <a:blip r:embed="rId14"/>
                    <a:stretch>
                      <a:fillRect/>
                    </a:stretch>
                  </pic:blipFill>
                  <pic:spPr>
                    <a:xfrm>
                      <a:off x="0" y="0"/>
                      <a:ext cx="5603875" cy="7711440"/>
                    </a:xfrm>
                    <a:prstGeom prst="rect">
                      <a:avLst/>
                    </a:prstGeom>
                  </pic:spPr>
                </pic:pic>
              </a:graphicData>
            </a:graphic>
          </wp:inline>
        </w:drawing>
      </w:r>
    </w:p>
    <w:p w14:paraId="5E9C12B9">
      <w:pPr>
        <w:bidi w:val="0"/>
        <w:rPr>
          <w:highlight w:val="none"/>
        </w:rPr>
      </w:pPr>
      <w:r>
        <w:rPr>
          <w:rFonts w:hint="eastAsia"/>
          <w:highlight w:val="none"/>
        </w:rPr>
        <w:drawing>
          <wp:inline distT="0" distB="0" distL="114300" distR="114300">
            <wp:extent cx="8122920" cy="5729605"/>
            <wp:effectExtent l="0" t="0" r="4445" b="11430"/>
            <wp:docPr id="33" name="图片 61" descr="f6cf2f37e3087b866584325b6a4d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61" descr="f6cf2f37e3087b866584325b6a4d812"/>
                    <pic:cNvPicPr>
                      <a:picLocks noChangeAspect="1"/>
                    </pic:cNvPicPr>
                  </pic:nvPicPr>
                  <pic:blipFill>
                    <a:blip r:embed="rId15"/>
                    <a:stretch>
                      <a:fillRect/>
                    </a:stretch>
                  </pic:blipFill>
                  <pic:spPr>
                    <a:xfrm rot="5400000">
                      <a:off x="0" y="0"/>
                      <a:ext cx="8122920" cy="5729605"/>
                    </a:xfrm>
                    <a:prstGeom prst="rect">
                      <a:avLst/>
                    </a:prstGeom>
                    <a:noFill/>
                    <a:ln>
                      <a:noFill/>
                    </a:ln>
                  </pic:spPr>
                </pic:pic>
              </a:graphicData>
            </a:graphic>
          </wp:inline>
        </w:drawing>
      </w:r>
    </w:p>
    <w:p w14:paraId="35E244BE">
      <w:pPr>
        <w:bidi w:val="0"/>
        <w:rPr>
          <w:highlight w:val="none"/>
        </w:rPr>
        <w:sectPr>
          <w:footerReference r:id="rId6" w:type="default"/>
          <w:pgSz w:w="11906" w:h="16838"/>
          <w:pgMar w:top="1440" w:right="1440" w:bottom="1440" w:left="1440" w:header="851" w:footer="1077" w:gutter="0"/>
          <w:pgNumType w:start="1"/>
          <w:cols w:space="720" w:num="1"/>
          <w:docGrid w:linePitch="312" w:charSpace="0"/>
        </w:sectPr>
      </w:pPr>
    </w:p>
    <w:p w14:paraId="0DABF22D">
      <w:pPr>
        <w:bidi w:val="0"/>
        <w:jc w:val="center"/>
        <w:rPr>
          <w:highlight w:val="none"/>
        </w:rPr>
      </w:pPr>
      <w:r>
        <w:rPr>
          <w:highlight w:val="none"/>
        </w:rPr>
        <w:drawing>
          <wp:inline distT="0" distB="0" distL="114300" distR="114300">
            <wp:extent cx="7745730" cy="5299710"/>
            <wp:effectExtent l="0" t="0" r="7620" b="15240"/>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16"/>
                    <a:stretch>
                      <a:fillRect/>
                    </a:stretch>
                  </pic:blipFill>
                  <pic:spPr>
                    <a:xfrm>
                      <a:off x="0" y="0"/>
                      <a:ext cx="7745730" cy="5299710"/>
                    </a:xfrm>
                    <a:prstGeom prst="rect">
                      <a:avLst/>
                    </a:prstGeom>
                    <a:noFill/>
                    <a:ln>
                      <a:noFill/>
                    </a:ln>
                  </pic:spPr>
                </pic:pic>
              </a:graphicData>
            </a:graphic>
          </wp:inline>
        </w:drawing>
      </w:r>
    </w:p>
    <w:p w14:paraId="22C31D82">
      <w:pPr>
        <w:bidi w:val="0"/>
        <w:rPr>
          <w:highlight w:val="none"/>
        </w:rPr>
        <w:sectPr>
          <w:pgSz w:w="16838" w:h="11906" w:orient="landscape"/>
          <w:pgMar w:top="1440" w:right="1440" w:bottom="1440" w:left="1440" w:header="851" w:footer="1077" w:gutter="0"/>
          <w:pgNumType w:start="1"/>
          <w:cols w:space="720" w:num="1"/>
          <w:docGrid w:linePitch="312" w:charSpace="0"/>
        </w:sectPr>
      </w:pPr>
    </w:p>
    <w:p w14:paraId="141437CF">
      <w:pPr>
        <w:bidi w:val="0"/>
        <w:rPr>
          <w:highlight w:val="none"/>
        </w:rPr>
      </w:pPr>
      <w:r>
        <w:rPr>
          <w:color w:val="auto"/>
          <w:highlight w:val="none"/>
        </w:rPr>
        <w:drawing>
          <wp:inline distT="0" distB="0" distL="114300" distR="114300">
            <wp:extent cx="5396865" cy="7581900"/>
            <wp:effectExtent l="0" t="0" r="13335" b="0"/>
            <wp:docPr id="2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pic:cNvPicPr>
                      <a:picLocks noChangeAspect="1"/>
                    </pic:cNvPicPr>
                  </pic:nvPicPr>
                  <pic:blipFill>
                    <a:blip r:embed="rId17"/>
                    <a:stretch>
                      <a:fillRect/>
                    </a:stretch>
                  </pic:blipFill>
                  <pic:spPr>
                    <a:xfrm>
                      <a:off x="0" y="0"/>
                      <a:ext cx="5396865" cy="7581900"/>
                    </a:xfrm>
                    <a:prstGeom prst="rect">
                      <a:avLst/>
                    </a:prstGeom>
                    <a:noFill/>
                    <a:ln>
                      <a:noFill/>
                    </a:ln>
                  </pic:spPr>
                </pic:pic>
              </a:graphicData>
            </a:graphic>
          </wp:inline>
        </w:drawing>
      </w:r>
    </w:p>
    <w:p w14:paraId="19260320">
      <w:pPr>
        <w:pStyle w:val="16"/>
        <w:jc w:val="center"/>
        <w:outlineLvl w:val="0"/>
        <w:rPr>
          <w:rFonts w:hint="eastAsia" w:ascii="黑体" w:hAnsi="黑体" w:eastAsia="黑体"/>
          <w:snapToGrid w:val="0"/>
          <w:color w:val="000000" w:themeColor="text1"/>
          <w:sz w:val="30"/>
          <w:szCs w:val="30"/>
          <w:highlight w:val="none"/>
          <w14:textFill>
            <w14:solidFill>
              <w14:schemeClr w14:val="tx1"/>
            </w14:solidFill>
          </w14:textFill>
        </w:rPr>
        <w:sectPr>
          <w:footerReference r:id="rId7" w:type="default"/>
          <w:pgSz w:w="11906" w:h="16838"/>
          <w:pgMar w:top="1701" w:right="1531" w:bottom="1701" w:left="1531" w:header="851" w:footer="1077" w:gutter="0"/>
          <w:pgNumType w:start="1"/>
          <w:cols w:space="720" w:num="1"/>
          <w:docGrid w:linePitch="312" w:charSpace="0"/>
        </w:sectPr>
      </w:pPr>
    </w:p>
    <w:p w14:paraId="67B8150B">
      <w:pPr>
        <w:pStyle w:val="16"/>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一、建设项目基本情况</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842"/>
        <w:gridCol w:w="842"/>
        <w:gridCol w:w="2162"/>
        <w:gridCol w:w="2078"/>
        <w:gridCol w:w="2946"/>
      </w:tblGrid>
      <w:tr w14:paraId="2DBA05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4" w:type="dxa"/>
            <w:gridSpan w:val="2"/>
            <w:tcMar>
              <w:top w:w="16" w:type="dxa"/>
              <w:left w:w="16" w:type="dxa"/>
              <w:right w:w="16" w:type="dxa"/>
            </w:tcMar>
            <w:vAlign w:val="center"/>
          </w:tcPr>
          <w:p w14:paraId="286A16F7">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建设项目名称</w:t>
            </w:r>
          </w:p>
        </w:tc>
        <w:tc>
          <w:tcPr>
            <w:tcW w:w="7186" w:type="dxa"/>
            <w:gridSpan w:val="3"/>
            <w:vAlign w:val="center"/>
          </w:tcPr>
          <w:p w14:paraId="51C27A62">
            <w:pPr>
              <w:adjustRightInd w:val="0"/>
              <w:snapToGrid w:val="0"/>
              <w:jc w:val="center"/>
              <w:rPr>
                <w:rFonts w:hint="eastAsia" w:ascii="宋体" w:hAnsi="宋体" w:eastAsia="宋体" w:cs="宋体"/>
                <w:color w:val="auto"/>
                <w:sz w:val="24"/>
                <w:highlight w:val="none"/>
                <w:lang w:eastAsia="zh-CN"/>
              </w:rPr>
            </w:pPr>
            <w:r>
              <w:rPr>
                <w:rFonts w:hint="eastAsia" w:ascii="宋体" w:hAnsi="宋体" w:cs="宋体"/>
                <w:color w:val="auto"/>
                <w:sz w:val="24"/>
                <w:highlight w:val="none"/>
                <w:lang w:eastAsia="zh-CN"/>
              </w:rPr>
              <w:t>抚顺禹烽建筑石材有限公司碎石加工项目</w:t>
            </w:r>
          </w:p>
        </w:tc>
      </w:tr>
      <w:tr w14:paraId="533856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4" w:type="dxa"/>
            <w:gridSpan w:val="2"/>
            <w:tcMar>
              <w:top w:w="16" w:type="dxa"/>
              <w:left w:w="16" w:type="dxa"/>
              <w:right w:w="16" w:type="dxa"/>
            </w:tcMar>
            <w:vAlign w:val="center"/>
          </w:tcPr>
          <w:p w14:paraId="0F02388C">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项目代码</w:t>
            </w:r>
          </w:p>
        </w:tc>
        <w:tc>
          <w:tcPr>
            <w:tcW w:w="7186" w:type="dxa"/>
            <w:gridSpan w:val="3"/>
            <w:vAlign w:val="center"/>
          </w:tcPr>
          <w:p w14:paraId="207C42EC">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无</w:t>
            </w:r>
          </w:p>
        </w:tc>
      </w:tr>
      <w:tr w14:paraId="5FB4755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4" w:type="dxa"/>
            <w:gridSpan w:val="2"/>
            <w:shd w:val="clear" w:color="auto" w:fill="auto"/>
            <w:tcMar>
              <w:top w:w="16" w:type="dxa"/>
              <w:left w:w="16" w:type="dxa"/>
              <w:right w:w="16" w:type="dxa"/>
            </w:tcMar>
            <w:vAlign w:val="center"/>
          </w:tcPr>
          <w:p w14:paraId="6618EE01">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建设单位联系人</w:t>
            </w:r>
          </w:p>
        </w:tc>
        <w:tc>
          <w:tcPr>
            <w:tcW w:w="2162" w:type="dxa"/>
            <w:shd w:val="clear" w:color="auto" w:fill="auto"/>
            <w:vAlign w:val="center"/>
          </w:tcPr>
          <w:p w14:paraId="4EE87566">
            <w:pPr>
              <w:adjustRightInd w:val="0"/>
              <w:snapToGrid w:val="0"/>
              <w:jc w:val="center"/>
              <w:rPr>
                <w:color w:val="auto"/>
                <w:sz w:val="24"/>
                <w:highlight w:val="none"/>
              </w:rPr>
            </w:pPr>
            <w:r>
              <w:rPr>
                <w:rFonts w:hint="eastAsia"/>
                <w:color w:val="auto"/>
                <w:sz w:val="24"/>
                <w:highlight w:val="none"/>
              </w:rPr>
              <w:t>魏千博</w:t>
            </w:r>
          </w:p>
        </w:tc>
        <w:tc>
          <w:tcPr>
            <w:tcW w:w="2078" w:type="dxa"/>
            <w:shd w:val="clear" w:color="auto" w:fill="auto"/>
            <w:vAlign w:val="center"/>
          </w:tcPr>
          <w:p w14:paraId="280B7958">
            <w:pPr>
              <w:adjustRightInd w:val="0"/>
              <w:snapToGrid w:val="0"/>
              <w:jc w:val="center"/>
              <w:rPr>
                <w:color w:val="auto"/>
                <w:sz w:val="24"/>
                <w:highlight w:val="none"/>
              </w:rPr>
            </w:pPr>
            <w:r>
              <w:rPr>
                <w:color w:val="auto"/>
                <w:sz w:val="24"/>
                <w:highlight w:val="none"/>
              </w:rPr>
              <w:t>联系方式</w:t>
            </w:r>
          </w:p>
        </w:tc>
        <w:tc>
          <w:tcPr>
            <w:tcW w:w="2946" w:type="dxa"/>
            <w:shd w:val="clear" w:color="auto" w:fill="auto"/>
            <w:vAlign w:val="center"/>
          </w:tcPr>
          <w:p w14:paraId="6987DBCA">
            <w:pPr>
              <w:adjustRightInd w:val="0"/>
              <w:snapToGrid w:val="0"/>
              <w:jc w:val="center"/>
              <w:rPr>
                <w:color w:val="auto"/>
                <w:sz w:val="24"/>
                <w:highlight w:val="none"/>
              </w:rPr>
            </w:pPr>
            <w:r>
              <w:rPr>
                <w:color w:val="auto"/>
                <w:sz w:val="24"/>
                <w:highlight w:val="none"/>
              </w:rPr>
              <w:t>15</w:t>
            </w:r>
            <w:r>
              <w:rPr>
                <w:rFonts w:hint="eastAsia"/>
                <w:color w:val="auto"/>
                <w:sz w:val="24"/>
                <w:highlight w:val="none"/>
              </w:rPr>
              <w:t>841343111</w:t>
            </w:r>
          </w:p>
        </w:tc>
      </w:tr>
      <w:tr w14:paraId="1B49074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4" w:type="dxa"/>
            <w:gridSpan w:val="2"/>
            <w:tcMar>
              <w:top w:w="16" w:type="dxa"/>
              <w:left w:w="16" w:type="dxa"/>
              <w:right w:w="16" w:type="dxa"/>
            </w:tcMar>
            <w:vAlign w:val="center"/>
          </w:tcPr>
          <w:p w14:paraId="738EFEF8">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建设地点</w:t>
            </w:r>
          </w:p>
        </w:tc>
        <w:tc>
          <w:tcPr>
            <w:tcW w:w="7186" w:type="dxa"/>
            <w:gridSpan w:val="3"/>
            <w:vAlign w:val="center"/>
          </w:tcPr>
          <w:p w14:paraId="73D52897">
            <w:pPr>
              <w:adjustRightInd w:val="0"/>
              <w:snapToGrid w:val="0"/>
              <w:jc w:val="center"/>
              <w:rPr>
                <w:color w:val="auto"/>
                <w:sz w:val="24"/>
                <w:highlight w:val="none"/>
              </w:rPr>
            </w:pPr>
            <w:r>
              <w:rPr>
                <w:color w:val="auto"/>
                <w:sz w:val="24"/>
                <w:highlight w:val="none"/>
                <w:u w:val="single"/>
              </w:rPr>
              <w:t>辽宁</w:t>
            </w:r>
            <w:r>
              <w:rPr>
                <w:color w:val="auto"/>
                <w:sz w:val="24"/>
                <w:highlight w:val="none"/>
              </w:rPr>
              <w:t>省</w:t>
            </w:r>
            <w:r>
              <w:rPr>
                <w:color w:val="auto"/>
                <w:sz w:val="24"/>
                <w:highlight w:val="none"/>
                <w:u w:val="single"/>
              </w:rPr>
              <w:t>抚顺</w:t>
            </w:r>
            <w:r>
              <w:rPr>
                <w:color w:val="auto"/>
                <w:sz w:val="24"/>
                <w:highlight w:val="none"/>
              </w:rPr>
              <w:t>市</w:t>
            </w:r>
            <w:r>
              <w:rPr>
                <w:rFonts w:hint="eastAsia"/>
                <w:color w:val="auto"/>
                <w:sz w:val="24"/>
                <w:highlight w:val="none"/>
                <w:u w:val="single"/>
              </w:rPr>
              <w:t>东洲</w:t>
            </w:r>
            <w:r>
              <w:rPr>
                <w:rFonts w:hint="eastAsia"/>
                <w:color w:val="auto"/>
                <w:sz w:val="24"/>
                <w:highlight w:val="none"/>
              </w:rPr>
              <w:t>区</w:t>
            </w:r>
            <w:r>
              <w:rPr>
                <w:rFonts w:hint="eastAsia"/>
                <w:color w:val="auto"/>
                <w:sz w:val="24"/>
                <w:highlight w:val="none"/>
                <w:u w:val="single"/>
              </w:rPr>
              <w:t>哈达</w:t>
            </w:r>
            <w:r>
              <w:rPr>
                <w:rFonts w:hint="eastAsia"/>
                <w:color w:val="auto"/>
                <w:sz w:val="24"/>
                <w:highlight w:val="none"/>
              </w:rPr>
              <w:t>镇</w:t>
            </w:r>
            <w:r>
              <w:rPr>
                <w:rFonts w:hint="eastAsia"/>
                <w:color w:val="auto"/>
                <w:sz w:val="24"/>
                <w:highlight w:val="none"/>
                <w:u w:val="single"/>
              </w:rPr>
              <w:t>小寨子村</w:t>
            </w:r>
          </w:p>
        </w:tc>
      </w:tr>
      <w:tr w14:paraId="5000244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4" w:type="dxa"/>
            <w:gridSpan w:val="2"/>
            <w:tcMar>
              <w:top w:w="16" w:type="dxa"/>
              <w:left w:w="16" w:type="dxa"/>
              <w:right w:w="16" w:type="dxa"/>
            </w:tcMar>
            <w:vAlign w:val="center"/>
          </w:tcPr>
          <w:p w14:paraId="1A2179C2">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地理坐标</w:t>
            </w:r>
          </w:p>
        </w:tc>
        <w:tc>
          <w:tcPr>
            <w:tcW w:w="7186" w:type="dxa"/>
            <w:gridSpan w:val="3"/>
            <w:vAlign w:val="center"/>
          </w:tcPr>
          <w:p w14:paraId="71D76573">
            <w:pPr>
              <w:jc w:val="center"/>
              <w:rPr>
                <w:color w:val="auto"/>
                <w:sz w:val="24"/>
                <w:highlight w:val="none"/>
              </w:rPr>
            </w:pPr>
            <w:r>
              <w:rPr>
                <w:color w:val="auto"/>
                <w:sz w:val="24"/>
                <w:highlight w:val="none"/>
              </w:rPr>
              <w:t>（</w:t>
            </w:r>
            <w:r>
              <w:rPr>
                <w:color w:val="auto"/>
                <w:sz w:val="24"/>
                <w:highlight w:val="none"/>
                <w:u w:val="single"/>
              </w:rPr>
              <w:t>124</w:t>
            </w:r>
            <w:r>
              <w:rPr>
                <w:color w:val="auto"/>
                <w:sz w:val="24"/>
                <w:highlight w:val="none"/>
              </w:rPr>
              <w:t>度</w:t>
            </w:r>
            <w:r>
              <w:rPr>
                <w:rFonts w:hint="eastAsia"/>
                <w:color w:val="auto"/>
                <w:sz w:val="24"/>
                <w:highlight w:val="none"/>
                <w:u w:val="single"/>
                <w:lang w:val="en-US" w:eastAsia="zh-CN"/>
              </w:rPr>
              <w:t>4</w:t>
            </w:r>
            <w:r>
              <w:rPr>
                <w:color w:val="auto"/>
                <w:sz w:val="24"/>
                <w:highlight w:val="none"/>
              </w:rPr>
              <w:t>分</w:t>
            </w:r>
            <w:r>
              <w:rPr>
                <w:rFonts w:hint="eastAsia"/>
                <w:color w:val="auto"/>
                <w:sz w:val="24"/>
                <w:highlight w:val="none"/>
                <w:u w:val="single"/>
                <w:lang w:val="en-US" w:eastAsia="zh-CN"/>
              </w:rPr>
              <w:t>48.777</w:t>
            </w:r>
            <w:r>
              <w:rPr>
                <w:color w:val="auto"/>
                <w:sz w:val="24"/>
                <w:highlight w:val="none"/>
              </w:rPr>
              <w:t>秒，</w:t>
            </w:r>
            <w:r>
              <w:rPr>
                <w:color w:val="auto"/>
                <w:sz w:val="24"/>
                <w:highlight w:val="none"/>
                <w:u w:val="single"/>
              </w:rPr>
              <w:t>42</w:t>
            </w:r>
            <w:r>
              <w:rPr>
                <w:color w:val="auto"/>
                <w:sz w:val="24"/>
                <w:highlight w:val="none"/>
              </w:rPr>
              <w:t>度</w:t>
            </w:r>
            <w:r>
              <w:rPr>
                <w:color w:val="auto"/>
                <w:sz w:val="24"/>
                <w:highlight w:val="none"/>
                <w:u w:val="single"/>
              </w:rPr>
              <w:t>2</w:t>
            </w:r>
            <w:r>
              <w:rPr>
                <w:color w:val="auto"/>
                <w:sz w:val="24"/>
                <w:highlight w:val="none"/>
              </w:rPr>
              <w:t>分</w:t>
            </w:r>
            <w:r>
              <w:rPr>
                <w:rFonts w:hint="eastAsia"/>
                <w:color w:val="auto"/>
                <w:sz w:val="24"/>
                <w:highlight w:val="none"/>
                <w:u w:val="single"/>
                <w:lang w:val="en-US" w:eastAsia="zh-CN"/>
              </w:rPr>
              <w:t>20.72</w:t>
            </w:r>
            <w:r>
              <w:rPr>
                <w:rFonts w:hint="eastAsia"/>
                <w:color w:val="auto"/>
                <w:sz w:val="24"/>
                <w:highlight w:val="none"/>
                <w:u w:val="single"/>
              </w:rPr>
              <w:t>3</w:t>
            </w:r>
            <w:r>
              <w:rPr>
                <w:color w:val="auto"/>
                <w:sz w:val="24"/>
                <w:highlight w:val="none"/>
              </w:rPr>
              <w:t>秒）</w:t>
            </w:r>
          </w:p>
        </w:tc>
      </w:tr>
      <w:tr w14:paraId="348A42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684" w:type="dxa"/>
            <w:gridSpan w:val="2"/>
            <w:tcMar>
              <w:top w:w="16" w:type="dxa"/>
              <w:left w:w="16" w:type="dxa"/>
              <w:right w:w="16" w:type="dxa"/>
            </w:tcMar>
            <w:vAlign w:val="center"/>
          </w:tcPr>
          <w:p w14:paraId="284AA965">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国民经济</w:t>
            </w:r>
          </w:p>
          <w:p w14:paraId="4FEFF62B">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行业类别</w:t>
            </w:r>
          </w:p>
        </w:tc>
        <w:tc>
          <w:tcPr>
            <w:tcW w:w="2162" w:type="dxa"/>
            <w:vAlign w:val="center"/>
          </w:tcPr>
          <w:p w14:paraId="58607C2C">
            <w:pPr>
              <w:adjustRightInd w:val="0"/>
              <w:snapToGrid w:val="0"/>
              <w:jc w:val="center"/>
              <w:rPr>
                <w:color w:val="auto"/>
                <w:sz w:val="24"/>
                <w:highlight w:val="none"/>
              </w:rPr>
            </w:pPr>
            <w:r>
              <w:rPr>
                <w:color w:val="auto"/>
                <w:sz w:val="24"/>
                <w:highlight w:val="none"/>
              </w:rPr>
              <w:t>C3039 其他建筑材料制造</w:t>
            </w:r>
          </w:p>
        </w:tc>
        <w:tc>
          <w:tcPr>
            <w:tcW w:w="2078" w:type="dxa"/>
            <w:vAlign w:val="center"/>
          </w:tcPr>
          <w:p w14:paraId="3A1408C6">
            <w:pPr>
              <w:adjustRightInd w:val="0"/>
              <w:snapToGrid w:val="0"/>
              <w:jc w:val="center"/>
              <w:rPr>
                <w:color w:val="auto"/>
                <w:sz w:val="24"/>
                <w:highlight w:val="none"/>
              </w:rPr>
            </w:pPr>
            <w:bookmarkStart w:id="1" w:name="_Hlk49843745"/>
            <w:r>
              <w:rPr>
                <w:color w:val="auto"/>
                <w:sz w:val="24"/>
                <w:highlight w:val="none"/>
              </w:rPr>
              <w:t>建设项目</w:t>
            </w:r>
          </w:p>
          <w:p w14:paraId="55B095F4">
            <w:pPr>
              <w:adjustRightInd w:val="0"/>
              <w:snapToGrid w:val="0"/>
              <w:jc w:val="center"/>
              <w:rPr>
                <w:color w:val="auto"/>
                <w:sz w:val="24"/>
                <w:highlight w:val="none"/>
              </w:rPr>
            </w:pPr>
            <w:r>
              <w:rPr>
                <w:color w:val="auto"/>
                <w:sz w:val="24"/>
                <w:highlight w:val="none"/>
              </w:rPr>
              <w:t>行业类别</w:t>
            </w:r>
            <w:bookmarkEnd w:id="1"/>
          </w:p>
        </w:tc>
        <w:tc>
          <w:tcPr>
            <w:tcW w:w="2946" w:type="dxa"/>
            <w:vAlign w:val="center"/>
          </w:tcPr>
          <w:p w14:paraId="2531CFF8">
            <w:pPr>
              <w:adjustRightInd w:val="0"/>
              <w:snapToGrid w:val="0"/>
              <w:rPr>
                <w:color w:val="auto"/>
                <w:sz w:val="24"/>
                <w:highlight w:val="none"/>
              </w:rPr>
            </w:pPr>
            <w:r>
              <w:rPr>
                <w:color w:val="auto"/>
                <w:sz w:val="24"/>
                <w:highlight w:val="none"/>
              </w:rPr>
              <w:t>二十七、非金属矿物制品</w:t>
            </w:r>
          </w:p>
          <w:p w14:paraId="186F97A7">
            <w:pPr>
              <w:adjustRightInd w:val="0"/>
              <w:snapToGrid w:val="0"/>
              <w:rPr>
                <w:color w:val="auto"/>
                <w:sz w:val="24"/>
                <w:highlight w:val="none"/>
              </w:rPr>
            </w:pPr>
            <w:r>
              <w:rPr>
                <w:color w:val="auto"/>
                <w:sz w:val="24"/>
                <w:highlight w:val="none"/>
              </w:rPr>
              <w:t>30-56、砖瓦、石材等建筑材料制造 303</w:t>
            </w:r>
          </w:p>
        </w:tc>
      </w:tr>
      <w:tr w14:paraId="56DB9F8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684" w:type="dxa"/>
            <w:gridSpan w:val="2"/>
            <w:tcMar>
              <w:top w:w="16" w:type="dxa"/>
              <w:left w:w="16" w:type="dxa"/>
              <w:right w:w="16" w:type="dxa"/>
            </w:tcMar>
            <w:vAlign w:val="center"/>
          </w:tcPr>
          <w:p w14:paraId="5C9E2D07">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建设性质</w:t>
            </w:r>
          </w:p>
        </w:tc>
        <w:tc>
          <w:tcPr>
            <w:tcW w:w="2162" w:type="dxa"/>
            <w:vAlign w:val="center"/>
          </w:tcPr>
          <w:p w14:paraId="3BA9612E">
            <w:pPr>
              <w:jc w:val="left"/>
              <w:rPr>
                <w:color w:val="auto"/>
                <w:sz w:val="24"/>
                <w:highlight w:val="none"/>
              </w:rPr>
            </w:pPr>
            <w:r>
              <w:rPr>
                <w:rFonts w:hint="eastAsia" w:ascii="Segoe UI Symbol" w:hAnsi="Segoe UI Symbol" w:cs="Segoe UI Symbol"/>
                <w:color w:val="auto"/>
                <w:sz w:val="24"/>
                <w:highlight w:val="none"/>
                <w:lang w:eastAsia="zh-CN"/>
              </w:rPr>
              <w:t>☑</w:t>
            </w:r>
            <w:r>
              <w:rPr>
                <w:color w:val="auto"/>
                <w:sz w:val="24"/>
                <w:highlight w:val="none"/>
              </w:rPr>
              <w:t>新建（迁建）</w:t>
            </w:r>
          </w:p>
          <w:p w14:paraId="027F00C2">
            <w:pPr>
              <w:jc w:val="left"/>
              <w:rPr>
                <w:color w:val="auto"/>
                <w:sz w:val="24"/>
                <w:highlight w:val="none"/>
              </w:rPr>
            </w:pPr>
            <w:r>
              <w:rPr>
                <w:rFonts w:hint="eastAsia"/>
                <w:color w:val="auto"/>
                <w:sz w:val="24"/>
                <w:highlight w:val="none"/>
                <w:lang w:eastAsia="zh-CN"/>
              </w:rPr>
              <w:t>□</w:t>
            </w:r>
            <w:r>
              <w:rPr>
                <w:color w:val="auto"/>
                <w:sz w:val="24"/>
                <w:highlight w:val="none"/>
              </w:rPr>
              <w:t>改建</w:t>
            </w:r>
          </w:p>
          <w:p w14:paraId="5497650D">
            <w:pPr>
              <w:jc w:val="left"/>
              <w:rPr>
                <w:color w:val="auto"/>
                <w:sz w:val="24"/>
                <w:highlight w:val="none"/>
              </w:rPr>
            </w:pPr>
            <w:r>
              <w:rPr>
                <w:rFonts w:hint="eastAsia"/>
                <w:color w:val="auto"/>
                <w:sz w:val="24"/>
                <w:highlight w:val="none"/>
                <w:lang w:eastAsia="zh-CN"/>
              </w:rPr>
              <w:t>□</w:t>
            </w:r>
            <w:r>
              <w:rPr>
                <w:color w:val="auto"/>
                <w:sz w:val="24"/>
                <w:highlight w:val="none"/>
              </w:rPr>
              <w:t>扩建</w:t>
            </w:r>
          </w:p>
          <w:p w14:paraId="57DB705B">
            <w:pPr>
              <w:jc w:val="left"/>
              <w:rPr>
                <w:color w:val="auto"/>
                <w:sz w:val="24"/>
                <w:highlight w:val="none"/>
              </w:rPr>
            </w:pPr>
            <w:r>
              <w:rPr>
                <w:rFonts w:hint="eastAsia"/>
                <w:color w:val="auto"/>
                <w:sz w:val="24"/>
                <w:highlight w:val="none"/>
                <w:lang w:eastAsia="zh-CN"/>
              </w:rPr>
              <w:t>□</w:t>
            </w:r>
            <w:r>
              <w:rPr>
                <w:color w:val="auto"/>
                <w:sz w:val="24"/>
                <w:highlight w:val="none"/>
              </w:rPr>
              <w:t>技术改造</w:t>
            </w:r>
          </w:p>
        </w:tc>
        <w:tc>
          <w:tcPr>
            <w:tcW w:w="2078" w:type="dxa"/>
            <w:vAlign w:val="center"/>
          </w:tcPr>
          <w:p w14:paraId="4396275D">
            <w:pPr>
              <w:adjustRightInd w:val="0"/>
              <w:snapToGrid w:val="0"/>
              <w:jc w:val="center"/>
              <w:rPr>
                <w:color w:val="auto"/>
                <w:sz w:val="24"/>
                <w:highlight w:val="none"/>
              </w:rPr>
            </w:pPr>
            <w:r>
              <w:rPr>
                <w:color w:val="auto"/>
                <w:sz w:val="24"/>
                <w:highlight w:val="none"/>
              </w:rPr>
              <w:t>建设项目</w:t>
            </w:r>
          </w:p>
          <w:p w14:paraId="530C1FD2">
            <w:pPr>
              <w:adjustRightInd w:val="0"/>
              <w:snapToGrid w:val="0"/>
              <w:jc w:val="center"/>
              <w:rPr>
                <w:color w:val="auto"/>
                <w:sz w:val="24"/>
                <w:highlight w:val="none"/>
              </w:rPr>
            </w:pPr>
            <w:r>
              <w:rPr>
                <w:color w:val="auto"/>
                <w:sz w:val="24"/>
                <w:highlight w:val="none"/>
              </w:rPr>
              <w:t>申报情形</w:t>
            </w:r>
          </w:p>
        </w:tc>
        <w:tc>
          <w:tcPr>
            <w:tcW w:w="2946" w:type="dxa"/>
            <w:vAlign w:val="center"/>
          </w:tcPr>
          <w:p w14:paraId="20A14B11">
            <w:pPr>
              <w:jc w:val="left"/>
              <w:rPr>
                <w:color w:val="auto"/>
                <w:sz w:val="24"/>
                <w:highlight w:val="none"/>
              </w:rPr>
            </w:pPr>
            <w:r>
              <w:rPr>
                <w:rFonts w:hint="eastAsia" w:ascii="Segoe UI Symbol" w:hAnsi="Segoe UI Symbol" w:cs="Segoe UI Symbol"/>
                <w:color w:val="auto"/>
                <w:sz w:val="24"/>
                <w:highlight w:val="none"/>
                <w:lang w:eastAsia="zh-CN"/>
              </w:rPr>
              <w:t>☑</w:t>
            </w:r>
            <w:r>
              <w:rPr>
                <w:color w:val="auto"/>
                <w:sz w:val="24"/>
                <w:highlight w:val="none"/>
              </w:rPr>
              <w:t>首次申报项目</w:t>
            </w:r>
          </w:p>
          <w:p w14:paraId="1D0BA3FC">
            <w:pPr>
              <w:jc w:val="left"/>
              <w:rPr>
                <w:color w:val="auto"/>
                <w:sz w:val="24"/>
                <w:highlight w:val="none"/>
              </w:rPr>
            </w:pPr>
            <w:r>
              <w:rPr>
                <w:rFonts w:hint="eastAsia"/>
                <w:color w:val="auto"/>
                <w:sz w:val="24"/>
                <w:highlight w:val="none"/>
                <w:lang w:eastAsia="zh-CN"/>
              </w:rPr>
              <w:t>□</w:t>
            </w:r>
            <w:r>
              <w:rPr>
                <w:color w:val="auto"/>
                <w:sz w:val="24"/>
                <w:highlight w:val="none"/>
              </w:rPr>
              <w:t>不予批准后再次申报项目</w:t>
            </w:r>
          </w:p>
          <w:p w14:paraId="006DC54E">
            <w:pPr>
              <w:jc w:val="left"/>
              <w:rPr>
                <w:color w:val="auto"/>
                <w:sz w:val="24"/>
                <w:highlight w:val="none"/>
              </w:rPr>
            </w:pPr>
            <w:r>
              <w:rPr>
                <w:rFonts w:hint="eastAsia"/>
                <w:color w:val="auto"/>
                <w:sz w:val="24"/>
                <w:highlight w:val="none"/>
                <w:lang w:eastAsia="zh-CN"/>
              </w:rPr>
              <w:t>□</w:t>
            </w:r>
            <w:r>
              <w:rPr>
                <w:color w:val="auto"/>
                <w:sz w:val="24"/>
                <w:highlight w:val="none"/>
              </w:rPr>
              <w:t>超五年重新审核项目</w:t>
            </w:r>
          </w:p>
          <w:p w14:paraId="748733D9">
            <w:pPr>
              <w:jc w:val="left"/>
              <w:rPr>
                <w:color w:val="auto"/>
                <w:sz w:val="24"/>
                <w:highlight w:val="none"/>
              </w:rPr>
            </w:pPr>
            <w:r>
              <w:rPr>
                <w:rFonts w:hint="eastAsia"/>
                <w:color w:val="auto"/>
                <w:sz w:val="24"/>
                <w:highlight w:val="none"/>
                <w:lang w:eastAsia="zh-CN"/>
              </w:rPr>
              <w:t>□</w:t>
            </w:r>
            <w:r>
              <w:rPr>
                <w:color w:val="auto"/>
                <w:sz w:val="24"/>
                <w:highlight w:val="none"/>
              </w:rPr>
              <w:t>重大变动重新报批项目</w:t>
            </w:r>
          </w:p>
        </w:tc>
      </w:tr>
      <w:tr w14:paraId="53D918C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684" w:type="dxa"/>
            <w:gridSpan w:val="2"/>
            <w:tcMar>
              <w:top w:w="16" w:type="dxa"/>
              <w:left w:w="16" w:type="dxa"/>
              <w:right w:w="16" w:type="dxa"/>
            </w:tcMar>
            <w:vAlign w:val="center"/>
          </w:tcPr>
          <w:p w14:paraId="6058EFEF">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项目审批（核准</w:t>
            </w:r>
            <w:r>
              <w:rPr>
                <w:rFonts w:ascii="宋体" w:hAnsi="宋体" w:cs="宋体"/>
                <w:color w:val="auto"/>
                <w:sz w:val="24"/>
                <w:highlight w:val="none"/>
              </w:rPr>
              <w:t>/</w:t>
            </w:r>
          </w:p>
          <w:p w14:paraId="28AB51D2">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备案）部门（选填）</w:t>
            </w:r>
          </w:p>
        </w:tc>
        <w:tc>
          <w:tcPr>
            <w:tcW w:w="2162" w:type="dxa"/>
            <w:vAlign w:val="center"/>
          </w:tcPr>
          <w:p w14:paraId="00ECEDA5">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w:t>
            </w:r>
          </w:p>
        </w:tc>
        <w:tc>
          <w:tcPr>
            <w:tcW w:w="2078" w:type="dxa"/>
            <w:vAlign w:val="center"/>
          </w:tcPr>
          <w:p w14:paraId="483612CD">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项目审批（核准</w:t>
            </w:r>
            <w:r>
              <w:rPr>
                <w:rFonts w:ascii="宋体" w:hAnsi="宋体" w:cs="宋体"/>
                <w:color w:val="auto"/>
                <w:sz w:val="24"/>
                <w:highlight w:val="none"/>
              </w:rPr>
              <w:t>/</w:t>
            </w:r>
          </w:p>
          <w:p w14:paraId="59BC6D7F">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备案）文号（选填）</w:t>
            </w:r>
          </w:p>
        </w:tc>
        <w:tc>
          <w:tcPr>
            <w:tcW w:w="2946" w:type="dxa"/>
            <w:vAlign w:val="center"/>
          </w:tcPr>
          <w:p w14:paraId="031D117D">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w:t>
            </w:r>
          </w:p>
        </w:tc>
      </w:tr>
      <w:tr w14:paraId="3A53B1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4" w:type="dxa"/>
            <w:gridSpan w:val="2"/>
            <w:shd w:val="clear" w:color="auto" w:fill="auto"/>
            <w:tcMar>
              <w:top w:w="16" w:type="dxa"/>
              <w:left w:w="16" w:type="dxa"/>
              <w:right w:w="16" w:type="dxa"/>
            </w:tcMar>
            <w:vAlign w:val="center"/>
          </w:tcPr>
          <w:p w14:paraId="0EAB1021">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总投资（万元）</w:t>
            </w:r>
          </w:p>
        </w:tc>
        <w:tc>
          <w:tcPr>
            <w:tcW w:w="2162" w:type="dxa"/>
            <w:shd w:val="clear" w:color="auto" w:fill="auto"/>
            <w:vAlign w:val="center"/>
          </w:tcPr>
          <w:p w14:paraId="0C7B618E">
            <w:pPr>
              <w:adjustRightInd w:val="0"/>
              <w:snapToGrid w:val="0"/>
              <w:jc w:val="center"/>
              <w:rPr>
                <w:color w:val="auto"/>
                <w:sz w:val="24"/>
                <w:highlight w:val="none"/>
              </w:rPr>
            </w:pPr>
            <w:r>
              <w:rPr>
                <w:rFonts w:hint="eastAsia"/>
                <w:color w:val="auto"/>
                <w:sz w:val="24"/>
                <w:highlight w:val="none"/>
              </w:rPr>
              <w:t>200</w:t>
            </w:r>
          </w:p>
        </w:tc>
        <w:tc>
          <w:tcPr>
            <w:tcW w:w="2078" w:type="dxa"/>
            <w:shd w:val="clear" w:color="auto" w:fill="auto"/>
            <w:tcMar>
              <w:top w:w="16" w:type="dxa"/>
              <w:left w:w="16" w:type="dxa"/>
              <w:right w:w="16" w:type="dxa"/>
            </w:tcMar>
            <w:vAlign w:val="center"/>
          </w:tcPr>
          <w:p w14:paraId="1A2A85FB">
            <w:pPr>
              <w:adjustRightInd w:val="0"/>
              <w:snapToGrid w:val="0"/>
              <w:jc w:val="center"/>
              <w:rPr>
                <w:color w:val="FF0000"/>
                <w:sz w:val="24"/>
                <w:highlight w:val="none"/>
              </w:rPr>
            </w:pPr>
            <w:r>
              <w:rPr>
                <w:color w:val="FF0000"/>
                <w:sz w:val="24"/>
                <w:highlight w:val="none"/>
              </w:rPr>
              <w:t>环保投资（万元）</w:t>
            </w:r>
          </w:p>
        </w:tc>
        <w:tc>
          <w:tcPr>
            <w:tcW w:w="2946" w:type="dxa"/>
            <w:shd w:val="clear" w:color="auto" w:fill="auto"/>
            <w:vAlign w:val="center"/>
          </w:tcPr>
          <w:p w14:paraId="317C9245">
            <w:pPr>
              <w:adjustRightInd w:val="0"/>
              <w:snapToGrid w:val="0"/>
              <w:jc w:val="center"/>
              <w:rPr>
                <w:rFonts w:hint="default" w:eastAsia="宋体"/>
                <w:color w:val="FF0000"/>
                <w:sz w:val="24"/>
                <w:highlight w:val="none"/>
                <w:lang w:val="en-US" w:eastAsia="zh-CN"/>
              </w:rPr>
            </w:pPr>
            <w:r>
              <w:rPr>
                <w:rFonts w:hint="eastAsia"/>
                <w:color w:val="FF0000"/>
                <w:sz w:val="24"/>
                <w:highlight w:val="none"/>
                <w:lang w:val="en-US" w:eastAsia="zh-CN"/>
              </w:rPr>
              <w:t>31.1</w:t>
            </w:r>
          </w:p>
        </w:tc>
      </w:tr>
      <w:tr w14:paraId="50A2205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4" w:type="dxa"/>
            <w:gridSpan w:val="2"/>
            <w:shd w:val="clear" w:color="auto" w:fill="auto"/>
            <w:tcMar>
              <w:top w:w="16" w:type="dxa"/>
              <w:left w:w="16" w:type="dxa"/>
              <w:right w:w="16" w:type="dxa"/>
            </w:tcMar>
            <w:vAlign w:val="center"/>
          </w:tcPr>
          <w:p w14:paraId="57CCE488">
            <w:pPr>
              <w:adjustRightInd w:val="0"/>
              <w:snapToGrid w:val="0"/>
              <w:jc w:val="center"/>
              <w:rPr>
                <w:rFonts w:ascii="宋体" w:hAnsi="宋体" w:cs="宋体"/>
                <w:color w:val="FF0000"/>
                <w:sz w:val="24"/>
                <w:highlight w:val="none"/>
              </w:rPr>
            </w:pPr>
            <w:r>
              <w:rPr>
                <w:rFonts w:hint="eastAsia" w:ascii="宋体" w:hAnsi="宋体" w:cs="宋体"/>
                <w:color w:val="FF0000"/>
                <w:sz w:val="24"/>
                <w:highlight w:val="none"/>
              </w:rPr>
              <w:t>环保投资占比</w:t>
            </w:r>
            <w:r>
              <w:rPr>
                <w:color w:val="FF0000"/>
                <w:sz w:val="24"/>
                <w:highlight w:val="none"/>
              </w:rPr>
              <w:t>（%</w:t>
            </w:r>
            <w:r>
              <w:rPr>
                <w:rFonts w:hint="eastAsia" w:ascii="宋体" w:hAnsi="宋体" w:cs="宋体"/>
                <w:color w:val="FF0000"/>
                <w:sz w:val="24"/>
                <w:highlight w:val="none"/>
              </w:rPr>
              <w:t>）</w:t>
            </w:r>
          </w:p>
        </w:tc>
        <w:tc>
          <w:tcPr>
            <w:tcW w:w="2162" w:type="dxa"/>
            <w:shd w:val="clear" w:color="auto" w:fill="auto"/>
            <w:vAlign w:val="center"/>
          </w:tcPr>
          <w:p w14:paraId="1C8615FB">
            <w:pPr>
              <w:adjustRightInd w:val="0"/>
              <w:snapToGrid w:val="0"/>
              <w:jc w:val="center"/>
              <w:rPr>
                <w:rFonts w:hint="default" w:eastAsia="宋体"/>
                <w:color w:val="FF0000"/>
                <w:sz w:val="24"/>
                <w:highlight w:val="none"/>
                <w:lang w:val="en-US" w:eastAsia="zh-CN"/>
              </w:rPr>
            </w:pPr>
            <w:r>
              <w:rPr>
                <w:rFonts w:hint="eastAsia"/>
                <w:color w:val="FF0000"/>
                <w:sz w:val="24"/>
                <w:highlight w:val="none"/>
                <w:lang w:val="en-US" w:eastAsia="zh-CN"/>
              </w:rPr>
              <w:t>15.55</w:t>
            </w:r>
          </w:p>
        </w:tc>
        <w:tc>
          <w:tcPr>
            <w:tcW w:w="2078" w:type="dxa"/>
            <w:shd w:val="clear" w:color="auto" w:fill="auto"/>
            <w:tcMar>
              <w:top w:w="16" w:type="dxa"/>
              <w:left w:w="16" w:type="dxa"/>
              <w:right w:w="16" w:type="dxa"/>
            </w:tcMar>
            <w:vAlign w:val="center"/>
          </w:tcPr>
          <w:p w14:paraId="0AA59CB7">
            <w:pPr>
              <w:adjustRightInd w:val="0"/>
              <w:snapToGrid w:val="0"/>
              <w:jc w:val="center"/>
              <w:rPr>
                <w:color w:val="auto"/>
                <w:sz w:val="24"/>
                <w:highlight w:val="none"/>
              </w:rPr>
            </w:pPr>
            <w:r>
              <w:rPr>
                <w:color w:val="auto"/>
                <w:sz w:val="24"/>
                <w:highlight w:val="none"/>
              </w:rPr>
              <w:t>施工工期</w:t>
            </w:r>
            <w:r>
              <w:rPr>
                <w:rFonts w:hint="eastAsia"/>
                <w:color w:val="auto"/>
                <w:sz w:val="24"/>
                <w:highlight w:val="none"/>
              </w:rPr>
              <w:t>（月）</w:t>
            </w:r>
          </w:p>
        </w:tc>
        <w:tc>
          <w:tcPr>
            <w:tcW w:w="2946" w:type="dxa"/>
            <w:shd w:val="clear" w:color="auto" w:fill="auto"/>
            <w:vAlign w:val="center"/>
          </w:tcPr>
          <w:p w14:paraId="37D19C1D">
            <w:pPr>
              <w:adjustRightInd w:val="0"/>
              <w:snapToGrid w:val="0"/>
              <w:jc w:val="center"/>
              <w:rPr>
                <w:color w:val="auto"/>
                <w:sz w:val="24"/>
                <w:highlight w:val="none"/>
              </w:rPr>
            </w:pPr>
            <w:r>
              <w:rPr>
                <w:rFonts w:hint="eastAsia"/>
                <w:color w:val="auto"/>
                <w:sz w:val="24"/>
                <w:highlight w:val="none"/>
              </w:rPr>
              <w:t>2</w:t>
            </w:r>
          </w:p>
        </w:tc>
      </w:tr>
      <w:tr w14:paraId="454DF7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684" w:type="dxa"/>
            <w:gridSpan w:val="2"/>
            <w:tcMar>
              <w:top w:w="16" w:type="dxa"/>
              <w:left w:w="16" w:type="dxa"/>
              <w:right w:w="16" w:type="dxa"/>
            </w:tcMar>
            <w:vAlign w:val="center"/>
          </w:tcPr>
          <w:p w14:paraId="4B8CFADA">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是否开工建设</w:t>
            </w:r>
          </w:p>
        </w:tc>
        <w:tc>
          <w:tcPr>
            <w:tcW w:w="2162" w:type="dxa"/>
            <w:vAlign w:val="center"/>
          </w:tcPr>
          <w:p w14:paraId="3C108C8E">
            <w:pPr>
              <w:adjustRightInd w:val="0"/>
              <w:snapToGrid w:val="0"/>
              <w:rPr>
                <w:color w:val="auto"/>
                <w:sz w:val="24"/>
                <w:highlight w:val="none"/>
              </w:rPr>
            </w:pPr>
            <w:r>
              <w:rPr>
                <w:rFonts w:hint="eastAsia" w:ascii="Segoe UI Symbol" w:hAnsi="Segoe UI Symbol" w:cs="Segoe UI Symbol"/>
                <w:color w:val="auto"/>
                <w:sz w:val="24"/>
                <w:highlight w:val="none"/>
                <w:lang w:eastAsia="zh-CN"/>
              </w:rPr>
              <w:t>☑</w:t>
            </w:r>
            <w:r>
              <w:rPr>
                <w:color w:val="auto"/>
                <w:sz w:val="24"/>
                <w:highlight w:val="none"/>
              </w:rPr>
              <w:t>否</w:t>
            </w:r>
          </w:p>
          <w:p w14:paraId="6E1631FE">
            <w:pPr>
              <w:adjustRightInd w:val="0"/>
              <w:snapToGrid w:val="0"/>
              <w:rPr>
                <w:color w:val="auto"/>
                <w:sz w:val="24"/>
                <w:highlight w:val="none"/>
              </w:rPr>
            </w:pPr>
            <w:r>
              <w:rPr>
                <w:rFonts w:hint="eastAsia"/>
                <w:color w:val="auto"/>
                <w:sz w:val="24"/>
                <w:highlight w:val="none"/>
                <w:lang w:eastAsia="zh-CN"/>
              </w:rPr>
              <w:t>□</w:t>
            </w:r>
            <w:r>
              <w:rPr>
                <w:color w:val="auto"/>
                <w:sz w:val="24"/>
                <w:highlight w:val="none"/>
              </w:rPr>
              <w:t>是：</w:t>
            </w:r>
            <w:r>
              <w:rPr>
                <w:color w:val="auto"/>
                <w:sz w:val="24"/>
                <w:highlight w:val="none"/>
                <w:u w:val="single"/>
              </w:rPr>
              <w:t xml:space="preserve">   </w:t>
            </w:r>
            <w:r>
              <w:rPr>
                <w:rFonts w:hint="eastAsia"/>
                <w:color w:val="auto"/>
                <w:sz w:val="24"/>
                <w:highlight w:val="none"/>
                <w:u w:val="single"/>
              </w:rPr>
              <w:t xml:space="preserve">      </w:t>
            </w:r>
            <w:r>
              <w:rPr>
                <w:color w:val="auto"/>
                <w:sz w:val="24"/>
                <w:highlight w:val="none"/>
                <w:u w:val="single"/>
              </w:rPr>
              <w:t xml:space="preserve">   </w:t>
            </w:r>
          </w:p>
        </w:tc>
        <w:tc>
          <w:tcPr>
            <w:tcW w:w="2078" w:type="dxa"/>
            <w:tcMar>
              <w:top w:w="16" w:type="dxa"/>
              <w:left w:w="16" w:type="dxa"/>
              <w:right w:w="16" w:type="dxa"/>
            </w:tcMar>
            <w:vAlign w:val="center"/>
          </w:tcPr>
          <w:p w14:paraId="66A191D0">
            <w:pPr>
              <w:adjustRightInd w:val="0"/>
              <w:snapToGrid w:val="0"/>
              <w:jc w:val="center"/>
              <w:rPr>
                <w:color w:val="auto"/>
                <w:spacing w:val="-6"/>
                <w:sz w:val="24"/>
                <w:highlight w:val="none"/>
              </w:rPr>
            </w:pPr>
            <w:r>
              <w:rPr>
                <w:color w:val="auto"/>
                <w:spacing w:val="-6"/>
                <w:sz w:val="24"/>
                <w:highlight w:val="none"/>
              </w:rPr>
              <w:t>用地（用海）</w:t>
            </w:r>
          </w:p>
          <w:p w14:paraId="6E912D13">
            <w:pPr>
              <w:adjustRightInd w:val="0"/>
              <w:snapToGrid w:val="0"/>
              <w:jc w:val="center"/>
              <w:rPr>
                <w:color w:val="auto"/>
                <w:sz w:val="24"/>
                <w:highlight w:val="none"/>
              </w:rPr>
            </w:pPr>
            <w:r>
              <w:rPr>
                <w:color w:val="auto"/>
                <w:spacing w:val="-6"/>
                <w:sz w:val="24"/>
                <w:highlight w:val="none"/>
              </w:rPr>
              <w:t>面积（m</w:t>
            </w:r>
            <w:r>
              <w:rPr>
                <w:color w:val="auto"/>
                <w:spacing w:val="-6"/>
                <w:sz w:val="24"/>
                <w:highlight w:val="none"/>
                <w:vertAlign w:val="superscript"/>
              </w:rPr>
              <w:t>2</w:t>
            </w:r>
            <w:r>
              <w:rPr>
                <w:color w:val="auto"/>
                <w:spacing w:val="-6"/>
                <w:sz w:val="24"/>
                <w:highlight w:val="none"/>
              </w:rPr>
              <w:t>）</w:t>
            </w:r>
          </w:p>
        </w:tc>
        <w:tc>
          <w:tcPr>
            <w:tcW w:w="2946" w:type="dxa"/>
            <w:vAlign w:val="center"/>
          </w:tcPr>
          <w:p w14:paraId="022635FF">
            <w:pPr>
              <w:adjustRightInd w:val="0"/>
              <w:snapToGrid w:val="0"/>
              <w:jc w:val="center"/>
              <w:rPr>
                <w:rFonts w:hint="default" w:eastAsia="宋体"/>
                <w:color w:val="auto"/>
                <w:sz w:val="24"/>
                <w:highlight w:val="none"/>
                <w:lang w:val="en-US" w:eastAsia="zh-CN"/>
              </w:rPr>
            </w:pPr>
            <w:r>
              <w:rPr>
                <w:rFonts w:hint="eastAsia"/>
                <w:color w:val="auto"/>
                <w:sz w:val="24"/>
                <w:highlight w:val="none"/>
                <w:lang w:val="en-US" w:eastAsia="zh-CN"/>
              </w:rPr>
              <w:t>2500</w:t>
            </w:r>
          </w:p>
        </w:tc>
      </w:tr>
      <w:tr w14:paraId="633E3F1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684" w:type="dxa"/>
            <w:gridSpan w:val="2"/>
            <w:vAlign w:val="center"/>
          </w:tcPr>
          <w:p w14:paraId="7434B8B4">
            <w:pPr>
              <w:autoSpaceDE w:val="0"/>
              <w:autoSpaceDN w:val="0"/>
              <w:adjustRightInd w:val="0"/>
              <w:snapToGrid w:val="0"/>
              <w:jc w:val="center"/>
              <w:rPr>
                <w:rFonts w:ascii="宋体" w:hAnsi="宋体" w:cs="宋体"/>
                <w:color w:val="auto"/>
                <w:kern w:val="0"/>
                <w:sz w:val="24"/>
                <w:highlight w:val="none"/>
              </w:rPr>
            </w:pPr>
            <w:r>
              <w:rPr>
                <w:rFonts w:hint="eastAsia" w:ascii="宋体" w:hAnsi="宋体" w:cs="宋体"/>
                <w:color w:val="auto"/>
                <w:kern w:val="0"/>
                <w:sz w:val="24"/>
                <w:highlight w:val="none"/>
              </w:rPr>
              <w:t>专项评价</w:t>
            </w:r>
          </w:p>
          <w:p w14:paraId="46481B43">
            <w:pPr>
              <w:autoSpaceDE w:val="0"/>
              <w:autoSpaceDN w:val="0"/>
              <w:adjustRightInd w:val="0"/>
              <w:snapToGrid w:val="0"/>
              <w:jc w:val="center"/>
              <w:rPr>
                <w:rFonts w:ascii="宋体" w:hAnsi="宋体" w:cs="宋体"/>
                <w:color w:val="auto"/>
                <w:kern w:val="0"/>
                <w:szCs w:val="21"/>
                <w:highlight w:val="none"/>
              </w:rPr>
            </w:pPr>
            <w:r>
              <w:rPr>
                <w:rFonts w:hint="eastAsia" w:ascii="宋体" w:hAnsi="宋体" w:cs="宋体"/>
                <w:color w:val="auto"/>
                <w:kern w:val="0"/>
                <w:sz w:val="24"/>
                <w:highlight w:val="none"/>
              </w:rPr>
              <w:t>设置情况</w:t>
            </w:r>
          </w:p>
        </w:tc>
        <w:tc>
          <w:tcPr>
            <w:tcW w:w="7186" w:type="dxa"/>
            <w:gridSpan w:val="3"/>
            <w:vAlign w:val="center"/>
          </w:tcPr>
          <w:p w14:paraId="102EB6B1">
            <w:pPr>
              <w:autoSpaceDE w:val="0"/>
              <w:autoSpaceDN w:val="0"/>
              <w:spacing w:line="360" w:lineRule="auto"/>
              <w:ind w:firstLine="480" w:firstLineChars="200"/>
              <w:rPr>
                <w:b/>
                <w:bCs/>
                <w:color w:val="auto"/>
                <w:kern w:val="0"/>
                <w:sz w:val="24"/>
                <w:highlight w:val="none"/>
              </w:rPr>
            </w:pPr>
            <w:r>
              <w:rPr>
                <w:color w:val="auto"/>
                <w:sz w:val="24"/>
                <w:highlight w:val="none"/>
                <w:lang w:val="zh-CN" w:bidi="zh-CN"/>
              </w:rPr>
              <w:t>根据《建设项目环境影响报告表编制技术指南》（试行）表</w:t>
            </w:r>
            <w:r>
              <w:rPr>
                <w:color w:val="auto"/>
                <w:sz w:val="24"/>
                <w:highlight w:val="none"/>
                <w:lang w:bidi="zh-CN"/>
              </w:rPr>
              <w:t>1专项评价设置原则表，本项目不需要专项评价，详见表1-1。</w:t>
            </w:r>
          </w:p>
          <w:p w14:paraId="09E8E294">
            <w:pPr>
              <w:autoSpaceDE w:val="0"/>
              <w:autoSpaceDN w:val="0"/>
              <w:adjustRightInd w:val="0"/>
              <w:snapToGrid w:val="0"/>
              <w:jc w:val="center"/>
              <w:rPr>
                <w:b/>
                <w:bCs/>
                <w:color w:val="auto"/>
                <w:kern w:val="0"/>
                <w:szCs w:val="21"/>
                <w:highlight w:val="none"/>
              </w:rPr>
            </w:pPr>
            <w:r>
              <w:rPr>
                <w:b/>
                <w:bCs/>
                <w:color w:val="auto"/>
                <w:kern w:val="0"/>
                <w:szCs w:val="21"/>
                <w:highlight w:val="none"/>
              </w:rPr>
              <w:t>表1-1 专项评价设置原则表</w:t>
            </w:r>
          </w:p>
          <w:tbl>
            <w:tblPr>
              <w:tblStyle w:val="19"/>
              <w:tblW w:w="6817" w:type="dxa"/>
              <w:tblInd w:w="5"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843"/>
              <w:gridCol w:w="4218"/>
              <w:gridCol w:w="1756"/>
            </w:tblGrid>
            <w:tr w14:paraId="1931CD7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43" w:type="dxa"/>
                  <w:tcBorders>
                    <w:tl2br w:val="nil"/>
                    <w:tr2bl w:val="nil"/>
                  </w:tcBorders>
                </w:tcPr>
                <w:p w14:paraId="0BB1A80E">
                  <w:pPr>
                    <w:pStyle w:val="13"/>
                    <w:jc w:val="center"/>
                    <w:rPr>
                      <w:b/>
                      <w:bCs/>
                      <w:color w:val="auto"/>
                      <w:sz w:val="21"/>
                      <w:szCs w:val="21"/>
                      <w:highlight w:val="none"/>
                    </w:rPr>
                  </w:pPr>
                  <w:r>
                    <w:rPr>
                      <w:b/>
                      <w:bCs/>
                      <w:color w:val="auto"/>
                      <w:sz w:val="21"/>
                      <w:szCs w:val="21"/>
                      <w:highlight w:val="none"/>
                    </w:rPr>
                    <w:t>类别</w:t>
                  </w:r>
                </w:p>
              </w:tc>
              <w:tc>
                <w:tcPr>
                  <w:tcW w:w="4218" w:type="dxa"/>
                  <w:tcBorders>
                    <w:tl2br w:val="nil"/>
                    <w:tr2bl w:val="nil"/>
                  </w:tcBorders>
                </w:tcPr>
                <w:p w14:paraId="54260CF8">
                  <w:pPr>
                    <w:pStyle w:val="13"/>
                    <w:jc w:val="center"/>
                    <w:rPr>
                      <w:b/>
                      <w:bCs/>
                      <w:color w:val="auto"/>
                      <w:sz w:val="21"/>
                      <w:szCs w:val="21"/>
                      <w:highlight w:val="none"/>
                    </w:rPr>
                  </w:pPr>
                  <w:r>
                    <w:rPr>
                      <w:b/>
                      <w:bCs/>
                      <w:color w:val="auto"/>
                      <w:sz w:val="21"/>
                      <w:szCs w:val="21"/>
                      <w:highlight w:val="none"/>
                    </w:rPr>
                    <w:t>设置原则</w:t>
                  </w:r>
                </w:p>
              </w:tc>
              <w:tc>
                <w:tcPr>
                  <w:tcW w:w="1756" w:type="dxa"/>
                  <w:tcBorders>
                    <w:tl2br w:val="nil"/>
                    <w:tr2bl w:val="nil"/>
                  </w:tcBorders>
                </w:tcPr>
                <w:p w14:paraId="6DD5403F">
                  <w:pPr>
                    <w:pStyle w:val="13"/>
                    <w:jc w:val="center"/>
                    <w:rPr>
                      <w:b/>
                      <w:bCs/>
                      <w:color w:val="auto"/>
                      <w:sz w:val="21"/>
                      <w:szCs w:val="21"/>
                      <w:highlight w:val="none"/>
                    </w:rPr>
                  </w:pPr>
                  <w:r>
                    <w:rPr>
                      <w:b/>
                      <w:bCs/>
                      <w:color w:val="auto"/>
                      <w:sz w:val="21"/>
                      <w:szCs w:val="21"/>
                      <w:highlight w:val="none"/>
                    </w:rPr>
                    <w:t>本项目情况</w:t>
                  </w:r>
                </w:p>
              </w:tc>
            </w:tr>
            <w:tr w14:paraId="3B67566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43" w:type="dxa"/>
                  <w:tcBorders>
                    <w:tl2br w:val="nil"/>
                    <w:tr2bl w:val="nil"/>
                  </w:tcBorders>
                  <w:vAlign w:val="center"/>
                </w:tcPr>
                <w:p w14:paraId="4DE1F269">
                  <w:pPr>
                    <w:pStyle w:val="13"/>
                    <w:jc w:val="center"/>
                    <w:rPr>
                      <w:color w:val="auto"/>
                      <w:sz w:val="21"/>
                      <w:szCs w:val="21"/>
                      <w:highlight w:val="none"/>
                    </w:rPr>
                  </w:pPr>
                  <w:r>
                    <w:rPr>
                      <w:color w:val="auto"/>
                      <w:sz w:val="21"/>
                      <w:szCs w:val="21"/>
                      <w:highlight w:val="none"/>
                    </w:rPr>
                    <w:t>大气</w:t>
                  </w:r>
                </w:p>
              </w:tc>
              <w:tc>
                <w:tcPr>
                  <w:tcW w:w="4218" w:type="dxa"/>
                  <w:tcBorders>
                    <w:tl2br w:val="nil"/>
                    <w:tr2bl w:val="nil"/>
                  </w:tcBorders>
                </w:tcPr>
                <w:p w14:paraId="50D37545">
                  <w:pPr>
                    <w:pStyle w:val="13"/>
                    <w:jc w:val="center"/>
                    <w:rPr>
                      <w:color w:val="auto"/>
                      <w:sz w:val="21"/>
                      <w:szCs w:val="21"/>
                      <w:highlight w:val="none"/>
                    </w:rPr>
                  </w:pPr>
                  <w:r>
                    <w:rPr>
                      <w:color w:val="auto"/>
                      <w:sz w:val="21"/>
                      <w:szCs w:val="21"/>
                      <w:highlight w:val="none"/>
                    </w:rPr>
                    <w:t>排放废气含有毒有害污染物、二噁英、苯并芘、氰化物、氯气且厂界外500米范围内有环境空气保护目标的建设项目</w:t>
                  </w:r>
                </w:p>
              </w:tc>
              <w:tc>
                <w:tcPr>
                  <w:tcW w:w="1756" w:type="dxa"/>
                  <w:tcBorders>
                    <w:tl2br w:val="nil"/>
                    <w:tr2bl w:val="nil"/>
                  </w:tcBorders>
                  <w:vAlign w:val="center"/>
                </w:tcPr>
                <w:p w14:paraId="74D87972">
                  <w:pPr>
                    <w:autoSpaceDE w:val="0"/>
                    <w:autoSpaceDN w:val="0"/>
                    <w:adjustRightInd w:val="0"/>
                    <w:snapToGrid w:val="0"/>
                    <w:jc w:val="center"/>
                    <w:rPr>
                      <w:color w:val="auto"/>
                      <w:kern w:val="0"/>
                      <w:szCs w:val="21"/>
                      <w:highlight w:val="none"/>
                    </w:rPr>
                  </w:pPr>
                  <w:r>
                    <w:rPr>
                      <w:color w:val="auto"/>
                      <w:kern w:val="0"/>
                      <w:szCs w:val="21"/>
                      <w:highlight w:val="none"/>
                    </w:rPr>
                    <w:t>本项目不排放有毒有害污染物。</w:t>
                  </w:r>
                </w:p>
              </w:tc>
            </w:tr>
            <w:tr w14:paraId="4D4E4B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43" w:type="dxa"/>
                  <w:tcBorders>
                    <w:tl2br w:val="nil"/>
                    <w:tr2bl w:val="nil"/>
                  </w:tcBorders>
                  <w:vAlign w:val="center"/>
                </w:tcPr>
                <w:p w14:paraId="32850A58">
                  <w:pPr>
                    <w:pStyle w:val="13"/>
                    <w:jc w:val="center"/>
                    <w:rPr>
                      <w:color w:val="auto"/>
                      <w:sz w:val="21"/>
                      <w:szCs w:val="21"/>
                      <w:highlight w:val="none"/>
                    </w:rPr>
                  </w:pPr>
                  <w:r>
                    <w:rPr>
                      <w:color w:val="auto"/>
                      <w:sz w:val="21"/>
                      <w:szCs w:val="21"/>
                      <w:highlight w:val="none"/>
                    </w:rPr>
                    <w:t>地表水</w:t>
                  </w:r>
                </w:p>
              </w:tc>
              <w:tc>
                <w:tcPr>
                  <w:tcW w:w="4218" w:type="dxa"/>
                  <w:tcBorders>
                    <w:tl2br w:val="nil"/>
                    <w:tr2bl w:val="nil"/>
                  </w:tcBorders>
                  <w:vAlign w:val="center"/>
                </w:tcPr>
                <w:p w14:paraId="3609BBAD">
                  <w:pPr>
                    <w:autoSpaceDE w:val="0"/>
                    <w:autoSpaceDN w:val="0"/>
                    <w:adjustRightInd w:val="0"/>
                    <w:snapToGrid w:val="0"/>
                    <w:jc w:val="center"/>
                    <w:rPr>
                      <w:color w:val="auto"/>
                      <w:kern w:val="0"/>
                      <w:szCs w:val="21"/>
                      <w:highlight w:val="none"/>
                    </w:rPr>
                  </w:pPr>
                  <w:r>
                    <w:rPr>
                      <w:color w:val="auto"/>
                      <w:kern w:val="0"/>
                      <w:szCs w:val="21"/>
                      <w:highlight w:val="none"/>
                    </w:rPr>
                    <w:t>新增工业废水直排建设项目（槽罐车外送污水处理厂的除外）；新增废水直排的污水集中处理厂</w:t>
                  </w:r>
                </w:p>
              </w:tc>
              <w:tc>
                <w:tcPr>
                  <w:tcW w:w="1756" w:type="dxa"/>
                  <w:tcBorders>
                    <w:tl2br w:val="nil"/>
                    <w:tr2bl w:val="nil"/>
                  </w:tcBorders>
                  <w:vAlign w:val="center"/>
                </w:tcPr>
                <w:p w14:paraId="7AE62C2E">
                  <w:pPr>
                    <w:autoSpaceDE w:val="0"/>
                    <w:autoSpaceDN w:val="0"/>
                    <w:adjustRightInd w:val="0"/>
                    <w:snapToGrid w:val="0"/>
                    <w:jc w:val="center"/>
                    <w:rPr>
                      <w:color w:val="auto"/>
                      <w:kern w:val="0"/>
                      <w:szCs w:val="21"/>
                      <w:highlight w:val="none"/>
                    </w:rPr>
                  </w:pPr>
                  <w:r>
                    <w:rPr>
                      <w:color w:val="auto"/>
                      <w:kern w:val="0"/>
                      <w:szCs w:val="21"/>
                      <w:highlight w:val="none"/>
                    </w:rPr>
                    <w:t>本项目不新增直排工业废水。</w:t>
                  </w:r>
                </w:p>
              </w:tc>
            </w:tr>
            <w:tr w14:paraId="2359DD5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43" w:type="dxa"/>
                  <w:tcBorders>
                    <w:tl2br w:val="nil"/>
                    <w:tr2bl w:val="nil"/>
                  </w:tcBorders>
                  <w:vAlign w:val="center"/>
                </w:tcPr>
                <w:p w14:paraId="265080FA">
                  <w:pPr>
                    <w:pStyle w:val="13"/>
                    <w:jc w:val="center"/>
                    <w:rPr>
                      <w:color w:val="auto"/>
                      <w:sz w:val="21"/>
                      <w:szCs w:val="21"/>
                      <w:highlight w:val="none"/>
                    </w:rPr>
                  </w:pPr>
                  <w:r>
                    <w:rPr>
                      <w:color w:val="auto"/>
                      <w:sz w:val="21"/>
                      <w:szCs w:val="21"/>
                      <w:highlight w:val="none"/>
                    </w:rPr>
                    <w:t>环境风险</w:t>
                  </w:r>
                </w:p>
              </w:tc>
              <w:tc>
                <w:tcPr>
                  <w:tcW w:w="4218" w:type="dxa"/>
                  <w:tcBorders>
                    <w:tl2br w:val="nil"/>
                    <w:tr2bl w:val="nil"/>
                  </w:tcBorders>
                  <w:vAlign w:val="center"/>
                </w:tcPr>
                <w:p w14:paraId="4F6D978B">
                  <w:pPr>
                    <w:widowControl/>
                    <w:jc w:val="center"/>
                    <w:rPr>
                      <w:color w:val="auto"/>
                      <w:kern w:val="0"/>
                      <w:szCs w:val="21"/>
                      <w:highlight w:val="none"/>
                    </w:rPr>
                  </w:pPr>
                  <w:r>
                    <w:rPr>
                      <w:color w:val="auto"/>
                      <w:kern w:val="0"/>
                      <w:szCs w:val="21"/>
                      <w:highlight w:val="none"/>
                      <w:lang w:bidi="ar"/>
                    </w:rPr>
                    <w:t>有毒有害和易燃易爆危险物质存储量超过临界量的建设项目</w:t>
                  </w:r>
                </w:p>
              </w:tc>
              <w:tc>
                <w:tcPr>
                  <w:tcW w:w="1756" w:type="dxa"/>
                  <w:tcBorders>
                    <w:tl2br w:val="nil"/>
                    <w:tr2bl w:val="nil"/>
                  </w:tcBorders>
                  <w:vAlign w:val="center"/>
                </w:tcPr>
                <w:p w14:paraId="1C5A609B">
                  <w:pPr>
                    <w:autoSpaceDE w:val="0"/>
                    <w:autoSpaceDN w:val="0"/>
                    <w:adjustRightInd w:val="0"/>
                    <w:snapToGrid w:val="0"/>
                    <w:jc w:val="center"/>
                    <w:rPr>
                      <w:color w:val="auto"/>
                      <w:kern w:val="0"/>
                      <w:szCs w:val="21"/>
                      <w:highlight w:val="none"/>
                    </w:rPr>
                  </w:pPr>
                  <w:r>
                    <w:rPr>
                      <w:color w:val="auto"/>
                      <w:kern w:val="0"/>
                      <w:szCs w:val="21"/>
                      <w:highlight w:val="none"/>
                    </w:rPr>
                    <w:t>本项目涉及的环境风险物质小于临界量。</w:t>
                  </w:r>
                </w:p>
              </w:tc>
            </w:tr>
            <w:tr w14:paraId="35E6328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43" w:type="dxa"/>
                  <w:tcBorders>
                    <w:tl2br w:val="nil"/>
                    <w:tr2bl w:val="nil"/>
                  </w:tcBorders>
                  <w:vAlign w:val="center"/>
                </w:tcPr>
                <w:p w14:paraId="7071D9BD">
                  <w:pPr>
                    <w:pStyle w:val="13"/>
                    <w:jc w:val="center"/>
                    <w:rPr>
                      <w:color w:val="auto"/>
                      <w:sz w:val="21"/>
                      <w:szCs w:val="21"/>
                      <w:highlight w:val="none"/>
                    </w:rPr>
                  </w:pPr>
                  <w:r>
                    <w:rPr>
                      <w:color w:val="auto"/>
                      <w:sz w:val="21"/>
                      <w:szCs w:val="21"/>
                      <w:highlight w:val="none"/>
                    </w:rPr>
                    <w:t>生态</w:t>
                  </w:r>
                </w:p>
              </w:tc>
              <w:tc>
                <w:tcPr>
                  <w:tcW w:w="4218" w:type="dxa"/>
                  <w:tcBorders>
                    <w:tl2br w:val="nil"/>
                    <w:tr2bl w:val="nil"/>
                  </w:tcBorders>
                  <w:vAlign w:val="center"/>
                </w:tcPr>
                <w:p w14:paraId="2E2C8B1F">
                  <w:pPr>
                    <w:widowControl/>
                    <w:jc w:val="center"/>
                    <w:rPr>
                      <w:color w:val="auto"/>
                      <w:kern w:val="0"/>
                      <w:szCs w:val="21"/>
                      <w:highlight w:val="none"/>
                    </w:rPr>
                  </w:pPr>
                  <w:r>
                    <w:rPr>
                      <w:color w:val="auto"/>
                      <w:kern w:val="0"/>
                      <w:szCs w:val="21"/>
                      <w:highlight w:val="none"/>
                      <w:lang w:bidi="ar"/>
                    </w:rPr>
                    <w:t>取水口下游500米范围内有重要水生生物的自然产卵场、索饵场、越冬场和洄游通道的新增河道取水的污染类建设项目</w:t>
                  </w:r>
                </w:p>
              </w:tc>
              <w:tc>
                <w:tcPr>
                  <w:tcW w:w="1756" w:type="dxa"/>
                  <w:tcBorders>
                    <w:tl2br w:val="nil"/>
                    <w:tr2bl w:val="nil"/>
                  </w:tcBorders>
                  <w:vAlign w:val="center"/>
                </w:tcPr>
                <w:p w14:paraId="35872A58">
                  <w:pPr>
                    <w:autoSpaceDE w:val="0"/>
                    <w:autoSpaceDN w:val="0"/>
                    <w:adjustRightInd w:val="0"/>
                    <w:snapToGrid w:val="0"/>
                    <w:jc w:val="center"/>
                    <w:rPr>
                      <w:color w:val="auto"/>
                      <w:kern w:val="0"/>
                      <w:szCs w:val="21"/>
                      <w:highlight w:val="none"/>
                    </w:rPr>
                  </w:pPr>
                  <w:r>
                    <w:rPr>
                      <w:color w:val="auto"/>
                      <w:kern w:val="0"/>
                      <w:szCs w:val="21"/>
                      <w:highlight w:val="none"/>
                    </w:rPr>
                    <w:t>本项目不涉及。</w:t>
                  </w:r>
                </w:p>
              </w:tc>
            </w:tr>
            <w:tr w14:paraId="57B08D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843" w:type="dxa"/>
                  <w:tcBorders>
                    <w:tl2br w:val="nil"/>
                    <w:tr2bl w:val="nil"/>
                  </w:tcBorders>
                </w:tcPr>
                <w:p w14:paraId="3F1C0B66">
                  <w:pPr>
                    <w:pStyle w:val="13"/>
                    <w:jc w:val="center"/>
                    <w:rPr>
                      <w:color w:val="auto"/>
                      <w:sz w:val="21"/>
                      <w:szCs w:val="21"/>
                      <w:highlight w:val="none"/>
                    </w:rPr>
                  </w:pPr>
                  <w:r>
                    <w:rPr>
                      <w:color w:val="auto"/>
                      <w:sz w:val="21"/>
                      <w:szCs w:val="21"/>
                      <w:highlight w:val="none"/>
                    </w:rPr>
                    <w:t>海洋</w:t>
                  </w:r>
                </w:p>
              </w:tc>
              <w:tc>
                <w:tcPr>
                  <w:tcW w:w="4218" w:type="dxa"/>
                  <w:tcBorders>
                    <w:tl2br w:val="nil"/>
                    <w:tr2bl w:val="nil"/>
                  </w:tcBorders>
                  <w:vAlign w:val="center"/>
                </w:tcPr>
                <w:p w14:paraId="4B459779">
                  <w:pPr>
                    <w:widowControl/>
                    <w:jc w:val="center"/>
                    <w:rPr>
                      <w:color w:val="auto"/>
                      <w:kern w:val="0"/>
                      <w:szCs w:val="21"/>
                      <w:highlight w:val="none"/>
                    </w:rPr>
                  </w:pPr>
                  <w:r>
                    <w:rPr>
                      <w:color w:val="auto"/>
                      <w:kern w:val="0"/>
                      <w:szCs w:val="21"/>
                      <w:highlight w:val="none"/>
                      <w:lang w:bidi="ar"/>
                    </w:rPr>
                    <w:t>直接向海洋排放污染物的海洋工程建设项目</w:t>
                  </w:r>
                </w:p>
              </w:tc>
              <w:tc>
                <w:tcPr>
                  <w:tcW w:w="1756" w:type="dxa"/>
                  <w:tcBorders>
                    <w:tl2br w:val="nil"/>
                    <w:tr2bl w:val="nil"/>
                  </w:tcBorders>
                  <w:vAlign w:val="center"/>
                </w:tcPr>
                <w:p w14:paraId="75A6A615">
                  <w:pPr>
                    <w:widowControl/>
                    <w:jc w:val="center"/>
                    <w:rPr>
                      <w:color w:val="auto"/>
                      <w:kern w:val="0"/>
                      <w:szCs w:val="21"/>
                      <w:highlight w:val="none"/>
                    </w:rPr>
                  </w:pPr>
                  <w:r>
                    <w:rPr>
                      <w:color w:val="auto"/>
                      <w:kern w:val="0"/>
                      <w:szCs w:val="21"/>
                      <w:highlight w:val="none"/>
                      <w:lang w:bidi="ar"/>
                    </w:rPr>
                    <w:t>本项目不涉及。</w:t>
                  </w:r>
                </w:p>
              </w:tc>
            </w:tr>
            <w:tr w14:paraId="05CF3A2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c>
                <w:tcPr>
                  <w:tcW w:w="6817" w:type="dxa"/>
                  <w:gridSpan w:val="3"/>
                  <w:tcBorders>
                    <w:tl2br w:val="nil"/>
                    <w:tr2bl w:val="nil"/>
                  </w:tcBorders>
                </w:tcPr>
                <w:p w14:paraId="05AE2AEA">
                  <w:pPr>
                    <w:pStyle w:val="13"/>
                    <w:jc w:val="center"/>
                    <w:rPr>
                      <w:color w:val="auto"/>
                      <w:sz w:val="21"/>
                      <w:szCs w:val="21"/>
                      <w:highlight w:val="none"/>
                    </w:rPr>
                  </w:pPr>
                  <w:r>
                    <w:rPr>
                      <w:color w:val="auto"/>
                      <w:sz w:val="21"/>
                      <w:szCs w:val="21"/>
                      <w:highlight w:val="none"/>
                    </w:rPr>
                    <w:t>注：1.废气中有毒有害污染物指纳入《有毒有害大气污染物名录》的污染物（不包括无排放标准的污染物）。2.环境空气保护目标指自然保护区、风景名胜区、居住区、文化区和农村地区中人群较集中的区域。3.临界量及其计算方法可参考《建设项目环境风险评价技术导则》（HJ 169）附录B、附录C。</w:t>
                  </w:r>
                </w:p>
              </w:tc>
            </w:tr>
          </w:tbl>
          <w:p w14:paraId="1F87F4AD">
            <w:pPr>
              <w:autoSpaceDE w:val="0"/>
              <w:autoSpaceDN w:val="0"/>
              <w:adjustRightInd w:val="0"/>
              <w:snapToGrid w:val="0"/>
              <w:rPr>
                <w:rFonts w:ascii="宋体" w:hAnsi="宋体" w:cs="宋体"/>
                <w:color w:val="auto"/>
                <w:kern w:val="0"/>
                <w:szCs w:val="21"/>
                <w:highlight w:val="none"/>
              </w:rPr>
            </w:pPr>
          </w:p>
        </w:tc>
      </w:tr>
      <w:tr w14:paraId="1AB155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85" w:hRule="atLeast"/>
          <w:jc w:val="center"/>
        </w:trPr>
        <w:tc>
          <w:tcPr>
            <w:tcW w:w="1684" w:type="dxa"/>
            <w:gridSpan w:val="2"/>
            <w:vAlign w:val="center"/>
          </w:tcPr>
          <w:p w14:paraId="4B311EC4">
            <w:pPr>
              <w:autoSpaceDE w:val="0"/>
              <w:autoSpaceDN w:val="0"/>
              <w:adjustRightInd w:val="0"/>
              <w:snapToGrid w:val="0"/>
              <w:jc w:val="center"/>
              <w:rPr>
                <w:rFonts w:ascii="宋体" w:hAnsi="宋体" w:cs="宋体"/>
                <w:color w:val="auto"/>
                <w:kern w:val="0"/>
                <w:sz w:val="24"/>
                <w:highlight w:val="none"/>
              </w:rPr>
            </w:pPr>
            <w:r>
              <w:rPr>
                <w:rFonts w:hint="eastAsia" w:ascii="宋体" w:hAnsi="宋体" w:cs="宋体"/>
                <w:color w:val="auto"/>
                <w:sz w:val="24"/>
                <w:highlight w:val="none"/>
              </w:rPr>
              <w:t>规划情况</w:t>
            </w:r>
          </w:p>
        </w:tc>
        <w:tc>
          <w:tcPr>
            <w:tcW w:w="7186" w:type="dxa"/>
            <w:gridSpan w:val="3"/>
            <w:vAlign w:val="center"/>
          </w:tcPr>
          <w:p w14:paraId="07C734B6">
            <w:pPr>
              <w:pStyle w:val="6"/>
              <w:keepNext w:val="0"/>
              <w:keepLines w:val="0"/>
              <w:pageBreakBefore w:val="0"/>
              <w:widowControl w:val="0"/>
              <w:tabs>
                <w:tab w:val="left" w:pos="5460"/>
              </w:tabs>
              <w:kinsoku/>
              <w:wordWrap/>
              <w:overflowPunct/>
              <w:topLinePunct w:val="0"/>
              <w:autoSpaceDE/>
              <w:autoSpaceDN/>
              <w:bidi w:val="0"/>
              <w:adjustRightInd/>
              <w:snapToGrid/>
              <w:spacing w:line="240" w:lineRule="auto"/>
              <w:ind w:firstLine="0" w:firstLineChars="0"/>
              <w:jc w:val="center"/>
              <w:textAlignment w:val="auto"/>
              <w:rPr>
                <w:color w:val="auto"/>
                <w:highlight w:val="none"/>
              </w:rPr>
            </w:pPr>
            <w:r>
              <w:rPr>
                <w:rFonts w:hint="eastAsia"/>
                <w:color w:val="auto"/>
                <w:highlight w:val="none"/>
              </w:rPr>
              <w:t>无</w:t>
            </w:r>
          </w:p>
        </w:tc>
      </w:tr>
      <w:tr w14:paraId="0D68174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98" w:hRule="atLeast"/>
          <w:jc w:val="center"/>
        </w:trPr>
        <w:tc>
          <w:tcPr>
            <w:tcW w:w="1684" w:type="dxa"/>
            <w:gridSpan w:val="2"/>
            <w:vAlign w:val="center"/>
          </w:tcPr>
          <w:p w14:paraId="540F66F5">
            <w:pPr>
              <w:adjustRightInd w:val="0"/>
              <w:snapToGrid w:val="0"/>
              <w:jc w:val="center"/>
              <w:rPr>
                <w:rFonts w:ascii="宋体" w:hAnsi="宋体" w:cs="宋体"/>
                <w:color w:val="auto"/>
                <w:sz w:val="24"/>
                <w:highlight w:val="none"/>
              </w:rPr>
            </w:pPr>
            <w:r>
              <w:rPr>
                <w:rFonts w:hint="eastAsia" w:ascii="宋体" w:hAnsi="宋体" w:cs="宋体"/>
                <w:color w:val="auto"/>
                <w:sz w:val="24"/>
                <w:highlight w:val="none"/>
              </w:rPr>
              <w:t>规划环境影响</w:t>
            </w:r>
          </w:p>
          <w:p w14:paraId="78816A0F">
            <w:pPr>
              <w:adjustRightInd w:val="0"/>
              <w:snapToGrid w:val="0"/>
              <w:jc w:val="center"/>
              <w:rPr>
                <w:rFonts w:ascii="宋体" w:hAnsi="宋体" w:cs="宋体"/>
                <w:color w:val="auto"/>
                <w:kern w:val="0"/>
                <w:sz w:val="24"/>
                <w:highlight w:val="none"/>
              </w:rPr>
            </w:pPr>
            <w:r>
              <w:rPr>
                <w:rFonts w:hint="eastAsia" w:ascii="宋体" w:hAnsi="宋体" w:cs="宋体"/>
                <w:color w:val="auto"/>
                <w:sz w:val="24"/>
                <w:highlight w:val="none"/>
              </w:rPr>
              <w:t>评价情况</w:t>
            </w:r>
          </w:p>
        </w:tc>
        <w:tc>
          <w:tcPr>
            <w:tcW w:w="7186" w:type="dxa"/>
            <w:gridSpan w:val="3"/>
            <w:vAlign w:val="center"/>
          </w:tcPr>
          <w:p w14:paraId="6787BFFC">
            <w:pPr>
              <w:pStyle w:val="6"/>
              <w:keepNext w:val="0"/>
              <w:keepLines w:val="0"/>
              <w:pageBreakBefore w:val="0"/>
              <w:widowControl w:val="0"/>
              <w:tabs>
                <w:tab w:val="left" w:pos="5460"/>
              </w:tabs>
              <w:kinsoku/>
              <w:wordWrap/>
              <w:overflowPunct/>
              <w:topLinePunct w:val="0"/>
              <w:autoSpaceDE/>
              <w:autoSpaceDN/>
              <w:bidi w:val="0"/>
              <w:adjustRightInd/>
              <w:snapToGrid/>
              <w:spacing w:line="240" w:lineRule="auto"/>
              <w:ind w:firstLine="0" w:firstLineChars="0"/>
              <w:jc w:val="center"/>
              <w:textAlignment w:val="auto"/>
              <w:rPr>
                <w:color w:val="auto"/>
                <w:highlight w:val="none"/>
              </w:rPr>
            </w:pPr>
            <w:r>
              <w:rPr>
                <w:rFonts w:hint="eastAsia"/>
                <w:color w:val="auto"/>
                <w:highlight w:val="none"/>
              </w:rPr>
              <w:t>无</w:t>
            </w:r>
          </w:p>
        </w:tc>
      </w:tr>
      <w:tr w14:paraId="0BAAE06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85" w:hRule="atLeast"/>
          <w:jc w:val="center"/>
        </w:trPr>
        <w:tc>
          <w:tcPr>
            <w:tcW w:w="1684" w:type="dxa"/>
            <w:gridSpan w:val="2"/>
            <w:vAlign w:val="center"/>
          </w:tcPr>
          <w:p w14:paraId="65AFD8A5">
            <w:pPr>
              <w:autoSpaceDE w:val="0"/>
              <w:autoSpaceDN w:val="0"/>
              <w:adjustRightInd w:val="0"/>
              <w:snapToGrid w:val="0"/>
              <w:jc w:val="center"/>
              <w:rPr>
                <w:rFonts w:ascii="宋体" w:hAnsi="宋体" w:cs="宋体"/>
                <w:color w:val="auto"/>
                <w:kern w:val="0"/>
                <w:sz w:val="24"/>
                <w:highlight w:val="none"/>
              </w:rPr>
            </w:pPr>
            <w:r>
              <w:rPr>
                <w:rFonts w:hint="eastAsia" w:ascii="宋体" w:hAnsi="宋体" w:cs="宋体"/>
                <w:color w:val="auto"/>
                <w:kern w:val="0"/>
                <w:sz w:val="24"/>
                <w:highlight w:val="none"/>
              </w:rPr>
              <w:t>规划及规划环境影响评价符合性分析</w:t>
            </w:r>
          </w:p>
        </w:tc>
        <w:tc>
          <w:tcPr>
            <w:tcW w:w="7186" w:type="dxa"/>
            <w:gridSpan w:val="3"/>
            <w:vAlign w:val="center"/>
          </w:tcPr>
          <w:p w14:paraId="4F988277">
            <w:pPr>
              <w:keepNext w:val="0"/>
              <w:keepLines w:val="0"/>
              <w:pageBreakBefore w:val="0"/>
              <w:widowControl w:val="0"/>
              <w:kinsoku/>
              <w:wordWrap/>
              <w:overflowPunct/>
              <w:topLinePunct w:val="0"/>
              <w:autoSpaceDE w:val="0"/>
              <w:autoSpaceDN w:val="0"/>
              <w:bidi w:val="0"/>
              <w:adjustRightInd w:val="0"/>
              <w:snapToGrid w:val="0"/>
              <w:spacing w:line="240" w:lineRule="auto"/>
              <w:jc w:val="center"/>
              <w:textAlignment w:val="auto"/>
              <w:rPr>
                <w:color w:val="auto"/>
                <w:kern w:val="0"/>
                <w:szCs w:val="21"/>
                <w:highlight w:val="none"/>
              </w:rPr>
            </w:pPr>
            <w:r>
              <w:rPr>
                <w:rFonts w:hint="eastAsia" w:ascii="Times New Roman" w:hAnsi="Times New Roman" w:eastAsia="宋体" w:cs="Times New Roman"/>
                <w:color w:val="auto"/>
                <w:kern w:val="0"/>
                <w:sz w:val="24"/>
                <w:szCs w:val="20"/>
                <w:highlight w:val="none"/>
                <w:lang w:val="en-US" w:eastAsia="zh-CN" w:bidi="ar-SA"/>
              </w:rPr>
              <w:t>无</w:t>
            </w:r>
          </w:p>
        </w:tc>
      </w:tr>
      <w:tr w14:paraId="5002B35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2" w:type="dxa"/>
            <w:vAlign w:val="center"/>
          </w:tcPr>
          <w:p w14:paraId="7D33752B">
            <w:pPr>
              <w:autoSpaceDE w:val="0"/>
              <w:autoSpaceDN w:val="0"/>
              <w:adjustRightInd w:val="0"/>
              <w:snapToGrid w:val="0"/>
              <w:jc w:val="center"/>
              <w:rPr>
                <w:rFonts w:ascii="宋体" w:hAnsi="宋体" w:cs="宋体"/>
                <w:color w:val="auto"/>
                <w:kern w:val="0"/>
                <w:sz w:val="24"/>
                <w:highlight w:val="none"/>
              </w:rPr>
            </w:pPr>
            <w:r>
              <w:rPr>
                <w:rFonts w:hint="eastAsia" w:ascii="宋体" w:hAnsi="宋体" w:cs="宋体"/>
                <w:color w:val="auto"/>
                <w:kern w:val="0"/>
                <w:sz w:val="24"/>
                <w:highlight w:val="none"/>
              </w:rPr>
              <w:t>其他符合性分析</w:t>
            </w:r>
          </w:p>
        </w:tc>
        <w:tc>
          <w:tcPr>
            <w:tcW w:w="8028" w:type="dxa"/>
            <w:gridSpan w:val="4"/>
            <w:vAlign w:val="center"/>
          </w:tcPr>
          <w:p w14:paraId="3BE764BC">
            <w:pPr>
              <w:autoSpaceDE w:val="0"/>
              <w:autoSpaceDN w:val="0"/>
              <w:adjustRightInd w:val="0"/>
              <w:snapToGrid w:val="0"/>
              <w:spacing w:line="360" w:lineRule="auto"/>
              <w:rPr>
                <w:b/>
                <w:bCs/>
                <w:color w:val="auto"/>
                <w:sz w:val="24"/>
                <w:highlight w:val="none"/>
              </w:rPr>
            </w:pPr>
            <w:r>
              <w:rPr>
                <w:b/>
                <w:bCs/>
                <w:color w:val="auto"/>
                <w:sz w:val="24"/>
                <w:highlight w:val="none"/>
              </w:rPr>
              <w:t>一、产业政策符合性</w:t>
            </w:r>
          </w:p>
          <w:p w14:paraId="545D56D4">
            <w:pPr>
              <w:pStyle w:val="6"/>
              <w:tabs>
                <w:tab w:val="left" w:pos="5460"/>
              </w:tabs>
              <w:spacing w:line="360" w:lineRule="auto"/>
              <w:ind w:firstLine="480" w:firstLineChars="200"/>
              <w:rPr>
                <w:color w:val="auto"/>
                <w:highlight w:val="none"/>
              </w:rPr>
            </w:pPr>
            <w:r>
              <w:rPr>
                <w:rFonts w:hint="eastAsia"/>
                <w:color w:val="auto"/>
                <w:highlight w:val="none"/>
              </w:rPr>
              <w:t>本项目</w:t>
            </w:r>
            <w:r>
              <w:rPr>
                <w:rFonts w:hint="eastAsia"/>
                <w:color w:val="auto"/>
                <w:highlight w:val="none"/>
                <w:lang w:val="en-US" w:eastAsia="zh-CN"/>
              </w:rPr>
              <w:t>以花岗岩为原料，总计加工碎石26万吨，</w:t>
            </w:r>
            <w:r>
              <w:rPr>
                <w:rFonts w:hint="eastAsia"/>
                <w:color w:val="auto"/>
                <w:highlight w:val="none"/>
              </w:rPr>
              <w:t>年产建筑用</w:t>
            </w:r>
            <w:r>
              <w:rPr>
                <w:rFonts w:hint="eastAsia"/>
                <w:color w:val="auto"/>
                <w:highlight w:val="none"/>
                <w:lang w:val="en-US" w:eastAsia="zh-CN"/>
              </w:rPr>
              <w:t>花岗岩碎石16</w:t>
            </w:r>
            <w:r>
              <w:rPr>
                <w:rFonts w:hint="eastAsia"/>
                <w:color w:val="auto"/>
                <w:highlight w:val="none"/>
              </w:rPr>
              <w:t>万吨、</w:t>
            </w:r>
            <w:r>
              <w:rPr>
                <w:rFonts w:hint="eastAsia"/>
                <w:color w:val="auto"/>
                <w:highlight w:val="none"/>
                <w:lang w:val="en-US" w:eastAsia="zh-CN"/>
              </w:rPr>
              <w:t>花岗岩石粉10</w:t>
            </w:r>
            <w:r>
              <w:rPr>
                <w:rFonts w:hint="eastAsia"/>
                <w:color w:val="auto"/>
                <w:szCs w:val="21"/>
                <w:highlight w:val="none"/>
              </w:rPr>
              <w:t>万吨，</w:t>
            </w:r>
            <w:r>
              <w:rPr>
                <w:rFonts w:hint="eastAsia"/>
                <w:color w:val="auto"/>
                <w:highlight w:val="none"/>
              </w:rPr>
              <w:t>属于“C3039 其他建筑材料制造</w:t>
            </w:r>
            <w:r>
              <w:rPr>
                <w:rFonts w:hint="eastAsia"/>
                <w:color w:val="auto"/>
                <w:szCs w:val="21"/>
                <w:highlight w:val="none"/>
              </w:rPr>
              <w:t>”项目</w:t>
            </w:r>
            <w:r>
              <w:rPr>
                <w:rFonts w:hint="eastAsia"/>
                <w:color w:val="auto"/>
                <w:highlight w:val="none"/>
              </w:rPr>
              <w:t>，根据</w:t>
            </w:r>
            <w:r>
              <w:rPr>
                <w:color w:val="auto"/>
                <w:highlight w:val="none"/>
              </w:rPr>
              <w:t>国家发改委《产业结构调整指导目录（20</w:t>
            </w:r>
            <w:r>
              <w:rPr>
                <w:rFonts w:hint="eastAsia"/>
                <w:color w:val="auto"/>
                <w:highlight w:val="none"/>
              </w:rPr>
              <w:t>24</w:t>
            </w:r>
            <w:r>
              <w:rPr>
                <w:color w:val="auto"/>
                <w:highlight w:val="none"/>
              </w:rPr>
              <w:t>年本）》</w:t>
            </w:r>
            <w:r>
              <w:rPr>
                <w:rFonts w:hint="eastAsia"/>
                <w:color w:val="auto"/>
                <w:highlight w:val="none"/>
              </w:rPr>
              <w:t>，</w:t>
            </w:r>
            <w:r>
              <w:rPr>
                <w:rFonts w:hint="eastAsia"/>
                <w:color w:val="auto"/>
                <w:szCs w:val="32"/>
                <w:highlight w:val="none"/>
              </w:rPr>
              <w:t>不属于限制类、淘汰类项目，为产业政策允许发展的行业，项目符合国家产业政策要求。项目所使用的生产设备为市售常用设备，生产工艺成熟稳定，均不属于国家淘汰、限制使用类别。因此，本项目的建设符合国家相关的产业政策。</w:t>
            </w:r>
          </w:p>
          <w:p w14:paraId="510209EB">
            <w:pPr>
              <w:autoSpaceDE w:val="0"/>
              <w:autoSpaceDN w:val="0"/>
              <w:adjustRightInd w:val="0"/>
              <w:snapToGrid w:val="0"/>
              <w:spacing w:line="360" w:lineRule="auto"/>
              <w:rPr>
                <w:b/>
                <w:bCs/>
                <w:color w:val="FF0000"/>
                <w:sz w:val="24"/>
                <w:highlight w:val="none"/>
              </w:rPr>
            </w:pPr>
            <w:r>
              <w:rPr>
                <w:b/>
                <w:bCs/>
                <w:color w:val="FF0000"/>
                <w:sz w:val="24"/>
                <w:highlight w:val="none"/>
              </w:rPr>
              <w:t>二、选址合理性</w:t>
            </w:r>
          </w:p>
          <w:p w14:paraId="55C81994">
            <w:pPr>
              <w:widowControl/>
              <w:spacing w:line="360" w:lineRule="auto"/>
              <w:ind w:firstLine="480" w:firstLineChars="200"/>
              <w:jc w:val="both"/>
              <w:rPr>
                <w:rFonts w:hint="default" w:eastAsia="宋体" w:cs="Times New Roman"/>
                <w:color w:val="FF0000"/>
                <w:sz w:val="24"/>
                <w:szCs w:val="24"/>
                <w:highlight w:val="none"/>
                <w:lang w:val="en-US" w:eastAsia="zh-CN"/>
              </w:rPr>
            </w:pPr>
            <w:r>
              <w:rPr>
                <w:rFonts w:hint="eastAsia"/>
                <w:color w:val="FF0000"/>
                <w:sz w:val="24"/>
                <w:highlight w:val="none"/>
              </w:rPr>
              <w:t>本</w:t>
            </w:r>
            <w:r>
              <w:rPr>
                <w:color w:val="FF0000"/>
                <w:sz w:val="24"/>
                <w:highlight w:val="none"/>
              </w:rPr>
              <w:t>项目</w:t>
            </w:r>
            <w:r>
              <w:rPr>
                <w:rFonts w:hint="eastAsia"/>
                <w:color w:val="FF0000"/>
                <w:sz w:val="24"/>
                <w:highlight w:val="none"/>
              </w:rPr>
              <w:t>位</w:t>
            </w:r>
            <w:r>
              <w:rPr>
                <w:color w:val="FF0000"/>
                <w:sz w:val="24"/>
                <w:highlight w:val="none"/>
              </w:rPr>
              <w:t>于辽宁省抚顺市</w:t>
            </w:r>
            <w:r>
              <w:rPr>
                <w:rFonts w:hint="eastAsia"/>
                <w:color w:val="FF0000"/>
                <w:sz w:val="24"/>
                <w:highlight w:val="none"/>
              </w:rPr>
              <w:t>东洲区哈达镇</w:t>
            </w:r>
            <w:r>
              <w:rPr>
                <w:color w:val="FF0000"/>
                <w:sz w:val="24"/>
                <w:highlight w:val="none"/>
              </w:rPr>
              <w:t>小寨子村</w:t>
            </w:r>
            <w:r>
              <w:rPr>
                <w:rFonts w:hint="eastAsia"/>
                <w:color w:val="FF0000"/>
                <w:sz w:val="24"/>
                <w:highlight w:val="none"/>
              </w:rPr>
              <w:t>，哈达镇于2010年9月，由抚顺县划归东洲区。</w:t>
            </w:r>
            <w:r>
              <w:rPr>
                <w:rFonts w:hint="eastAsia"/>
                <w:color w:val="FF0000"/>
                <w:sz w:val="24"/>
                <w:highlight w:val="none"/>
                <w:lang w:val="en-US" w:eastAsia="zh-CN"/>
              </w:rPr>
              <w:t>本项目企业</w:t>
            </w:r>
            <w:r>
              <w:rPr>
                <w:rFonts w:hint="eastAsia"/>
                <w:color w:val="FF0000"/>
                <w:sz w:val="24"/>
                <w:highlight w:val="none"/>
              </w:rPr>
              <w:t>抚顺禹烽建筑石材有限公司</w:t>
            </w:r>
            <w:r>
              <w:rPr>
                <w:rFonts w:hint="eastAsia"/>
                <w:color w:val="FF0000"/>
                <w:sz w:val="24"/>
                <w:highlight w:val="none"/>
                <w:lang w:val="en-US" w:eastAsia="zh-CN"/>
              </w:rPr>
              <w:t>租赁</w:t>
            </w:r>
            <w:r>
              <w:rPr>
                <w:rFonts w:ascii="Times New Roman" w:hAnsi="Times New Roman" w:eastAsia="宋体" w:cs="Times New Roman"/>
                <w:color w:val="FF0000"/>
                <w:sz w:val="24"/>
                <w:szCs w:val="24"/>
                <w:highlight w:val="none"/>
              </w:rPr>
              <w:t>抚顺东方镁业有限责任公司</w:t>
            </w:r>
            <w:r>
              <w:rPr>
                <w:rFonts w:hint="eastAsia" w:ascii="Times New Roman" w:hAnsi="Times New Roman" w:eastAsia="宋体" w:cs="Times New Roman"/>
                <w:color w:val="FF0000"/>
                <w:sz w:val="24"/>
                <w:szCs w:val="24"/>
                <w:highlight w:val="none"/>
                <w:lang w:val="en-US" w:eastAsia="zh-CN"/>
              </w:rPr>
              <w:t>采区土地建设本项目。</w:t>
            </w:r>
            <w:r>
              <w:rPr>
                <w:rFonts w:ascii="Times New Roman" w:hAnsi="Times New Roman" w:eastAsia="宋体" w:cs="Times New Roman"/>
                <w:color w:val="FF0000"/>
                <w:sz w:val="24"/>
                <w:szCs w:val="24"/>
                <w:highlight w:val="none"/>
              </w:rPr>
              <w:t>抚顺东方镁业有限责任公司</w:t>
            </w:r>
            <w:r>
              <w:rPr>
                <w:rFonts w:hint="eastAsia" w:ascii="Times New Roman" w:hAnsi="Times New Roman" w:eastAsia="宋体" w:cs="Times New Roman"/>
                <w:color w:val="FF0000"/>
                <w:sz w:val="24"/>
                <w:szCs w:val="24"/>
                <w:highlight w:val="none"/>
                <w:lang w:val="en-US" w:eastAsia="zh-CN"/>
              </w:rPr>
              <w:t>采区为</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抚顺鑫兴镁业有限公司</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菱镁矿</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项目</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中的四采区。</w:t>
            </w:r>
            <w:r>
              <w:rPr>
                <w:rFonts w:hint="eastAsia"/>
                <w:color w:val="FF0000"/>
                <w:sz w:val="24"/>
                <w:highlight w:val="none"/>
                <w:lang w:val="en-US" w:eastAsia="zh-CN"/>
              </w:rPr>
              <w:t>根据《</w:t>
            </w:r>
            <w:r>
              <w:rPr>
                <w:rFonts w:hint="eastAsia" w:ascii="Times New Roman" w:hAnsi="Times New Roman" w:eastAsia="宋体" w:cs="Times New Roman"/>
                <w:color w:val="FF0000"/>
                <w:sz w:val="24"/>
                <w:szCs w:val="24"/>
                <w:highlight w:val="none"/>
                <w:lang w:val="en-US" w:eastAsia="zh-CN"/>
              </w:rPr>
              <w:t>抚顺鑫兴镁业有限公司</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菱镁矿</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项目</w:t>
            </w:r>
            <w:r>
              <w:rPr>
                <w:rFonts w:hint="eastAsia" w:cs="Times New Roman"/>
                <w:color w:val="FF0000"/>
                <w:sz w:val="24"/>
                <w:szCs w:val="24"/>
                <w:highlight w:val="none"/>
                <w:lang w:val="en-US" w:eastAsia="zh-CN"/>
              </w:rPr>
              <w:t>环境影响报告书》中的开采计划表，本项目所在的四采区于第13年开始开采，目前属于闲置状态，因此</w:t>
            </w:r>
            <w:r>
              <w:rPr>
                <w:rFonts w:hint="eastAsia"/>
                <w:color w:val="FF0000"/>
                <w:sz w:val="24"/>
                <w:highlight w:val="none"/>
              </w:rPr>
              <w:t>抚顺禹烽建筑石材有限公司</w:t>
            </w:r>
            <w:r>
              <w:rPr>
                <w:rFonts w:hint="eastAsia"/>
                <w:color w:val="FF0000"/>
                <w:sz w:val="24"/>
                <w:highlight w:val="none"/>
                <w:lang w:val="en-US" w:eastAsia="zh-CN"/>
              </w:rPr>
              <w:t>租赁该部分闲置土地建设本项目。待四采区开始进行开采活动时，本项目将拆除撤离。</w:t>
            </w:r>
          </w:p>
          <w:p w14:paraId="6A13C850">
            <w:pPr>
              <w:widowControl/>
              <w:spacing w:line="360" w:lineRule="auto"/>
              <w:ind w:firstLine="480" w:firstLineChars="200"/>
              <w:jc w:val="both"/>
              <w:rPr>
                <w:rFonts w:hint="default" w:ascii="Times New Roman" w:hAnsi="Times New Roman" w:eastAsia="宋体" w:cs="Times New Roman"/>
                <w:color w:val="FF0000"/>
                <w:sz w:val="24"/>
                <w:szCs w:val="24"/>
                <w:highlight w:val="none"/>
                <w:lang w:val="en-US" w:eastAsia="zh-CN"/>
              </w:rPr>
            </w:pPr>
            <w:r>
              <w:rPr>
                <w:rFonts w:ascii="Times New Roman" w:hAnsi="Times New Roman" w:eastAsia="宋体" w:cs="Times New Roman"/>
                <w:color w:val="FF0000"/>
                <w:sz w:val="24"/>
                <w:szCs w:val="24"/>
                <w:highlight w:val="none"/>
              </w:rPr>
              <w:t>抚顺东方镁业有限责任公司</w:t>
            </w:r>
            <w:r>
              <w:rPr>
                <w:rFonts w:hint="eastAsia" w:cs="Times New Roman"/>
                <w:color w:val="FF0000"/>
                <w:sz w:val="24"/>
                <w:szCs w:val="24"/>
                <w:highlight w:val="none"/>
                <w:lang w:val="en-US" w:eastAsia="zh-CN"/>
              </w:rPr>
              <w:t>土地证明见附件2，土地性质为工业用地，本项目企业</w:t>
            </w:r>
            <w:r>
              <w:rPr>
                <w:rFonts w:hint="eastAsia"/>
                <w:color w:val="FF0000"/>
                <w:sz w:val="24"/>
                <w:highlight w:val="none"/>
              </w:rPr>
              <w:t>抚顺禹烽建筑石材有限公司</w:t>
            </w:r>
            <w:r>
              <w:rPr>
                <w:rFonts w:hint="eastAsia"/>
                <w:color w:val="FF0000"/>
                <w:sz w:val="24"/>
                <w:highlight w:val="none"/>
                <w:lang w:val="en-US" w:eastAsia="zh-CN"/>
              </w:rPr>
              <w:t>与</w:t>
            </w:r>
            <w:r>
              <w:rPr>
                <w:rFonts w:ascii="Times New Roman" w:hAnsi="Times New Roman" w:eastAsia="宋体" w:cs="Times New Roman"/>
                <w:color w:val="FF0000"/>
                <w:sz w:val="24"/>
                <w:szCs w:val="24"/>
                <w:highlight w:val="none"/>
              </w:rPr>
              <w:t>抚顺东方镁业有限责任公司</w:t>
            </w:r>
            <w:r>
              <w:rPr>
                <w:rFonts w:hint="eastAsia" w:cs="Times New Roman"/>
                <w:color w:val="FF0000"/>
                <w:sz w:val="24"/>
                <w:szCs w:val="24"/>
                <w:highlight w:val="none"/>
                <w:lang w:val="en-US" w:eastAsia="zh-CN"/>
              </w:rPr>
              <w:t>签订的租赁合同见附件2。</w:t>
            </w:r>
          </w:p>
          <w:p w14:paraId="11A4A1F9">
            <w:pPr>
              <w:autoSpaceDE w:val="0"/>
              <w:autoSpaceDN w:val="0"/>
              <w:adjustRightInd w:val="0"/>
              <w:snapToGrid w:val="0"/>
              <w:spacing w:line="360" w:lineRule="auto"/>
              <w:ind w:firstLine="480" w:firstLineChars="200"/>
              <w:rPr>
                <w:color w:val="FF0000"/>
                <w:sz w:val="24"/>
                <w:highlight w:val="none"/>
              </w:rPr>
            </w:pPr>
            <w:r>
              <w:rPr>
                <w:rFonts w:hint="eastAsia"/>
                <w:color w:val="FF0000"/>
                <w:sz w:val="24"/>
                <w:highlight w:val="none"/>
                <w:lang w:val="en-US" w:eastAsia="zh-CN"/>
              </w:rPr>
              <w:t>本</w:t>
            </w:r>
            <w:r>
              <w:rPr>
                <w:rFonts w:hint="eastAsia"/>
                <w:color w:val="FF0000"/>
                <w:sz w:val="24"/>
                <w:highlight w:val="none"/>
              </w:rPr>
              <w:t>项目</w:t>
            </w:r>
            <w:r>
              <w:rPr>
                <w:rFonts w:hint="eastAsia"/>
                <w:color w:val="FF0000"/>
                <w:sz w:val="24"/>
                <w:highlight w:val="none"/>
                <w:lang w:val="en-US" w:eastAsia="zh-CN"/>
              </w:rPr>
              <w:t>东、西两侧</w:t>
            </w:r>
            <w:r>
              <w:rPr>
                <w:rFonts w:hint="eastAsia"/>
                <w:color w:val="FF0000"/>
                <w:sz w:val="24"/>
                <w:highlight w:val="none"/>
              </w:rPr>
              <w:t>为</w:t>
            </w:r>
            <w:r>
              <w:rPr>
                <w:rFonts w:hint="eastAsia" w:ascii="Times New Roman" w:hAnsi="Times New Roman" w:eastAsia="宋体" w:cs="Times New Roman"/>
                <w:color w:val="FF0000"/>
                <w:sz w:val="24"/>
                <w:szCs w:val="24"/>
                <w:highlight w:val="none"/>
                <w:lang w:val="en-US" w:eastAsia="zh-CN"/>
              </w:rPr>
              <w:t>抚顺鑫兴镁业有限公司</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菱镁矿</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项目</w:t>
            </w:r>
            <w:r>
              <w:rPr>
                <w:rFonts w:hint="eastAsia" w:cs="Times New Roman"/>
                <w:color w:val="FF0000"/>
                <w:sz w:val="24"/>
                <w:szCs w:val="24"/>
                <w:highlight w:val="none"/>
                <w:lang w:val="en-US" w:eastAsia="zh-CN"/>
              </w:rPr>
              <w:t>四采区</w:t>
            </w:r>
            <w:r>
              <w:rPr>
                <w:rFonts w:hint="eastAsia"/>
                <w:color w:val="FF0000"/>
                <w:sz w:val="24"/>
                <w:highlight w:val="none"/>
                <w:lang w:val="en-US" w:eastAsia="zh-CN"/>
              </w:rPr>
              <w:t>闲置场地，南</w:t>
            </w:r>
            <w:r>
              <w:rPr>
                <w:rFonts w:hint="eastAsia"/>
                <w:color w:val="FF0000"/>
                <w:sz w:val="24"/>
                <w:highlight w:val="none"/>
                <w:lang w:eastAsia="zh-CN"/>
              </w:rPr>
              <w:t>、</w:t>
            </w:r>
            <w:r>
              <w:rPr>
                <w:rFonts w:hint="eastAsia"/>
                <w:color w:val="FF0000"/>
                <w:sz w:val="24"/>
                <w:highlight w:val="none"/>
                <w:lang w:val="en-US" w:eastAsia="zh-CN"/>
              </w:rPr>
              <w:t>北两</w:t>
            </w:r>
            <w:r>
              <w:rPr>
                <w:rFonts w:hint="eastAsia"/>
                <w:color w:val="FF0000"/>
                <w:sz w:val="24"/>
                <w:highlight w:val="none"/>
              </w:rPr>
              <w:t>侧均为</w:t>
            </w:r>
            <w:r>
              <w:rPr>
                <w:rFonts w:hint="eastAsia"/>
                <w:color w:val="FF0000"/>
                <w:sz w:val="24"/>
                <w:highlight w:val="none"/>
                <w:lang w:val="en-US" w:eastAsia="zh-CN"/>
              </w:rPr>
              <w:t>哈达林场商业林</w:t>
            </w:r>
            <w:r>
              <w:rPr>
                <w:color w:val="FF0000"/>
                <w:sz w:val="24"/>
                <w:highlight w:val="none"/>
              </w:rPr>
              <w:t>（见附图</w:t>
            </w:r>
            <w:r>
              <w:rPr>
                <w:rFonts w:hint="eastAsia"/>
                <w:color w:val="FF0000"/>
                <w:sz w:val="24"/>
                <w:highlight w:val="none"/>
              </w:rPr>
              <w:t>2</w:t>
            </w:r>
            <w:r>
              <w:rPr>
                <w:color w:val="FF0000"/>
                <w:sz w:val="24"/>
                <w:highlight w:val="none"/>
              </w:rPr>
              <w:t>）；</w:t>
            </w:r>
            <w:r>
              <w:rPr>
                <w:rFonts w:hint="eastAsia"/>
                <w:color w:val="FF0000"/>
                <w:sz w:val="24"/>
                <w:highlight w:val="none"/>
              </w:rPr>
              <w:t>本项目与佟家街村距离较近，</w:t>
            </w:r>
            <w:r>
              <w:rPr>
                <w:rFonts w:hint="eastAsia"/>
                <w:color w:val="FF0000"/>
                <w:sz w:val="24"/>
                <w:highlight w:val="none"/>
                <w:lang w:val="en-US" w:eastAsia="zh-CN"/>
              </w:rPr>
              <w:t>位于本项目东北侧512m</w:t>
            </w:r>
            <w:r>
              <w:rPr>
                <w:rFonts w:hint="eastAsia"/>
                <w:color w:val="FF0000"/>
                <w:sz w:val="24"/>
                <w:highlight w:val="none"/>
              </w:rPr>
              <w:t>。</w:t>
            </w:r>
            <w:r>
              <w:rPr>
                <w:color w:val="FF0000"/>
                <w:sz w:val="24"/>
                <w:highlight w:val="none"/>
              </w:rPr>
              <w:t>本项目</w:t>
            </w:r>
            <w:r>
              <w:rPr>
                <w:rFonts w:hint="eastAsia"/>
                <w:color w:val="FF0000"/>
                <w:sz w:val="24"/>
                <w:highlight w:val="none"/>
              </w:rPr>
              <w:t>用地范围</w:t>
            </w:r>
            <w:r>
              <w:rPr>
                <w:color w:val="FF0000"/>
                <w:sz w:val="24"/>
                <w:highlight w:val="none"/>
              </w:rPr>
              <w:t>不在</w:t>
            </w:r>
            <w:r>
              <w:rPr>
                <w:rFonts w:hint="eastAsia"/>
                <w:color w:val="FF0000"/>
                <w:sz w:val="24"/>
                <w:highlight w:val="none"/>
              </w:rPr>
              <w:t>抚顺市</w:t>
            </w:r>
            <w:r>
              <w:rPr>
                <w:color w:val="FF0000"/>
                <w:sz w:val="24"/>
                <w:highlight w:val="none"/>
              </w:rPr>
              <w:t>生态保护红线区内，厂址位置及周边无各类自然保护区、风景名胜区、饮用水源保护区及其他需要特殊保护的区域，符合用地要求，</w:t>
            </w:r>
            <w:r>
              <w:rPr>
                <w:rFonts w:hint="eastAsia"/>
                <w:color w:val="FF0000"/>
                <w:sz w:val="24"/>
                <w:highlight w:val="none"/>
              </w:rPr>
              <w:t>故</w:t>
            </w:r>
            <w:r>
              <w:rPr>
                <w:color w:val="FF0000"/>
                <w:sz w:val="24"/>
                <w:highlight w:val="none"/>
              </w:rPr>
              <w:t>本项目选址合理。</w:t>
            </w:r>
          </w:p>
          <w:p w14:paraId="5E8467F1">
            <w:pPr>
              <w:numPr>
                <w:ilvl w:val="0"/>
                <w:numId w:val="2"/>
              </w:numPr>
              <w:autoSpaceDE w:val="0"/>
              <w:autoSpaceDN w:val="0"/>
              <w:adjustRightInd w:val="0"/>
              <w:snapToGrid w:val="0"/>
              <w:spacing w:line="360" w:lineRule="auto"/>
              <w:rPr>
                <w:b/>
                <w:bCs/>
                <w:color w:val="auto"/>
                <w:sz w:val="24"/>
                <w:highlight w:val="none"/>
              </w:rPr>
            </w:pPr>
            <w:r>
              <w:rPr>
                <w:b/>
                <w:bCs/>
                <w:color w:val="auto"/>
                <w:sz w:val="24"/>
                <w:highlight w:val="none"/>
              </w:rPr>
              <w:t>“</w:t>
            </w:r>
            <w:r>
              <w:rPr>
                <w:rFonts w:hint="eastAsia"/>
                <w:b/>
                <w:bCs/>
                <w:color w:val="auto"/>
                <w:sz w:val="24"/>
                <w:highlight w:val="none"/>
              </w:rPr>
              <w:t>三线一单</w:t>
            </w:r>
            <w:r>
              <w:rPr>
                <w:b/>
                <w:bCs/>
                <w:color w:val="auto"/>
                <w:sz w:val="24"/>
                <w:highlight w:val="none"/>
              </w:rPr>
              <w:t>”</w:t>
            </w:r>
            <w:r>
              <w:rPr>
                <w:rFonts w:hint="eastAsia"/>
                <w:b/>
                <w:bCs/>
                <w:color w:val="auto"/>
                <w:sz w:val="24"/>
                <w:highlight w:val="none"/>
              </w:rPr>
              <w:t>相符性分析</w:t>
            </w:r>
          </w:p>
          <w:p w14:paraId="6B3F750F">
            <w:pPr>
              <w:autoSpaceDE w:val="0"/>
              <w:autoSpaceDN w:val="0"/>
              <w:adjustRightInd w:val="0"/>
              <w:snapToGrid w:val="0"/>
              <w:spacing w:line="360" w:lineRule="auto"/>
              <w:ind w:firstLine="480" w:firstLineChars="200"/>
              <w:rPr>
                <w:b/>
                <w:bCs/>
                <w:color w:val="auto"/>
                <w:sz w:val="24"/>
                <w:highlight w:val="none"/>
              </w:rPr>
            </w:pPr>
            <w:r>
              <w:rPr>
                <w:rFonts w:hint="eastAsia"/>
                <w:color w:val="auto"/>
                <w:sz w:val="24"/>
                <w:highlight w:val="none"/>
              </w:rPr>
              <w:t>根据《关于以改善环境质量为核心加强环境影响评价管理的通知》环环评</w:t>
            </w:r>
            <w:r>
              <w:rPr>
                <w:color w:val="auto"/>
                <w:sz w:val="24"/>
                <w:highlight w:val="none"/>
              </w:rPr>
              <w:t>[2016]150</w:t>
            </w:r>
            <w:r>
              <w:rPr>
                <w:rFonts w:hint="eastAsia"/>
                <w:color w:val="auto"/>
                <w:sz w:val="24"/>
                <w:highlight w:val="none"/>
              </w:rPr>
              <w:t>号以及《辽宁省人民政府关于实施</w:t>
            </w:r>
            <w:r>
              <w:rPr>
                <w:color w:val="auto"/>
                <w:sz w:val="24"/>
                <w:highlight w:val="none"/>
              </w:rPr>
              <w:t>“</w:t>
            </w:r>
            <w:r>
              <w:rPr>
                <w:rFonts w:hint="eastAsia"/>
                <w:color w:val="auto"/>
                <w:sz w:val="24"/>
                <w:highlight w:val="none"/>
              </w:rPr>
              <w:t>三线一单</w:t>
            </w:r>
            <w:r>
              <w:rPr>
                <w:color w:val="auto"/>
                <w:sz w:val="24"/>
                <w:highlight w:val="none"/>
              </w:rPr>
              <w:t>”</w:t>
            </w:r>
            <w:r>
              <w:rPr>
                <w:rFonts w:hint="eastAsia"/>
                <w:color w:val="auto"/>
                <w:sz w:val="24"/>
                <w:highlight w:val="none"/>
              </w:rPr>
              <w:t>生态环境分区管控的意见》辽政发</w:t>
            </w:r>
            <w:r>
              <w:rPr>
                <w:color w:val="auto"/>
                <w:sz w:val="24"/>
                <w:highlight w:val="none"/>
              </w:rPr>
              <w:t>[2021]6</w:t>
            </w:r>
            <w:r>
              <w:rPr>
                <w:rFonts w:hint="eastAsia"/>
                <w:color w:val="auto"/>
                <w:sz w:val="24"/>
                <w:highlight w:val="none"/>
              </w:rPr>
              <w:t>号文件的要求，切实加强环境影响评价管理，落实</w:t>
            </w:r>
            <w:r>
              <w:rPr>
                <w:color w:val="auto"/>
                <w:sz w:val="24"/>
                <w:highlight w:val="none"/>
              </w:rPr>
              <w:t>“</w:t>
            </w:r>
            <w:r>
              <w:rPr>
                <w:rFonts w:hint="eastAsia"/>
                <w:color w:val="auto"/>
                <w:sz w:val="24"/>
                <w:highlight w:val="none"/>
              </w:rPr>
              <w:t>生态保护红线、环境质量底线、资源利用上线和生态环境准入清单</w:t>
            </w:r>
            <w:r>
              <w:rPr>
                <w:color w:val="auto"/>
                <w:sz w:val="24"/>
                <w:highlight w:val="none"/>
              </w:rPr>
              <w:t>”</w:t>
            </w:r>
            <w:r>
              <w:rPr>
                <w:rFonts w:hint="eastAsia"/>
                <w:color w:val="auto"/>
                <w:sz w:val="24"/>
                <w:highlight w:val="none"/>
              </w:rPr>
              <w:t>约束，更好地发挥环评制度从源头防范环境污染和生态破坏的作用，加快推进改善环境质量。本项目</w:t>
            </w:r>
            <w:r>
              <w:rPr>
                <w:color w:val="auto"/>
                <w:sz w:val="24"/>
                <w:highlight w:val="none"/>
              </w:rPr>
              <w:t>“</w:t>
            </w:r>
            <w:r>
              <w:rPr>
                <w:rFonts w:hint="eastAsia"/>
                <w:color w:val="auto"/>
                <w:sz w:val="24"/>
                <w:highlight w:val="none"/>
              </w:rPr>
              <w:t>三线一单</w:t>
            </w:r>
            <w:r>
              <w:rPr>
                <w:color w:val="auto"/>
                <w:sz w:val="24"/>
                <w:highlight w:val="none"/>
              </w:rPr>
              <w:t>”</w:t>
            </w:r>
            <w:r>
              <w:rPr>
                <w:rFonts w:hint="eastAsia"/>
                <w:color w:val="auto"/>
                <w:sz w:val="24"/>
                <w:highlight w:val="none"/>
              </w:rPr>
              <w:t>符合性分析详见下表。</w:t>
            </w:r>
          </w:p>
        </w:tc>
      </w:tr>
      <w:tr w14:paraId="7AE6C61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842" w:type="dxa"/>
            <w:vAlign w:val="center"/>
          </w:tcPr>
          <w:p w14:paraId="1235A38A">
            <w:pPr>
              <w:autoSpaceDE w:val="0"/>
              <w:autoSpaceDN w:val="0"/>
              <w:adjustRightInd w:val="0"/>
              <w:snapToGrid w:val="0"/>
              <w:jc w:val="center"/>
              <w:rPr>
                <w:rFonts w:ascii="宋体" w:hAnsi="宋体" w:cs="宋体"/>
                <w:color w:val="auto"/>
                <w:kern w:val="0"/>
                <w:szCs w:val="21"/>
                <w:highlight w:val="none"/>
              </w:rPr>
            </w:pPr>
          </w:p>
        </w:tc>
        <w:tc>
          <w:tcPr>
            <w:tcW w:w="8028" w:type="dxa"/>
            <w:gridSpan w:val="4"/>
            <w:vAlign w:val="center"/>
          </w:tcPr>
          <w:p w14:paraId="0964E9F6">
            <w:pPr>
              <w:autoSpaceDE w:val="0"/>
              <w:autoSpaceDN w:val="0"/>
              <w:adjustRightInd w:val="0"/>
              <w:snapToGrid w:val="0"/>
              <w:jc w:val="center"/>
              <w:rPr>
                <w:b/>
                <w:bCs/>
                <w:color w:val="auto"/>
                <w:szCs w:val="21"/>
                <w:highlight w:val="none"/>
              </w:rPr>
            </w:pPr>
            <w:r>
              <w:rPr>
                <w:b/>
                <w:bCs/>
                <w:color w:val="auto"/>
                <w:szCs w:val="21"/>
                <w:highlight w:val="none"/>
              </w:rPr>
              <w:t>表1-</w:t>
            </w:r>
            <w:r>
              <w:rPr>
                <w:rFonts w:hint="eastAsia"/>
                <w:b/>
                <w:bCs/>
                <w:color w:val="auto"/>
                <w:szCs w:val="21"/>
                <w:highlight w:val="none"/>
              </w:rPr>
              <w:t>3</w:t>
            </w:r>
            <w:r>
              <w:rPr>
                <w:b/>
                <w:bCs/>
                <w:color w:val="auto"/>
                <w:szCs w:val="21"/>
                <w:highlight w:val="none"/>
              </w:rPr>
              <w:t xml:space="preserve"> 本项目与“三线一单”符合性分析一览表</w:t>
            </w:r>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0"/>
              <w:gridCol w:w="4506"/>
              <w:gridCol w:w="2140"/>
              <w:gridCol w:w="634"/>
            </w:tblGrid>
            <w:tr w14:paraId="7D239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224" w:type="pct"/>
                  <w:gridSpan w:val="2"/>
                  <w:tcBorders>
                    <w:tl2br w:val="nil"/>
                    <w:tr2bl w:val="nil"/>
                  </w:tcBorders>
                  <w:vAlign w:val="center"/>
                </w:tcPr>
                <w:p w14:paraId="79E8E183">
                  <w:pPr>
                    <w:pStyle w:val="13"/>
                    <w:jc w:val="center"/>
                    <w:rPr>
                      <w:b/>
                      <w:bCs/>
                      <w:color w:val="auto"/>
                      <w:sz w:val="21"/>
                      <w:szCs w:val="21"/>
                      <w:highlight w:val="none"/>
                    </w:rPr>
                  </w:pPr>
                  <w:r>
                    <w:rPr>
                      <w:b/>
                      <w:bCs/>
                      <w:color w:val="auto"/>
                      <w:sz w:val="21"/>
                      <w:szCs w:val="21"/>
                      <w:highlight w:val="none"/>
                    </w:rPr>
                    <w:t>要求</w:t>
                  </w:r>
                </w:p>
              </w:tc>
              <w:tc>
                <w:tcPr>
                  <w:tcW w:w="1370" w:type="pct"/>
                  <w:tcBorders>
                    <w:tl2br w:val="nil"/>
                    <w:tr2bl w:val="nil"/>
                  </w:tcBorders>
                  <w:vAlign w:val="center"/>
                </w:tcPr>
                <w:p w14:paraId="0F3CC4E1">
                  <w:pPr>
                    <w:pStyle w:val="13"/>
                    <w:jc w:val="center"/>
                    <w:rPr>
                      <w:b/>
                      <w:bCs/>
                      <w:color w:val="auto"/>
                      <w:sz w:val="21"/>
                      <w:szCs w:val="21"/>
                      <w:highlight w:val="none"/>
                    </w:rPr>
                  </w:pPr>
                  <w:r>
                    <w:rPr>
                      <w:b/>
                      <w:bCs/>
                      <w:color w:val="auto"/>
                      <w:sz w:val="21"/>
                      <w:szCs w:val="21"/>
                      <w:highlight w:val="none"/>
                    </w:rPr>
                    <w:t>本项目情况</w:t>
                  </w:r>
                </w:p>
              </w:tc>
              <w:tc>
                <w:tcPr>
                  <w:tcW w:w="406" w:type="pct"/>
                  <w:tcBorders>
                    <w:tl2br w:val="nil"/>
                    <w:tr2bl w:val="nil"/>
                  </w:tcBorders>
                  <w:vAlign w:val="center"/>
                </w:tcPr>
                <w:p w14:paraId="148CF99C">
                  <w:pPr>
                    <w:pStyle w:val="13"/>
                    <w:jc w:val="center"/>
                    <w:rPr>
                      <w:b/>
                      <w:bCs/>
                      <w:color w:val="auto"/>
                      <w:sz w:val="21"/>
                      <w:szCs w:val="21"/>
                      <w:highlight w:val="none"/>
                    </w:rPr>
                  </w:pPr>
                  <w:r>
                    <w:rPr>
                      <w:b/>
                      <w:bCs/>
                      <w:color w:val="auto"/>
                      <w:sz w:val="21"/>
                      <w:szCs w:val="21"/>
                      <w:highlight w:val="none"/>
                    </w:rPr>
                    <w:t>符合性</w:t>
                  </w:r>
                </w:p>
              </w:tc>
            </w:tr>
            <w:tr w14:paraId="162F8C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9" w:type="pct"/>
                  <w:tcBorders>
                    <w:tl2br w:val="nil"/>
                    <w:tr2bl w:val="nil"/>
                  </w:tcBorders>
                  <w:vAlign w:val="center"/>
                </w:tcPr>
                <w:p w14:paraId="7352E5E6">
                  <w:pPr>
                    <w:pStyle w:val="13"/>
                    <w:jc w:val="center"/>
                    <w:rPr>
                      <w:color w:val="auto"/>
                      <w:sz w:val="21"/>
                      <w:szCs w:val="21"/>
                      <w:highlight w:val="none"/>
                    </w:rPr>
                  </w:pPr>
                  <w:r>
                    <w:rPr>
                      <w:color w:val="auto"/>
                      <w:sz w:val="21"/>
                      <w:szCs w:val="21"/>
                      <w:highlight w:val="none"/>
                    </w:rPr>
                    <w:t>生态保护红线</w:t>
                  </w:r>
                </w:p>
              </w:tc>
              <w:tc>
                <w:tcPr>
                  <w:tcW w:w="2885" w:type="pct"/>
                  <w:tcBorders>
                    <w:tl2br w:val="nil"/>
                    <w:tr2bl w:val="nil"/>
                  </w:tcBorders>
                </w:tcPr>
                <w:p w14:paraId="1CEE10C6">
                  <w:pPr>
                    <w:pStyle w:val="13"/>
                    <w:jc w:val="both"/>
                    <w:rPr>
                      <w:color w:val="auto"/>
                      <w:sz w:val="21"/>
                      <w:szCs w:val="21"/>
                      <w:highlight w:val="none"/>
                    </w:rPr>
                  </w:pPr>
                  <w:r>
                    <w:rPr>
                      <w:color w:val="auto"/>
                      <w:sz w:val="21"/>
                      <w:szCs w:val="21"/>
                      <w:highlight w:val="none"/>
                    </w:rPr>
                    <w:t>“生态保护红线”是生态空间范围内具有特殊重要生态功能必须实行强制性严格保护的区域。相关规划环评应将生态空间管控作为重要内容，规划区域涉及生态保护红线的，在规划环评结论和审查意见中应落实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1370" w:type="pct"/>
                  <w:tcBorders>
                    <w:tl2br w:val="nil"/>
                    <w:tr2bl w:val="nil"/>
                  </w:tcBorders>
                </w:tcPr>
                <w:p w14:paraId="5CBEC5B2">
                  <w:pPr>
                    <w:pStyle w:val="13"/>
                    <w:jc w:val="center"/>
                    <w:rPr>
                      <w:color w:val="auto"/>
                      <w:sz w:val="21"/>
                      <w:szCs w:val="21"/>
                      <w:highlight w:val="none"/>
                    </w:rPr>
                  </w:pPr>
                  <w:r>
                    <w:rPr>
                      <w:color w:val="auto"/>
                      <w:sz w:val="21"/>
                      <w:szCs w:val="21"/>
                      <w:highlight w:val="none"/>
                    </w:rPr>
                    <w:t>本项目位于辽宁省</w:t>
                  </w:r>
                  <w:r>
                    <w:rPr>
                      <w:rFonts w:hint="eastAsia"/>
                      <w:color w:val="auto"/>
                      <w:sz w:val="21"/>
                      <w:szCs w:val="21"/>
                      <w:highlight w:val="none"/>
                    </w:rPr>
                    <w:t>抚顺市东洲区哈达镇小寨子村</w:t>
                  </w:r>
                  <w:r>
                    <w:rPr>
                      <w:color w:val="auto"/>
                      <w:sz w:val="21"/>
                      <w:szCs w:val="21"/>
                      <w:highlight w:val="none"/>
                    </w:rPr>
                    <w:t>，根据抚顺市生态保护红线示意图，本项目不在抚顺市生态保护红线范围内。</w:t>
                  </w:r>
                </w:p>
              </w:tc>
              <w:tc>
                <w:tcPr>
                  <w:tcW w:w="406" w:type="pct"/>
                  <w:tcBorders>
                    <w:tl2br w:val="nil"/>
                    <w:tr2bl w:val="nil"/>
                  </w:tcBorders>
                  <w:vAlign w:val="center"/>
                </w:tcPr>
                <w:p w14:paraId="69817850">
                  <w:pPr>
                    <w:pStyle w:val="13"/>
                    <w:jc w:val="center"/>
                    <w:rPr>
                      <w:color w:val="auto"/>
                      <w:sz w:val="21"/>
                      <w:szCs w:val="21"/>
                      <w:highlight w:val="none"/>
                    </w:rPr>
                  </w:pPr>
                  <w:r>
                    <w:rPr>
                      <w:color w:val="auto"/>
                      <w:sz w:val="21"/>
                      <w:szCs w:val="21"/>
                      <w:highlight w:val="none"/>
                    </w:rPr>
                    <w:t>符合</w:t>
                  </w:r>
                </w:p>
              </w:tc>
            </w:tr>
            <w:tr w14:paraId="7DB5F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9" w:type="pct"/>
                  <w:tcBorders>
                    <w:tl2br w:val="nil"/>
                    <w:tr2bl w:val="nil"/>
                  </w:tcBorders>
                  <w:vAlign w:val="center"/>
                </w:tcPr>
                <w:p w14:paraId="3D953877">
                  <w:pPr>
                    <w:pStyle w:val="13"/>
                    <w:jc w:val="center"/>
                    <w:rPr>
                      <w:color w:val="auto"/>
                      <w:sz w:val="21"/>
                      <w:szCs w:val="21"/>
                      <w:highlight w:val="none"/>
                    </w:rPr>
                  </w:pPr>
                  <w:r>
                    <w:rPr>
                      <w:color w:val="auto"/>
                      <w:sz w:val="21"/>
                      <w:szCs w:val="21"/>
                      <w:highlight w:val="none"/>
                    </w:rPr>
                    <w:t>环境质量底线</w:t>
                  </w:r>
                </w:p>
              </w:tc>
              <w:tc>
                <w:tcPr>
                  <w:tcW w:w="2885" w:type="pct"/>
                  <w:tcBorders>
                    <w:tl2br w:val="nil"/>
                    <w:tr2bl w:val="nil"/>
                  </w:tcBorders>
                  <w:vAlign w:val="center"/>
                </w:tcPr>
                <w:p w14:paraId="6F602E69">
                  <w:pPr>
                    <w:autoSpaceDE w:val="0"/>
                    <w:autoSpaceDN w:val="0"/>
                    <w:adjustRightInd w:val="0"/>
                    <w:snapToGrid w:val="0"/>
                    <w:rPr>
                      <w:color w:val="auto"/>
                      <w:szCs w:val="21"/>
                      <w:highlight w:val="none"/>
                    </w:rPr>
                  </w:pPr>
                  <w:r>
                    <w:rPr>
                      <w:color w:val="auto"/>
                      <w:szCs w:val="21"/>
                      <w:highlight w:val="none"/>
                    </w:rPr>
                    <w:t>“环境质量底线”是国家和地方设置的大气、水和土壤环境质量目标，也是改善环境质量的基准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1370" w:type="pct"/>
                  <w:tcBorders>
                    <w:tl2br w:val="nil"/>
                    <w:tr2bl w:val="nil"/>
                  </w:tcBorders>
                  <w:vAlign w:val="center"/>
                </w:tcPr>
                <w:p w14:paraId="7D3F18E4">
                  <w:pPr>
                    <w:autoSpaceDE w:val="0"/>
                    <w:autoSpaceDN w:val="0"/>
                    <w:adjustRightInd w:val="0"/>
                    <w:snapToGrid w:val="0"/>
                    <w:jc w:val="center"/>
                    <w:rPr>
                      <w:color w:val="auto"/>
                      <w:szCs w:val="21"/>
                      <w:highlight w:val="none"/>
                    </w:rPr>
                  </w:pPr>
                  <w:r>
                    <w:rPr>
                      <w:color w:val="auto"/>
                      <w:szCs w:val="21"/>
                      <w:highlight w:val="none"/>
                    </w:rPr>
                    <w:t>本项目采取成熟的污染防治措施，废气、噪声均满足排放标准，建成后本项目排放的污染物较少，对区域环境质量影响较小，不会突破区域环境质量底线。</w:t>
                  </w:r>
                </w:p>
              </w:tc>
              <w:tc>
                <w:tcPr>
                  <w:tcW w:w="406" w:type="pct"/>
                  <w:tcBorders>
                    <w:tl2br w:val="nil"/>
                    <w:tr2bl w:val="nil"/>
                  </w:tcBorders>
                  <w:vAlign w:val="center"/>
                </w:tcPr>
                <w:p w14:paraId="24B10264">
                  <w:pPr>
                    <w:pStyle w:val="13"/>
                    <w:jc w:val="center"/>
                    <w:rPr>
                      <w:color w:val="auto"/>
                      <w:sz w:val="21"/>
                      <w:szCs w:val="21"/>
                      <w:highlight w:val="none"/>
                    </w:rPr>
                  </w:pPr>
                  <w:r>
                    <w:rPr>
                      <w:color w:val="auto"/>
                      <w:sz w:val="21"/>
                      <w:szCs w:val="21"/>
                      <w:highlight w:val="none"/>
                    </w:rPr>
                    <w:t>符合</w:t>
                  </w:r>
                </w:p>
              </w:tc>
            </w:tr>
            <w:tr w14:paraId="79F911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9" w:type="pct"/>
                  <w:tcBorders>
                    <w:tl2br w:val="nil"/>
                    <w:tr2bl w:val="nil"/>
                  </w:tcBorders>
                  <w:vAlign w:val="center"/>
                </w:tcPr>
                <w:p w14:paraId="3A4BFAD7">
                  <w:pPr>
                    <w:pStyle w:val="13"/>
                    <w:jc w:val="center"/>
                    <w:rPr>
                      <w:color w:val="auto"/>
                      <w:sz w:val="21"/>
                      <w:szCs w:val="21"/>
                      <w:highlight w:val="none"/>
                    </w:rPr>
                  </w:pPr>
                  <w:r>
                    <w:rPr>
                      <w:color w:val="auto"/>
                      <w:sz w:val="21"/>
                      <w:szCs w:val="21"/>
                      <w:highlight w:val="none"/>
                    </w:rPr>
                    <w:t>资源利用上线</w:t>
                  </w:r>
                </w:p>
              </w:tc>
              <w:tc>
                <w:tcPr>
                  <w:tcW w:w="2885" w:type="pct"/>
                  <w:tcBorders>
                    <w:tl2br w:val="nil"/>
                    <w:tr2bl w:val="nil"/>
                  </w:tcBorders>
                  <w:vAlign w:val="center"/>
                </w:tcPr>
                <w:p w14:paraId="23D6112A">
                  <w:pPr>
                    <w:autoSpaceDE w:val="0"/>
                    <w:autoSpaceDN w:val="0"/>
                    <w:adjustRightInd w:val="0"/>
                    <w:snapToGrid w:val="0"/>
                    <w:rPr>
                      <w:color w:val="auto"/>
                      <w:szCs w:val="21"/>
                      <w:highlight w:val="none"/>
                    </w:rPr>
                  </w:pPr>
                  <w:r>
                    <w:rPr>
                      <w:color w:val="auto"/>
                      <w:szCs w:val="21"/>
                      <w:highlight w:val="none"/>
                    </w:rPr>
                    <w:t>资源是环境的载体，“资源利用上线”地区能源、水、土地等资源消耗不得突破的“天花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1910" w:type="dxa"/>
                  <w:tcBorders>
                    <w:tl2br w:val="nil"/>
                    <w:tr2bl w:val="nil"/>
                  </w:tcBorders>
                  <w:vAlign w:val="center"/>
                </w:tcPr>
                <w:p w14:paraId="42A73CC7">
                  <w:pPr>
                    <w:autoSpaceDE w:val="0"/>
                    <w:autoSpaceDN w:val="0"/>
                    <w:adjustRightInd w:val="0"/>
                    <w:snapToGrid w:val="0"/>
                    <w:jc w:val="center"/>
                    <w:rPr>
                      <w:color w:val="auto"/>
                      <w:szCs w:val="21"/>
                      <w:highlight w:val="none"/>
                    </w:rPr>
                  </w:pPr>
                  <w:r>
                    <w:rPr>
                      <w:color w:val="auto"/>
                      <w:szCs w:val="21"/>
                      <w:highlight w:val="none"/>
                    </w:rPr>
                    <w:t>本项目运营过程中消耗一定量的电、水能源，能耗较少，不属于高能耗行业，建成运行后通过内部管理、设备选用、污染治理等多方面采取可行的防治措施，以“节能、降耗、减污”为目标，有效地控制污染，项目的水、电等资源不会突破区域的资源利用上线；项目建设土地不涉及基本农田，因此符合资源利用上限要求。</w:t>
                  </w:r>
                </w:p>
              </w:tc>
              <w:tc>
                <w:tcPr>
                  <w:tcW w:w="406" w:type="pct"/>
                  <w:tcBorders>
                    <w:tl2br w:val="nil"/>
                    <w:tr2bl w:val="nil"/>
                  </w:tcBorders>
                  <w:vAlign w:val="center"/>
                </w:tcPr>
                <w:p w14:paraId="5892186F">
                  <w:pPr>
                    <w:pStyle w:val="13"/>
                    <w:jc w:val="center"/>
                    <w:rPr>
                      <w:color w:val="auto"/>
                      <w:sz w:val="21"/>
                      <w:szCs w:val="21"/>
                      <w:highlight w:val="none"/>
                    </w:rPr>
                  </w:pPr>
                  <w:r>
                    <w:rPr>
                      <w:color w:val="auto"/>
                      <w:sz w:val="21"/>
                      <w:szCs w:val="21"/>
                      <w:highlight w:val="none"/>
                    </w:rPr>
                    <w:t>符合</w:t>
                  </w:r>
                </w:p>
              </w:tc>
            </w:tr>
            <w:tr w14:paraId="68E888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339" w:type="pct"/>
                  <w:tcBorders>
                    <w:tl2br w:val="nil"/>
                    <w:tr2bl w:val="nil"/>
                  </w:tcBorders>
                  <w:vAlign w:val="center"/>
                </w:tcPr>
                <w:p w14:paraId="4FD275D3">
                  <w:pPr>
                    <w:pStyle w:val="13"/>
                    <w:jc w:val="center"/>
                    <w:rPr>
                      <w:color w:val="auto"/>
                      <w:sz w:val="21"/>
                      <w:szCs w:val="21"/>
                      <w:highlight w:val="none"/>
                    </w:rPr>
                  </w:pPr>
                  <w:r>
                    <w:rPr>
                      <w:color w:val="auto"/>
                      <w:sz w:val="21"/>
                      <w:szCs w:val="21"/>
                      <w:highlight w:val="none"/>
                    </w:rPr>
                    <w:t>生态环境</w:t>
                  </w:r>
                </w:p>
                <w:p w14:paraId="79367960">
                  <w:pPr>
                    <w:pStyle w:val="23"/>
                    <w:ind w:left="0"/>
                    <w:jc w:val="center"/>
                    <w:rPr>
                      <w:rFonts w:ascii="Times New Roman" w:hAnsi="Times New Roman"/>
                      <w:color w:val="auto"/>
                      <w:szCs w:val="21"/>
                      <w:highlight w:val="none"/>
                    </w:rPr>
                  </w:pPr>
                  <w:r>
                    <w:rPr>
                      <w:rFonts w:ascii="Times New Roman" w:hAnsi="Times New Roman"/>
                      <w:color w:val="auto"/>
                      <w:szCs w:val="21"/>
                      <w:highlight w:val="none"/>
                    </w:rPr>
                    <w:t>准入清单</w:t>
                  </w:r>
                </w:p>
              </w:tc>
              <w:tc>
                <w:tcPr>
                  <w:tcW w:w="2885" w:type="pct"/>
                  <w:tcBorders>
                    <w:tl2br w:val="nil"/>
                    <w:tr2bl w:val="nil"/>
                  </w:tcBorders>
                  <w:vAlign w:val="center"/>
                </w:tcPr>
                <w:p w14:paraId="7EC6621C">
                  <w:pPr>
                    <w:widowControl/>
                    <w:rPr>
                      <w:color w:val="auto"/>
                      <w:szCs w:val="21"/>
                      <w:highlight w:val="none"/>
                    </w:rPr>
                  </w:pPr>
                  <w:r>
                    <w:rPr>
                      <w:color w:val="auto"/>
                      <w:szCs w:val="21"/>
                      <w:highlight w:val="none"/>
                    </w:rPr>
                    <w:t>生态环境准入清单是基于生态保护红线、环境质量底线和资源利用上线，以清单方式列出的禁止、限制等差别化环境准入条件和要求。要在规划环评清单式管理试点的基础上，从布局选址、资源利用效率、资源配置方式等方面入手，制定生态环境准入清单，充分发挥负面清单对产业发展和项目准入的指导和约束作用</w:t>
                  </w:r>
                </w:p>
              </w:tc>
              <w:tc>
                <w:tcPr>
                  <w:tcW w:w="1910" w:type="dxa"/>
                  <w:tcBorders>
                    <w:tl2br w:val="nil"/>
                    <w:tr2bl w:val="nil"/>
                  </w:tcBorders>
                  <w:vAlign w:val="center"/>
                </w:tcPr>
                <w:p w14:paraId="06C2E8FC">
                  <w:pPr>
                    <w:widowControl/>
                    <w:jc w:val="center"/>
                    <w:rPr>
                      <w:color w:val="auto"/>
                      <w:szCs w:val="21"/>
                      <w:highlight w:val="none"/>
                    </w:rPr>
                  </w:pPr>
                  <w:r>
                    <w:rPr>
                      <w:color w:val="auto"/>
                      <w:szCs w:val="21"/>
                      <w:highlight w:val="none"/>
                    </w:rPr>
                    <w:t>参考国家发改委、商务部制定的《市场准入负面清单》，国家工信部发布的《淘汰落后产能》公告，环保部会同国务院有关部门指定的《“高污染、高环境风险”产品名录》，辽宁省政府《关于试行辽宁省企业投资项目负面清单管理的指导意见》，本项目均不在其列。</w:t>
                  </w:r>
                </w:p>
              </w:tc>
              <w:tc>
                <w:tcPr>
                  <w:tcW w:w="406" w:type="pct"/>
                  <w:tcBorders>
                    <w:tl2br w:val="nil"/>
                    <w:tr2bl w:val="nil"/>
                  </w:tcBorders>
                  <w:vAlign w:val="center"/>
                </w:tcPr>
                <w:p w14:paraId="76C63036">
                  <w:pPr>
                    <w:pStyle w:val="13"/>
                    <w:jc w:val="center"/>
                    <w:rPr>
                      <w:color w:val="auto"/>
                      <w:sz w:val="21"/>
                      <w:szCs w:val="21"/>
                      <w:highlight w:val="none"/>
                    </w:rPr>
                  </w:pPr>
                  <w:r>
                    <w:rPr>
                      <w:color w:val="auto"/>
                      <w:sz w:val="21"/>
                      <w:szCs w:val="21"/>
                      <w:highlight w:val="none"/>
                    </w:rPr>
                    <w:t>符合</w:t>
                  </w:r>
                </w:p>
              </w:tc>
            </w:tr>
          </w:tbl>
          <w:p w14:paraId="2C756823">
            <w:pPr>
              <w:pStyle w:val="13"/>
              <w:rPr>
                <w:color w:val="auto"/>
                <w:highlight w:val="none"/>
              </w:rPr>
            </w:pPr>
          </w:p>
          <w:p w14:paraId="7AC0A388">
            <w:pPr>
              <w:widowControl/>
              <w:spacing w:line="360" w:lineRule="auto"/>
              <w:jc w:val="left"/>
              <w:rPr>
                <w:b/>
                <w:bCs/>
                <w:color w:val="FF0000"/>
                <w:sz w:val="24"/>
                <w:highlight w:val="none"/>
              </w:rPr>
            </w:pPr>
            <w:r>
              <w:rPr>
                <w:rFonts w:hint="eastAsia"/>
                <w:b/>
                <w:bCs/>
                <w:color w:val="FF0000"/>
                <w:sz w:val="24"/>
                <w:highlight w:val="none"/>
              </w:rPr>
              <w:t>四、与《关于发布抚顺市生态环境分区管控动态更新成果的通知》(抚环发〔2024〕144号)符合性分析</w:t>
            </w:r>
          </w:p>
          <w:p w14:paraId="74563224">
            <w:pPr>
              <w:spacing w:line="360" w:lineRule="auto"/>
              <w:ind w:firstLine="480"/>
              <w:rPr>
                <w:color w:val="FF0000"/>
                <w:sz w:val="24"/>
                <w:highlight w:val="none"/>
              </w:rPr>
            </w:pPr>
            <w:r>
              <w:rPr>
                <w:rFonts w:hint="eastAsia"/>
                <w:color w:val="FF0000"/>
                <w:sz w:val="24"/>
                <w:highlight w:val="none"/>
              </w:rPr>
              <w:t>根据《关于发布抚顺市生态环境分区管控动态更新成果的通知》(抚环发〔2024〕144号)，</w:t>
            </w:r>
            <w:r>
              <w:rPr>
                <w:rFonts w:hint="eastAsia"/>
                <w:color w:val="FF0000"/>
                <w:sz w:val="24"/>
                <w:highlight w:val="none"/>
              </w:rPr>
              <w:t>全市划分</w:t>
            </w:r>
            <w:r>
              <w:rPr>
                <w:rFonts w:hint="eastAsia"/>
                <w:color w:val="FF0000"/>
                <w:sz w:val="24"/>
                <w:highlight w:val="none"/>
                <w:lang w:val="en-US" w:eastAsia="zh-CN"/>
              </w:rPr>
              <w:t>82</w:t>
            </w:r>
            <w:r>
              <w:rPr>
                <w:rFonts w:hint="eastAsia"/>
                <w:color w:val="FF0000"/>
                <w:sz w:val="24"/>
                <w:highlight w:val="none"/>
              </w:rPr>
              <w:t>个环境管控单元。</w:t>
            </w:r>
          </w:p>
          <w:p w14:paraId="7033494E">
            <w:pPr>
              <w:spacing w:line="360" w:lineRule="auto"/>
              <w:ind w:firstLine="480"/>
              <w:rPr>
                <w:color w:val="FF0000"/>
                <w:sz w:val="24"/>
                <w:highlight w:val="none"/>
              </w:rPr>
            </w:pPr>
            <w:r>
              <w:rPr>
                <w:rFonts w:hint="eastAsia"/>
                <w:color w:val="FF0000"/>
                <w:sz w:val="24"/>
                <w:highlight w:val="none"/>
              </w:rPr>
              <w:t>经</w:t>
            </w:r>
            <w:r>
              <w:rPr>
                <w:rFonts w:hint="eastAsia"/>
                <w:color w:val="FF0000"/>
                <w:sz w:val="24"/>
                <w:highlight w:val="none"/>
                <w:lang w:val="en-US" w:eastAsia="zh-CN"/>
              </w:rPr>
              <w:t>向管理部门</w:t>
            </w:r>
            <w:r>
              <w:rPr>
                <w:rFonts w:hint="eastAsia"/>
                <w:color w:val="FF0000"/>
                <w:sz w:val="24"/>
                <w:highlight w:val="none"/>
              </w:rPr>
              <w:t>查询，本项目位于辽宁省抚顺市东洲区哈达镇小寨子村，属于</w:t>
            </w:r>
            <w:r>
              <w:rPr>
                <w:rFonts w:hint="eastAsia"/>
                <w:color w:val="FF0000"/>
                <w:sz w:val="24"/>
                <w:highlight w:val="none"/>
                <w:lang w:eastAsia="zh-CN"/>
              </w:rPr>
              <w:t>“</w:t>
            </w:r>
            <w:r>
              <w:rPr>
                <w:rFonts w:hint="eastAsia"/>
                <w:color w:val="FF0000"/>
                <w:sz w:val="24"/>
                <w:highlight w:val="none"/>
                <w:lang w:val="en-US" w:eastAsia="zh-CN"/>
              </w:rPr>
              <w:t>优先保护区</w:t>
            </w:r>
            <w:r>
              <w:rPr>
                <w:rFonts w:hint="eastAsia"/>
                <w:color w:val="FF0000"/>
                <w:sz w:val="24"/>
                <w:highlight w:val="none"/>
                <w:lang w:eastAsia="zh-CN"/>
              </w:rPr>
              <w:t>”</w:t>
            </w:r>
            <w:r>
              <w:rPr>
                <w:rFonts w:hint="eastAsia"/>
                <w:color w:val="FF0000"/>
                <w:sz w:val="24"/>
                <w:highlight w:val="none"/>
                <w:lang w:val="en-US" w:eastAsia="zh-CN"/>
              </w:rPr>
              <w:t>和</w:t>
            </w:r>
            <w:r>
              <w:rPr>
                <w:rFonts w:hint="eastAsia"/>
                <w:color w:val="FF0000"/>
                <w:sz w:val="24"/>
                <w:highlight w:val="none"/>
              </w:rPr>
              <w:t>“一般管控区”，环境管控单元编码：ZH21040310005</w:t>
            </w:r>
            <w:r>
              <w:rPr>
                <w:rFonts w:hint="eastAsia"/>
                <w:color w:val="FF0000"/>
                <w:sz w:val="24"/>
                <w:highlight w:val="none"/>
                <w:lang w:eastAsia="zh-CN"/>
              </w:rPr>
              <w:t>、</w:t>
            </w:r>
            <w:r>
              <w:rPr>
                <w:rFonts w:hint="eastAsia"/>
                <w:color w:val="FF0000"/>
                <w:sz w:val="24"/>
                <w:highlight w:val="none"/>
              </w:rPr>
              <w:t>ZH21040330001。</w:t>
            </w:r>
            <w:r>
              <w:rPr>
                <w:color w:val="FF0000"/>
                <w:sz w:val="24"/>
                <w:highlight w:val="none"/>
              </w:rPr>
              <w:t>本项目与抚顺市生态环境管控基本要</w:t>
            </w:r>
            <w:r>
              <w:rPr>
                <w:rFonts w:hint="eastAsia"/>
                <w:color w:val="FF0000"/>
                <w:sz w:val="24"/>
                <w:highlight w:val="none"/>
              </w:rPr>
              <w:t>求、东洲区生态环境总体准入要求</w:t>
            </w:r>
            <w:r>
              <w:rPr>
                <w:rFonts w:hint="eastAsia"/>
                <w:color w:val="FF0000"/>
                <w:sz w:val="24"/>
                <w:highlight w:val="none"/>
                <w:lang w:val="en-US" w:eastAsia="zh-CN"/>
              </w:rPr>
              <w:t>及所在管控单元</w:t>
            </w:r>
            <w:r>
              <w:rPr>
                <w:color w:val="FF0000"/>
                <w:sz w:val="24"/>
                <w:highlight w:val="none"/>
              </w:rPr>
              <w:t>符合性分析</w:t>
            </w:r>
            <w:r>
              <w:rPr>
                <w:rFonts w:hint="eastAsia"/>
                <w:color w:val="FF0000"/>
                <w:sz w:val="24"/>
                <w:highlight w:val="none"/>
              </w:rPr>
              <w:t>详见下表</w:t>
            </w:r>
            <w:r>
              <w:rPr>
                <w:rFonts w:hint="eastAsia"/>
                <w:color w:val="FF0000"/>
                <w:sz w:val="24"/>
                <w:highlight w:val="none"/>
                <w:lang w:val="en-US" w:eastAsia="zh-CN"/>
              </w:rPr>
              <w:t>1-4~表1-7</w:t>
            </w:r>
            <w:r>
              <w:rPr>
                <w:color w:val="FF0000"/>
                <w:sz w:val="24"/>
                <w:highlight w:val="none"/>
              </w:rPr>
              <w:t>。</w:t>
            </w:r>
          </w:p>
          <w:p w14:paraId="2C54704B">
            <w:pPr>
              <w:adjustRightInd w:val="0"/>
              <w:snapToGrid w:val="0"/>
              <w:spacing w:line="360" w:lineRule="auto"/>
              <w:outlineLvl w:val="1"/>
              <w:rPr>
                <w:b/>
                <w:bCs/>
                <w:color w:val="auto"/>
                <w:sz w:val="24"/>
                <w:highlight w:val="none"/>
              </w:rPr>
            </w:pPr>
            <w:r>
              <w:rPr>
                <w:b/>
                <w:bCs/>
                <w:color w:val="auto"/>
                <w:sz w:val="24"/>
                <w:highlight w:val="none"/>
              </w:rPr>
              <w:t>五、与《抚顺市生态环境准入清单（2021年版）》相符性分析</w:t>
            </w:r>
          </w:p>
          <w:p w14:paraId="2FB82B6F">
            <w:pPr>
              <w:spacing w:line="360" w:lineRule="auto"/>
              <w:ind w:firstLine="480"/>
              <w:rPr>
                <w:color w:val="auto"/>
                <w:sz w:val="24"/>
                <w:highlight w:val="none"/>
              </w:rPr>
            </w:pPr>
            <w:r>
              <w:rPr>
                <w:color w:val="auto"/>
                <w:sz w:val="24"/>
                <w:highlight w:val="none"/>
              </w:rPr>
              <w:t>根据《抚顺市生态环境准入清单》（抚环发[2021]78号）文规定，本项目位于辽宁省</w:t>
            </w:r>
            <w:r>
              <w:rPr>
                <w:rFonts w:hint="eastAsia"/>
                <w:color w:val="auto"/>
                <w:sz w:val="24"/>
                <w:highlight w:val="none"/>
              </w:rPr>
              <w:t>抚顺市东洲区哈达镇小寨子村</w:t>
            </w:r>
            <w:r>
              <w:rPr>
                <w:color w:val="FF0000"/>
                <w:sz w:val="24"/>
                <w:highlight w:val="none"/>
              </w:rPr>
              <w:t>，</w:t>
            </w:r>
            <w:r>
              <w:rPr>
                <w:rFonts w:hint="eastAsia"/>
                <w:color w:val="FF0000"/>
                <w:sz w:val="24"/>
                <w:highlight w:val="none"/>
                <w:lang w:val="en-US" w:eastAsia="zh-CN"/>
              </w:rPr>
              <w:t>项目所在区域共涉及2个</w:t>
            </w:r>
            <w:r>
              <w:rPr>
                <w:rFonts w:hint="eastAsia"/>
                <w:color w:val="FF0000"/>
                <w:sz w:val="24"/>
                <w:highlight w:val="none"/>
              </w:rPr>
              <w:t>管控单元</w:t>
            </w:r>
            <w:r>
              <w:rPr>
                <w:rFonts w:hint="eastAsia"/>
                <w:color w:val="FF0000"/>
                <w:sz w:val="24"/>
                <w:highlight w:val="none"/>
                <w:lang w:eastAsia="zh-CN"/>
              </w:rPr>
              <w:t>，</w:t>
            </w:r>
            <w:r>
              <w:rPr>
                <w:rFonts w:hint="eastAsia"/>
                <w:color w:val="FF0000"/>
                <w:sz w:val="24"/>
                <w:highlight w:val="none"/>
              </w:rPr>
              <w:t>东洲区一般管控区，</w:t>
            </w:r>
            <w:r>
              <w:rPr>
                <w:color w:val="FF0000"/>
                <w:sz w:val="24"/>
                <w:highlight w:val="none"/>
              </w:rPr>
              <w:t>环境管控单元编码：</w:t>
            </w:r>
            <w:r>
              <w:rPr>
                <w:rFonts w:hint="eastAsia"/>
                <w:color w:val="FF0000"/>
                <w:sz w:val="24"/>
                <w:highlight w:val="none"/>
              </w:rPr>
              <w:t>ZH21040330001，属于一般管控区</w:t>
            </w:r>
            <w:r>
              <w:rPr>
                <w:rFonts w:hint="eastAsia"/>
                <w:color w:val="FF0000"/>
                <w:sz w:val="24"/>
                <w:highlight w:val="none"/>
                <w:lang w:eastAsia="zh-CN"/>
              </w:rPr>
              <w:t>；东洲区一般生态空间，</w:t>
            </w:r>
            <w:r>
              <w:rPr>
                <w:color w:val="FF0000"/>
                <w:sz w:val="24"/>
                <w:highlight w:val="none"/>
              </w:rPr>
              <w:t>环境管控单元编码：</w:t>
            </w:r>
            <w:r>
              <w:rPr>
                <w:rFonts w:hint="eastAsia"/>
                <w:color w:val="FF0000"/>
                <w:sz w:val="24"/>
                <w:highlight w:val="none"/>
              </w:rPr>
              <w:t>ZH21040310005，属于</w:t>
            </w:r>
            <w:r>
              <w:rPr>
                <w:rFonts w:hint="eastAsia"/>
                <w:color w:val="FF0000"/>
                <w:sz w:val="24"/>
                <w:highlight w:val="none"/>
                <w:lang w:val="en-US" w:eastAsia="zh-CN"/>
              </w:rPr>
              <w:t>优先保护区</w:t>
            </w:r>
            <w:r>
              <w:rPr>
                <w:rFonts w:hint="eastAsia"/>
                <w:color w:val="FF0000"/>
                <w:sz w:val="24"/>
                <w:highlight w:val="none"/>
              </w:rPr>
              <w:t>。</w:t>
            </w:r>
            <w:r>
              <w:rPr>
                <w:color w:val="auto"/>
                <w:sz w:val="24"/>
                <w:highlight w:val="none"/>
              </w:rPr>
              <w:t>本项目与抚顺市生态环境管控基本要</w:t>
            </w:r>
            <w:r>
              <w:rPr>
                <w:rFonts w:hint="eastAsia"/>
                <w:color w:val="auto"/>
                <w:sz w:val="24"/>
                <w:highlight w:val="none"/>
              </w:rPr>
              <w:t>求、东洲区生态环境总体准入</w:t>
            </w:r>
            <w:r>
              <w:rPr>
                <w:rFonts w:hint="eastAsia"/>
                <w:color w:val="000000" w:themeColor="text1"/>
                <w:sz w:val="24"/>
                <w:highlight w:val="none"/>
                <w14:textFill>
                  <w14:solidFill>
                    <w14:schemeClr w14:val="tx1"/>
                  </w14:solidFill>
                </w14:textFill>
              </w:rPr>
              <w:t>要求</w:t>
            </w:r>
            <w:r>
              <w:rPr>
                <w:rFonts w:hint="eastAsia"/>
                <w:color w:val="000000" w:themeColor="text1"/>
                <w:sz w:val="24"/>
                <w:highlight w:val="none"/>
                <w:lang w:val="en-US" w:eastAsia="zh-CN"/>
                <w14:textFill>
                  <w14:solidFill>
                    <w14:schemeClr w14:val="tx1"/>
                  </w14:solidFill>
                </w14:textFill>
              </w:rPr>
              <w:t>及所在管控单元</w:t>
            </w:r>
            <w:r>
              <w:rPr>
                <w:color w:val="000000" w:themeColor="text1"/>
                <w:sz w:val="24"/>
                <w:highlight w:val="none"/>
                <w14:textFill>
                  <w14:solidFill>
                    <w14:schemeClr w14:val="tx1"/>
                  </w14:solidFill>
                </w14:textFill>
              </w:rPr>
              <w:t>符合性分析</w:t>
            </w:r>
            <w:r>
              <w:rPr>
                <w:rFonts w:hint="eastAsia"/>
                <w:color w:val="000000" w:themeColor="text1"/>
                <w:sz w:val="24"/>
                <w:highlight w:val="none"/>
                <w14:textFill>
                  <w14:solidFill>
                    <w14:schemeClr w14:val="tx1"/>
                  </w14:solidFill>
                </w14:textFill>
              </w:rPr>
              <w:t>详见下表</w:t>
            </w:r>
            <w:r>
              <w:rPr>
                <w:color w:val="000000" w:themeColor="text1"/>
                <w:sz w:val="24"/>
                <w:highlight w:val="none"/>
                <w14:textFill>
                  <w14:solidFill>
                    <w14:schemeClr w14:val="tx1"/>
                  </w14:solidFill>
                </w14:textFill>
              </w:rPr>
              <w:t>。</w:t>
            </w:r>
          </w:p>
          <w:p w14:paraId="4E7961E1">
            <w:pPr>
              <w:autoSpaceDE w:val="0"/>
              <w:autoSpaceDN w:val="0"/>
              <w:adjustRightInd w:val="0"/>
              <w:snapToGrid w:val="0"/>
              <w:jc w:val="center"/>
              <w:rPr>
                <w:b/>
                <w:bCs/>
                <w:color w:val="FF0000"/>
                <w:szCs w:val="21"/>
                <w:highlight w:val="none"/>
              </w:rPr>
            </w:pPr>
            <w:r>
              <w:rPr>
                <w:b/>
                <w:bCs/>
                <w:color w:val="FF0000"/>
                <w:szCs w:val="21"/>
                <w:highlight w:val="none"/>
              </w:rPr>
              <w:t>表1-</w:t>
            </w:r>
            <w:r>
              <w:rPr>
                <w:rFonts w:hint="eastAsia"/>
                <w:b/>
                <w:bCs/>
                <w:color w:val="FF0000"/>
                <w:szCs w:val="21"/>
                <w:highlight w:val="none"/>
              </w:rPr>
              <w:t>4</w:t>
            </w:r>
            <w:r>
              <w:rPr>
                <w:b/>
                <w:bCs/>
                <w:color w:val="FF0000"/>
                <w:szCs w:val="21"/>
                <w:highlight w:val="none"/>
              </w:rPr>
              <w:t xml:space="preserve"> 本项目与抚顺市生态环境管控基本要求符合性分析一览表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3"/>
              <w:gridCol w:w="4823"/>
              <w:gridCol w:w="1770"/>
              <w:gridCol w:w="513"/>
            </w:tblGrid>
            <w:tr w14:paraId="0ADA80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tcBorders>
                    <w:tl2br w:val="nil"/>
                    <w:tr2bl w:val="nil"/>
                  </w:tcBorders>
                  <w:vAlign w:val="center"/>
                </w:tcPr>
                <w:p w14:paraId="25412126">
                  <w:pPr>
                    <w:pStyle w:val="13"/>
                    <w:jc w:val="center"/>
                    <w:rPr>
                      <w:b/>
                      <w:bCs/>
                      <w:color w:val="FF0000"/>
                      <w:sz w:val="21"/>
                      <w:szCs w:val="21"/>
                      <w:highlight w:val="none"/>
                    </w:rPr>
                  </w:pPr>
                  <w:r>
                    <w:rPr>
                      <w:b/>
                      <w:bCs/>
                      <w:color w:val="FF0000"/>
                      <w:sz w:val="21"/>
                      <w:szCs w:val="21"/>
                      <w:highlight w:val="none"/>
                    </w:rPr>
                    <w:t>管控维度</w:t>
                  </w:r>
                </w:p>
              </w:tc>
              <w:tc>
                <w:tcPr>
                  <w:tcW w:w="3087" w:type="pct"/>
                  <w:tcBorders>
                    <w:tl2br w:val="nil"/>
                    <w:tr2bl w:val="nil"/>
                  </w:tcBorders>
                  <w:vAlign w:val="center"/>
                </w:tcPr>
                <w:p w14:paraId="7B9490A8">
                  <w:pPr>
                    <w:pStyle w:val="13"/>
                    <w:jc w:val="center"/>
                    <w:rPr>
                      <w:b/>
                      <w:bCs/>
                      <w:color w:val="FF0000"/>
                      <w:sz w:val="21"/>
                      <w:szCs w:val="21"/>
                      <w:highlight w:val="none"/>
                    </w:rPr>
                  </w:pPr>
                  <w:r>
                    <w:rPr>
                      <w:b/>
                      <w:bCs/>
                      <w:color w:val="FF0000"/>
                      <w:sz w:val="21"/>
                      <w:szCs w:val="21"/>
                      <w:highlight w:val="none"/>
                    </w:rPr>
                    <w:t>管控要求</w:t>
                  </w:r>
                </w:p>
              </w:tc>
              <w:tc>
                <w:tcPr>
                  <w:tcW w:w="1133" w:type="pct"/>
                  <w:tcBorders>
                    <w:tl2br w:val="nil"/>
                    <w:tr2bl w:val="nil"/>
                  </w:tcBorders>
                  <w:vAlign w:val="center"/>
                </w:tcPr>
                <w:p w14:paraId="49DC6E47">
                  <w:pPr>
                    <w:pStyle w:val="13"/>
                    <w:jc w:val="center"/>
                    <w:rPr>
                      <w:b/>
                      <w:bCs/>
                      <w:color w:val="FF0000"/>
                      <w:sz w:val="21"/>
                      <w:szCs w:val="21"/>
                      <w:highlight w:val="none"/>
                    </w:rPr>
                  </w:pPr>
                  <w:r>
                    <w:rPr>
                      <w:b/>
                      <w:bCs/>
                      <w:color w:val="FF0000"/>
                      <w:sz w:val="21"/>
                      <w:szCs w:val="21"/>
                      <w:highlight w:val="none"/>
                    </w:rPr>
                    <w:t>本项目情况</w:t>
                  </w:r>
                </w:p>
              </w:tc>
              <w:tc>
                <w:tcPr>
                  <w:tcW w:w="328" w:type="pct"/>
                  <w:tcBorders>
                    <w:tl2br w:val="nil"/>
                    <w:tr2bl w:val="nil"/>
                  </w:tcBorders>
                  <w:vAlign w:val="center"/>
                </w:tcPr>
                <w:p w14:paraId="10460D54">
                  <w:pPr>
                    <w:pStyle w:val="13"/>
                    <w:jc w:val="center"/>
                    <w:rPr>
                      <w:b/>
                      <w:bCs/>
                      <w:color w:val="FF0000"/>
                      <w:sz w:val="21"/>
                      <w:szCs w:val="21"/>
                      <w:highlight w:val="none"/>
                    </w:rPr>
                  </w:pPr>
                  <w:r>
                    <w:rPr>
                      <w:b/>
                      <w:bCs/>
                      <w:color w:val="FF0000"/>
                      <w:sz w:val="21"/>
                      <w:szCs w:val="21"/>
                      <w:highlight w:val="none"/>
                    </w:rPr>
                    <w:t>符合性</w:t>
                  </w:r>
                </w:p>
              </w:tc>
            </w:tr>
            <w:tr w14:paraId="0E6EEB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tcBorders>
                    <w:tl2br w:val="nil"/>
                    <w:tr2bl w:val="nil"/>
                  </w:tcBorders>
                  <w:vAlign w:val="center"/>
                </w:tcPr>
                <w:p w14:paraId="2A4F7D23">
                  <w:pPr>
                    <w:pStyle w:val="13"/>
                    <w:jc w:val="center"/>
                    <w:rPr>
                      <w:color w:val="FF0000"/>
                      <w:sz w:val="21"/>
                      <w:szCs w:val="21"/>
                      <w:highlight w:val="none"/>
                    </w:rPr>
                  </w:pPr>
                  <w:r>
                    <w:rPr>
                      <w:color w:val="FF0000"/>
                      <w:sz w:val="21"/>
                      <w:szCs w:val="21"/>
                      <w:highlight w:val="none"/>
                    </w:rPr>
                    <w:t>空间布局约束</w:t>
                  </w:r>
                </w:p>
              </w:tc>
              <w:tc>
                <w:tcPr>
                  <w:tcW w:w="3087" w:type="pct"/>
                  <w:tcBorders>
                    <w:tl2br w:val="nil"/>
                    <w:tr2bl w:val="nil"/>
                  </w:tcBorders>
                  <w:vAlign w:val="center"/>
                </w:tcPr>
                <w:p w14:paraId="78E8D5A5">
                  <w:pPr>
                    <w:pStyle w:val="6"/>
                    <w:numPr>
                      <w:ilvl w:val="0"/>
                      <w:numId w:val="0"/>
                    </w:numPr>
                    <w:rPr>
                      <w:rFonts w:hint="eastAsia"/>
                      <w:color w:val="FF0000"/>
                      <w:sz w:val="21"/>
                      <w:szCs w:val="21"/>
                      <w:highlight w:val="none"/>
                    </w:rPr>
                  </w:pPr>
                  <w:r>
                    <w:rPr>
                      <w:rFonts w:hint="eastAsia"/>
                      <w:color w:val="FF0000"/>
                      <w:sz w:val="21"/>
                      <w:szCs w:val="21"/>
                      <w:highlight w:val="none"/>
                    </w:rPr>
                    <w:t>1.禁止在自然保护区内进行砍伐、放牧、狩猎、捕捞、采药、开垦、烧荒、开矿、采石、挖沙等活动；但是，法律、行政法规另有规定的除外；禁止任何人进入自然保护区的核心区。因科学研究的需要，必须进入核心区从事科学研究观测、调查活动的，应当事先向自然保护区管理机构提交申请和活动计划，并经自然保护区管理机构批准；禁止在自然保护区的缓冲区开展旅游和生产经营活动。因教学科研的目的，需要进入自然保护区的缓冲区从事非破坏性的科学研究、教学实习和标本采集活动的，应当事先向自然保护区管理机构提交申请和活动计划，经自然保护区管理机构批准。在自然保护区的核心区和缓冲区内，不得建设任何生产设施。在自然保护区的实验区内，不得建设污染环境、破坏资源或者景观的生产设施；建设其他项目，其污染物排放不得超过国家和地方规定的污染物排放标准。在自然保护区的实验区内已经建成的设施，其污染物排放超过国家和地方规定的排放标准的，应当限期治理；造成损害的，必须采取补救措施。</w:t>
                  </w:r>
                </w:p>
                <w:p w14:paraId="30C42883">
                  <w:pPr>
                    <w:pStyle w:val="6"/>
                    <w:numPr>
                      <w:ilvl w:val="0"/>
                      <w:numId w:val="0"/>
                    </w:numPr>
                    <w:rPr>
                      <w:rFonts w:hint="eastAsia"/>
                      <w:color w:val="FF0000"/>
                      <w:sz w:val="21"/>
                      <w:szCs w:val="21"/>
                      <w:highlight w:val="none"/>
                    </w:rPr>
                  </w:pPr>
                  <w:r>
                    <w:rPr>
                      <w:rFonts w:hint="eastAsia"/>
                      <w:color w:val="FF0000"/>
                      <w:sz w:val="21"/>
                      <w:szCs w:val="21"/>
                      <w:highlight w:val="none"/>
                    </w:rPr>
                    <w:t>2.生态保护红线区内原则上禁止人为活动，在符合现行法律法规前提下，除国家重大战略项目外，仅允许对生态功能不造成破坏的有限人为活动，主要包括：零星的原住民在不扩大现有建设用地和耕地规模前提下，修缮生产生活设施，保留生活必需的少量种植、放牧、捕捞、养殖；因国家重大能源资源安全需要开展的战略性能源资源勘查，公益性自然资源调查和地质勘查；自然资源、生态环境监测和执法包括水文水资源监测及涉水违法事件的查处等，灾害防治和应急抢险活动；经依法批准进行的非破坏性科学研究观测、标本采集；经依法批准的考古调查发掘和文物保护活动；不破坏生态功能的适度参观旅游和相关的必要公共设施建设；必须且无法避让、符合县级以上国土空间规划的线性基础设施建设、防洪和供水设施建设与运行维护；重要生态修复工程。一般生态空间严格禁止开发性、生产性建设活动。</w:t>
                  </w:r>
                </w:p>
                <w:p w14:paraId="5EE5BD4E">
                  <w:pPr>
                    <w:pStyle w:val="6"/>
                    <w:numPr>
                      <w:ilvl w:val="0"/>
                      <w:numId w:val="0"/>
                    </w:numPr>
                    <w:rPr>
                      <w:rFonts w:hint="eastAsia"/>
                      <w:color w:val="FF0000"/>
                      <w:sz w:val="21"/>
                      <w:szCs w:val="21"/>
                      <w:highlight w:val="none"/>
                    </w:rPr>
                  </w:pPr>
                  <w:r>
                    <w:rPr>
                      <w:rFonts w:hint="eastAsia"/>
                      <w:color w:val="FF0000"/>
                      <w:sz w:val="21"/>
                      <w:szCs w:val="21"/>
                      <w:highlight w:val="none"/>
                    </w:rPr>
                    <w:t>3.饮用水水源保护区：准保护区内禁止新建、扩建对水体污染严重的建设项目；禁止法律、法规规定的其他可能污染准保护区内水源的活动。二级保护区内禁止新建、改建、扩建排放污染物的建设项目；禁止设置排污口；禁止建设畜禽养殖场、养殖小区；禁止新设探矿、采矿项目；禁止法律、法规规定的其他可能污染二级保护区内水源的活动。一级保护区内禁止新建、扩建、改建与供水设施和保护水源无关的建设项目；禁止可能造成水体污染的船舶通行以及设置码头；禁止从事网箱养殖、旅游、游泳、垂钓、种植农作物；禁止采石、挖砂、取土；禁止设置油库；禁止建立墓地和掩埋动物尸体；禁止法律、法规规定的其他可能污染一级保护区内水源的活动。</w:t>
                  </w:r>
                </w:p>
                <w:p w14:paraId="368CB04A">
                  <w:pPr>
                    <w:pStyle w:val="6"/>
                    <w:numPr>
                      <w:ilvl w:val="0"/>
                      <w:numId w:val="0"/>
                    </w:numPr>
                    <w:rPr>
                      <w:rFonts w:hint="eastAsia"/>
                      <w:color w:val="FF0000"/>
                      <w:sz w:val="21"/>
                      <w:szCs w:val="21"/>
                      <w:highlight w:val="none"/>
                    </w:rPr>
                  </w:pPr>
                  <w:r>
                    <w:rPr>
                      <w:rFonts w:hint="eastAsia"/>
                      <w:color w:val="FF0000"/>
                      <w:sz w:val="21"/>
                      <w:szCs w:val="21"/>
                      <w:highlight w:val="none"/>
                    </w:rPr>
                    <w:t>4.新上“两高”项目必须符合国家产业政策且能效达到行业先进水平，属于限制类和淘汰类的新建项目，一律不予审批、核准；属于限制类技术改造的“两高”项目，确保耗能量、排放量只减不增。</w:t>
                  </w:r>
                </w:p>
                <w:p w14:paraId="2C9B99B4">
                  <w:pPr>
                    <w:pStyle w:val="6"/>
                    <w:numPr>
                      <w:ilvl w:val="0"/>
                      <w:numId w:val="0"/>
                    </w:numPr>
                    <w:rPr>
                      <w:rFonts w:hint="eastAsia"/>
                      <w:color w:val="FF0000"/>
                      <w:sz w:val="21"/>
                      <w:szCs w:val="21"/>
                      <w:highlight w:val="none"/>
                    </w:rPr>
                  </w:pPr>
                  <w:r>
                    <w:rPr>
                      <w:rFonts w:hint="eastAsia"/>
                      <w:color w:val="FF0000"/>
                      <w:sz w:val="21"/>
                      <w:szCs w:val="21"/>
                      <w:highlight w:val="none"/>
                    </w:rPr>
                    <w:t>5.严格建设项目环境准入，提高挥发性有机物（VOCs）排放重点行业环保准入门槛，严格控制新增 VOCs 排放量。对于新建涉VOCs排放的工业企业，应按照建设项目环境影响评价以及产业园区规划环评等要求合理布局。</w:t>
                  </w:r>
                </w:p>
                <w:p w14:paraId="1B745800">
                  <w:pPr>
                    <w:pStyle w:val="6"/>
                    <w:numPr>
                      <w:ilvl w:val="0"/>
                      <w:numId w:val="0"/>
                    </w:numPr>
                    <w:rPr>
                      <w:rFonts w:hint="eastAsia"/>
                      <w:color w:val="FF0000"/>
                      <w:sz w:val="21"/>
                      <w:szCs w:val="21"/>
                      <w:highlight w:val="none"/>
                    </w:rPr>
                  </w:pPr>
                  <w:r>
                    <w:rPr>
                      <w:rFonts w:hint="eastAsia"/>
                      <w:color w:val="FF0000"/>
                      <w:sz w:val="21"/>
                      <w:szCs w:val="21"/>
                      <w:highlight w:val="none"/>
                    </w:rPr>
                    <w:t>6.加快城市建成区重污染企业搬迁改造或关闭退出，市政府已明确的退城企业，要明确时间表，逾期不退城的予以停产。</w:t>
                  </w:r>
                </w:p>
                <w:p w14:paraId="0CEF103E">
                  <w:pPr>
                    <w:pStyle w:val="6"/>
                    <w:numPr>
                      <w:ilvl w:val="0"/>
                      <w:numId w:val="0"/>
                    </w:numPr>
                    <w:rPr>
                      <w:rFonts w:hint="eastAsia"/>
                      <w:color w:val="FF0000"/>
                      <w:sz w:val="21"/>
                      <w:szCs w:val="21"/>
                      <w:highlight w:val="none"/>
                    </w:rPr>
                  </w:pPr>
                  <w:r>
                    <w:rPr>
                      <w:rFonts w:hint="eastAsia"/>
                      <w:color w:val="FF0000"/>
                      <w:sz w:val="21"/>
                      <w:szCs w:val="21"/>
                      <w:highlight w:val="none"/>
                    </w:rPr>
                    <w:t>7</w:t>
                  </w:r>
                  <w:r>
                    <w:rPr>
                      <w:rFonts w:hint="eastAsia"/>
                      <w:color w:val="FF0000"/>
                      <w:sz w:val="21"/>
                      <w:szCs w:val="21"/>
                      <w:highlight w:val="none"/>
                      <w:lang w:eastAsia="zh-CN"/>
                    </w:rPr>
                    <w:t>.</w:t>
                  </w:r>
                  <w:r>
                    <w:rPr>
                      <w:rFonts w:hint="eastAsia"/>
                      <w:color w:val="FF0000"/>
                      <w:sz w:val="21"/>
                      <w:szCs w:val="21"/>
                      <w:highlight w:val="none"/>
                    </w:rPr>
                    <w:t>新建化工类项目应进入化工园区，要符合园区规划及环保相关要求，不得在化工园区外新建、扩建化工项目。</w:t>
                  </w:r>
                </w:p>
                <w:p w14:paraId="0D50B742">
                  <w:pPr>
                    <w:pStyle w:val="6"/>
                    <w:numPr>
                      <w:ilvl w:val="0"/>
                      <w:numId w:val="0"/>
                    </w:numPr>
                    <w:ind w:left="0" w:leftChars="0" w:firstLine="0" w:firstLineChars="0"/>
                    <w:rPr>
                      <w:color w:val="FF0000"/>
                      <w:szCs w:val="21"/>
                      <w:highlight w:val="none"/>
                    </w:rPr>
                  </w:pPr>
                  <w:r>
                    <w:rPr>
                      <w:rFonts w:hint="eastAsia"/>
                      <w:color w:val="FF0000"/>
                      <w:sz w:val="21"/>
                      <w:szCs w:val="21"/>
                      <w:highlight w:val="none"/>
                    </w:rPr>
                    <w:t>8.地下水保护区参照《抚顺市地下水污染防治重点区划分方案》执行。</w:t>
                  </w:r>
                </w:p>
              </w:tc>
              <w:tc>
                <w:tcPr>
                  <w:tcW w:w="1133" w:type="pct"/>
                  <w:tcBorders>
                    <w:tl2br w:val="nil"/>
                    <w:tr2bl w:val="nil"/>
                  </w:tcBorders>
                  <w:vAlign w:val="center"/>
                </w:tcPr>
                <w:p w14:paraId="33E8E1C5">
                  <w:pPr>
                    <w:pStyle w:val="43"/>
                    <w:rPr>
                      <w:rFonts w:hint="default" w:eastAsia="宋体"/>
                      <w:color w:val="FF0000"/>
                      <w:szCs w:val="21"/>
                      <w:highlight w:val="none"/>
                      <w:lang w:val="en-US" w:eastAsia="zh-CN"/>
                    </w:rPr>
                  </w:pPr>
                  <w:r>
                    <w:rPr>
                      <w:rFonts w:hint="eastAsia"/>
                      <w:color w:val="FF0000"/>
                      <w:szCs w:val="21"/>
                      <w:highlight w:val="none"/>
                    </w:rPr>
                    <w:t>1、</w:t>
                  </w:r>
                  <w:r>
                    <w:rPr>
                      <w:color w:val="FF0000"/>
                      <w:szCs w:val="21"/>
                      <w:highlight w:val="none"/>
                    </w:rPr>
                    <w:t>本项目不在自然保护区核心区</w:t>
                  </w:r>
                  <w:r>
                    <w:rPr>
                      <w:rFonts w:hint="eastAsia"/>
                      <w:color w:val="FF0000"/>
                      <w:szCs w:val="21"/>
                      <w:highlight w:val="none"/>
                    </w:rPr>
                    <w:t>及其</w:t>
                  </w:r>
                  <w:r>
                    <w:rPr>
                      <w:rFonts w:hint="eastAsia"/>
                      <w:color w:val="FF0000"/>
                      <w:szCs w:val="21"/>
                      <w:highlight w:val="none"/>
                      <w:lang w:val="en-US" w:eastAsia="zh-CN"/>
                    </w:rPr>
                    <w:t>缓冲</w:t>
                  </w:r>
                  <w:r>
                    <w:rPr>
                      <w:color w:val="FF0000"/>
                      <w:szCs w:val="21"/>
                      <w:highlight w:val="none"/>
                    </w:rPr>
                    <w:t>区内。</w:t>
                  </w:r>
                  <w:r>
                    <w:rPr>
                      <w:rFonts w:hint="eastAsia"/>
                      <w:color w:val="FF0000"/>
                      <w:szCs w:val="21"/>
                      <w:highlight w:val="none"/>
                    </w:rPr>
                    <w:t>2、本项目不在</w:t>
                  </w:r>
                  <w:r>
                    <w:rPr>
                      <w:color w:val="FF0000"/>
                      <w:szCs w:val="21"/>
                      <w:highlight w:val="none"/>
                    </w:rPr>
                    <w:t>生态保护红线区范围、自然保护地核心保护区内</w:t>
                  </w:r>
                  <w:r>
                    <w:rPr>
                      <w:rFonts w:hint="eastAsia"/>
                      <w:color w:val="FF0000"/>
                      <w:szCs w:val="21"/>
                      <w:highlight w:val="none"/>
                    </w:rPr>
                    <w:t>。3、本项目</w:t>
                  </w:r>
                  <w:r>
                    <w:rPr>
                      <w:color w:val="FF0000"/>
                      <w:szCs w:val="21"/>
                      <w:highlight w:val="none"/>
                    </w:rPr>
                    <w:t>不在饮用水水源保护区内范围内</w:t>
                  </w:r>
                  <w:r>
                    <w:rPr>
                      <w:rFonts w:hint="eastAsia"/>
                      <w:color w:val="FF0000"/>
                      <w:szCs w:val="21"/>
                      <w:highlight w:val="none"/>
                    </w:rPr>
                    <w:t>。4、</w:t>
                  </w:r>
                  <w:r>
                    <w:rPr>
                      <w:color w:val="FF0000"/>
                      <w:szCs w:val="21"/>
                      <w:highlight w:val="none"/>
                    </w:rPr>
                    <w:t>本项目属于C3039 其他建筑材料制造行业，不属于“两高项目”。不属于限制类和淘汰类的新建项目</w:t>
                  </w:r>
                  <w:r>
                    <w:rPr>
                      <w:rFonts w:hint="eastAsia"/>
                      <w:color w:val="FF0000"/>
                      <w:szCs w:val="21"/>
                      <w:highlight w:val="none"/>
                    </w:rPr>
                    <w:t>。5、本项目</w:t>
                  </w:r>
                  <w:r>
                    <w:rPr>
                      <w:color w:val="FF0000"/>
                      <w:szCs w:val="21"/>
                      <w:highlight w:val="none"/>
                    </w:rPr>
                    <w:t>不产生挥发性有机物</w:t>
                  </w:r>
                  <w:r>
                    <w:rPr>
                      <w:rFonts w:hint="eastAsia"/>
                      <w:color w:val="FF0000"/>
                      <w:szCs w:val="21"/>
                      <w:highlight w:val="none"/>
                    </w:rPr>
                    <w:t>。6、</w:t>
                  </w:r>
                  <w:r>
                    <w:rPr>
                      <w:color w:val="FF0000"/>
                      <w:szCs w:val="21"/>
                      <w:highlight w:val="none"/>
                    </w:rPr>
                    <w:t>本项目不属于重污染企业。</w:t>
                  </w:r>
                  <w:r>
                    <w:rPr>
                      <w:rFonts w:hint="eastAsia"/>
                      <w:color w:val="FF0000"/>
                      <w:szCs w:val="21"/>
                      <w:highlight w:val="none"/>
                      <w:lang w:val="en-US" w:eastAsia="zh-CN"/>
                    </w:rPr>
                    <w:t>7、本项目不属于化工类项目。8、本项目所在区域不属于地下水保护区。</w:t>
                  </w:r>
                </w:p>
              </w:tc>
              <w:tc>
                <w:tcPr>
                  <w:tcW w:w="328" w:type="pct"/>
                  <w:tcBorders>
                    <w:tl2br w:val="nil"/>
                    <w:tr2bl w:val="nil"/>
                  </w:tcBorders>
                  <w:vAlign w:val="center"/>
                </w:tcPr>
                <w:p w14:paraId="25BCCF2B">
                  <w:pPr>
                    <w:pStyle w:val="13"/>
                    <w:jc w:val="center"/>
                    <w:rPr>
                      <w:color w:val="FF0000"/>
                      <w:sz w:val="21"/>
                      <w:szCs w:val="21"/>
                      <w:highlight w:val="none"/>
                    </w:rPr>
                  </w:pPr>
                  <w:r>
                    <w:rPr>
                      <w:color w:val="FF0000"/>
                      <w:sz w:val="21"/>
                      <w:szCs w:val="21"/>
                      <w:highlight w:val="none"/>
                    </w:rPr>
                    <w:t>符合</w:t>
                  </w:r>
                </w:p>
              </w:tc>
            </w:tr>
            <w:tr w14:paraId="1401B9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tcBorders>
                    <w:tl2br w:val="nil"/>
                    <w:tr2bl w:val="nil"/>
                  </w:tcBorders>
                  <w:vAlign w:val="center"/>
                </w:tcPr>
                <w:p w14:paraId="7C48D77E">
                  <w:pPr>
                    <w:pStyle w:val="13"/>
                    <w:jc w:val="center"/>
                    <w:rPr>
                      <w:color w:val="FF0000"/>
                      <w:sz w:val="21"/>
                      <w:szCs w:val="21"/>
                      <w:highlight w:val="none"/>
                    </w:rPr>
                  </w:pPr>
                  <w:r>
                    <w:rPr>
                      <w:color w:val="FF0000"/>
                      <w:sz w:val="21"/>
                      <w:szCs w:val="21"/>
                      <w:highlight w:val="none"/>
                    </w:rPr>
                    <w:t>污染物排放管控</w:t>
                  </w:r>
                </w:p>
              </w:tc>
              <w:tc>
                <w:tcPr>
                  <w:tcW w:w="3087" w:type="pct"/>
                  <w:tcBorders>
                    <w:tl2br w:val="nil"/>
                    <w:tr2bl w:val="nil"/>
                  </w:tcBorders>
                  <w:vAlign w:val="center"/>
                </w:tcPr>
                <w:p w14:paraId="24DB9369">
                  <w:pPr>
                    <w:pStyle w:val="6"/>
                    <w:rPr>
                      <w:rFonts w:hint="eastAsia"/>
                      <w:color w:val="FF0000"/>
                      <w:sz w:val="21"/>
                      <w:szCs w:val="21"/>
                      <w:highlight w:val="none"/>
                    </w:rPr>
                  </w:pPr>
                  <w:r>
                    <w:rPr>
                      <w:rFonts w:hint="eastAsia"/>
                      <w:color w:val="FF0000"/>
                      <w:sz w:val="21"/>
                      <w:szCs w:val="21"/>
                      <w:highlight w:val="none"/>
                    </w:rPr>
                    <w:t>1. 推进实行特别排放限值和超低排放。新、改、扩建环评项目执行大气污染物特别排放限值，其中城市建成区燃煤锅炉项目大气污染物排放浓度要求满足超低排放要求（在基准氧含量6%条件下，烟尘、二氧化硫、氮氧化物排放浓度不得高于10、35、50毫克/立方米）。</w:t>
                  </w:r>
                </w:p>
                <w:p w14:paraId="090212ED">
                  <w:pPr>
                    <w:pStyle w:val="6"/>
                    <w:rPr>
                      <w:rFonts w:hint="eastAsia"/>
                      <w:color w:val="FF0000"/>
                      <w:sz w:val="21"/>
                      <w:szCs w:val="21"/>
                      <w:highlight w:val="none"/>
                    </w:rPr>
                  </w:pPr>
                  <w:r>
                    <w:rPr>
                      <w:rFonts w:hint="eastAsia"/>
                      <w:color w:val="FF0000"/>
                      <w:sz w:val="21"/>
                      <w:szCs w:val="21"/>
                      <w:highlight w:val="none"/>
                    </w:rPr>
                    <w:t>2. 加快推动实施钢铁等行业超低排放改造，对废气进行收集处理。强化工业企业无组织排放管控，开展钢铁、建材、火电、铸造等重点行业及燃煤锅炉无组织排放排查，建立管理台账，对物料（含废渣）运输、装卸、储存、转移和工艺过程等无组织排放实施深度治理。</w:t>
                  </w:r>
                </w:p>
                <w:p w14:paraId="32299A9C">
                  <w:pPr>
                    <w:pStyle w:val="6"/>
                    <w:rPr>
                      <w:rFonts w:hint="eastAsia"/>
                      <w:color w:val="FF0000"/>
                      <w:sz w:val="21"/>
                      <w:szCs w:val="21"/>
                      <w:highlight w:val="none"/>
                    </w:rPr>
                  </w:pPr>
                  <w:r>
                    <w:rPr>
                      <w:rFonts w:hint="eastAsia"/>
                      <w:color w:val="FF0000"/>
                      <w:sz w:val="21"/>
                      <w:szCs w:val="21"/>
                      <w:highlight w:val="none"/>
                    </w:rPr>
                    <w:t>3. 加大不达标工业炉窑淘汰力度，加快淘汰中小型煤气发生炉。加大落后燃煤锅炉和燃煤小热电退出力度，推动以工业余热、电厂余热、清洁能源等替代煤炭供热（蒸汽）。</w:t>
                  </w:r>
                </w:p>
                <w:p w14:paraId="727F5F19">
                  <w:pPr>
                    <w:pStyle w:val="6"/>
                    <w:rPr>
                      <w:rFonts w:hint="eastAsia"/>
                      <w:color w:val="FF0000"/>
                      <w:sz w:val="21"/>
                      <w:szCs w:val="21"/>
                      <w:highlight w:val="none"/>
                    </w:rPr>
                  </w:pPr>
                  <w:r>
                    <w:rPr>
                      <w:rFonts w:hint="eastAsia"/>
                      <w:color w:val="FF0000"/>
                      <w:sz w:val="21"/>
                      <w:szCs w:val="21"/>
                      <w:highlight w:val="none"/>
                    </w:rPr>
                    <w:t>4. 深入推进碳达峰行动。以钢铁、有色金属建材、石化、化工等行业为重点，推动以二氧化碳为主的温室气体减排，严格落实省下达的碳排放达峰行动目标。实施大气减污降碳协同增效行动。</w:t>
                  </w:r>
                </w:p>
                <w:p w14:paraId="2F9F0A18">
                  <w:pPr>
                    <w:pStyle w:val="6"/>
                    <w:rPr>
                      <w:rFonts w:hint="eastAsia"/>
                      <w:color w:val="FF0000"/>
                      <w:sz w:val="21"/>
                      <w:szCs w:val="21"/>
                      <w:highlight w:val="none"/>
                    </w:rPr>
                  </w:pPr>
                  <w:r>
                    <w:rPr>
                      <w:rFonts w:hint="eastAsia"/>
                      <w:color w:val="FF0000"/>
                      <w:sz w:val="21"/>
                      <w:szCs w:val="21"/>
                      <w:highlight w:val="none"/>
                    </w:rPr>
                    <w:t>5. 水环境质量目标要完成省级控制指标。到2025 年全市河流水质（Ⅲ类及以上水质）优良比例达 100%以上，城市建成区黑臭水体得到消除，城市集中式饮用水水源地水质优良比例达100%，全市地下水水质不下降。到2035年，全市河流水质优良比例进一步提高，巩固城市黑臭水体治理成果，巩固城市集中式饮用水水源地水质优良比例成果，全市地下水质量不下降。2025年区域内水环境污染物COD和氨氮排放量较2020年下降，2035年COD和氨氮排放量进一步下降。</w:t>
                  </w:r>
                </w:p>
                <w:p w14:paraId="575F89BD">
                  <w:pPr>
                    <w:pStyle w:val="6"/>
                    <w:rPr>
                      <w:rFonts w:hint="eastAsia"/>
                      <w:color w:val="FF0000"/>
                      <w:sz w:val="21"/>
                      <w:szCs w:val="21"/>
                      <w:highlight w:val="none"/>
                    </w:rPr>
                  </w:pPr>
                  <w:r>
                    <w:rPr>
                      <w:rFonts w:hint="eastAsia"/>
                      <w:color w:val="FF0000"/>
                      <w:sz w:val="21"/>
                      <w:szCs w:val="21"/>
                      <w:highlight w:val="none"/>
                    </w:rPr>
                    <w:t>6. 大气环境质量目标要完成省级控制指标。2025年PM2.5平均浓度达到35ug/m3的目标，2035年空气质量进一步得到改善。2025 年区域内大气环境污染物二氧化硫、氮氧化物、细颗粒物、VOCs排放量较2020年减少，2035年大气环境污染物排放量进一步减少。</w:t>
                  </w:r>
                </w:p>
                <w:p w14:paraId="2E2A96B9">
                  <w:pPr>
                    <w:pStyle w:val="6"/>
                    <w:numPr>
                      <w:ilvl w:val="0"/>
                      <w:numId w:val="0"/>
                    </w:numPr>
                    <w:rPr>
                      <w:rFonts w:hint="eastAsia"/>
                      <w:color w:val="FF0000"/>
                      <w:sz w:val="21"/>
                      <w:szCs w:val="21"/>
                      <w:highlight w:val="none"/>
                    </w:rPr>
                  </w:pPr>
                  <w:r>
                    <w:rPr>
                      <w:rFonts w:hint="eastAsia" w:ascii="Times New Roman" w:hAnsi="Times New Roman" w:eastAsia="宋体" w:cs="Times New Roman"/>
                      <w:color w:val="FF0000"/>
                      <w:kern w:val="0"/>
                      <w:sz w:val="21"/>
                      <w:szCs w:val="21"/>
                      <w:highlight w:val="none"/>
                      <w:lang w:val="en-US" w:eastAsia="zh-CN" w:bidi="ar-SA"/>
                    </w:rPr>
                    <w:t>7.</w:t>
                  </w:r>
                  <w:r>
                    <w:rPr>
                      <w:rFonts w:hint="eastAsia"/>
                      <w:color w:val="FF0000"/>
                      <w:sz w:val="21"/>
                      <w:szCs w:val="21"/>
                      <w:highlight w:val="none"/>
                    </w:rPr>
                    <w:t>产生一般工业固体废物或危险废物的单位必须建立产生、收集、贮存、运输、利用、处置全过程管理台账，且保存期限不少于5年。</w:t>
                  </w:r>
                </w:p>
                <w:p w14:paraId="4C1B4776">
                  <w:pPr>
                    <w:pStyle w:val="6"/>
                    <w:numPr>
                      <w:ilvl w:val="0"/>
                      <w:numId w:val="0"/>
                    </w:numPr>
                    <w:ind w:left="0" w:leftChars="0" w:firstLine="0" w:firstLineChars="0"/>
                    <w:rPr>
                      <w:color w:val="FF0000"/>
                      <w:szCs w:val="21"/>
                      <w:highlight w:val="none"/>
                    </w:rPr>
                  </w:pPr>
                  <w:r>
                    <w:rPr>
                      <w:rFonts w:hint="eastAsia"/>
                      <w:color w:val="FF0000"/>
                      <w:sz w:val="21"/>
                      <w:szCs w:val="21"/>
                      <w:highlight w:val="none"/>
                    </w:rPr>
                    <w:t>8. 国控点位地下水监测点位达到或优于地下水环境质量V类水质要求。</w:t>
                  </w:r>
                </w:p>
              </w:tc>
              <w:tc>
                <w:tcPr>
                  <w:tcW w:w="1133" w:type="pct"/>
                  <w:tcBorders>
                    <w:tl2br w:val="nil"/>
                    <w:tr2bl w:val="nil"/>
                  </w:tcBorders>
                  <w:vAlign w:val="center"/>
                </w:tcPr>
                <w:p w14:paraId="74E88DB9">
                  <w:pPr>
                    <w:pStyle w:val="43"/>
                    <w:rPr>
                      <w:rFonts w:hint="default" w:eastAsia="宋体"/>
                      <w:b/>
                      <w:bCs/>
                      <w:color w:val="FF0000"/>
                      <w:szCs w:val="21"/>
                      <w:highlight w:val="none"/>
                      <w:lang w:val="en-US" w:eastAsia="zh-CN"/>
                    </w:rPr>
                  </w:pPr>
                  <w:r>
                    <w:rPr>
                      <w:rFonts w:hint="eastAsia"/>
                      <w:color w:val="FF0000"/>
                      <w:szCs w:val="21"/>
                      <w:highlight w:val="none"/>
                    </w:rPr>
                    <w:t>1、</w:t>
                  </w:r>
                  <w:r>
                    <w:rPr>
                      <w:color w:val="FF0000"/>
                      <w:szCs w:val="21"/>
                      <w:highlight w:val="none"/>
                    </w:rPr>
                    <w:t>本项目</w:t>
                  </w:r>
                  <w:r>
                    <w:rPr>
                      <w:rFonts w:hint="eastAsia"/>
                      <w:color w:val="FF0000"/>
                      <w:szCs w:val="21"/>
                      <w:highlight w:val="none"/>
                      <w:lang w:val="en-US" w:eastAsia="zh-CN"/>
                    </w:rPr>
                    <w:t>不涉及锅炉</w:t>
                  </w:r>
                  <w:r>
                    <w:rPr>
                      <w:rFonts w:hint="eastAsia"/>
                      <w:color w:val="FF0000"/>
                      <w:szCs w:val="21"/>
                      <w:highlight w:val="none"/>
                    </w:rPr>
                    <w:t>；2、本项目不涉及钢铁等重点行业；3、</w:t>
                  </w:r>
                  <w:r>
                    <w:rPr>
                      <w:color w:val="FF0000"/>
                      <w:szCs w:val="21"/>
                      <w:highlight w:val="none"/>
                    </w:rPr>
                    <w:t>本项目不涉及工业窑炉和煤气发生炉。</w:t>
                  </w:r>
                  <w:r>
                    <w:rPr>
                      <w:rFonts w:hint="eastAsia"/>
                      <w:color w:val="FF0000"/>
                      <w:szCs w:val="21"/>
                      <w:highlight w:val="none"/>
                    </w:rPr>
                    <w:t>4、</w:t>
                  </w:r>
                  <w:r>
                    <w:rPr>
                      <w:rFonts w:hint="eastAsia"/>
                      <w:color w:val="FF0000"/>
                      <w:szCs w:val="21"/>
                      <w:highlight w:val="none"/>
                      <w:lang w:val="en-US" w:eastAsia="zh-CN"/>
                    </w:rPr>
                    <w:t>本项目不属于“</w:t>
                  </w:r>
                  <w:r>
                    <w:rPr>
                      <w:rFonts w:hint="eastAsia"/>
                      <w:color w:val="FF0000"/>
                      <w:sz w:val="21"/>
                      <w:szCs w:val="21"/>
                      <w:highlight w:val="none"/>
                    </w:rPr>
                    <w:t>钢铁、有色金属建材、石化、化工</w:t>
                  </w:r>
                  <w:r>
                    <w:rPr>
                      <w:rFonts w:hint="eastAsia"/>
                      <w:color w:val="FF0000"/>
                      <w:sz w:val="21"/>
                      <w:szCs w:val="21"/>
                      <w:highlight w:val="none"/>
                      <w:lang w:eastAsia="zh-CN"/>
                    </w:rPr>
                    <w:t>”</w:t>
                  </w:r>
                  <w:r>
                    <w:rPr>
                      <w:rFonts w:hint="eastAsia"/>
                      <w:color w:val="FF0000"/>
                      <w:sz w:val="21"/>
                      <w:szCs w:val="21"/>
                      <w:highlight w:val="none"/>
                    </w:rPr>
                    <w:t>等</w:t>
                  </w:r>
                  <w:r>
                    <w:rPr>
                      <w:rFonts w:hint="eastAsia"/>
                      <w:color w:val="FF0000"/>
                      <w:sz w:val="21"/>
                      <w:szCs w:val="21"/>
                      <w:highlight w:val="none"/>
                      <w:lang w:val="en-US" w:eastAsia="zh-CN"/>
                    </w:rPr>
                    <w:t>重点</w:t>
                  </w:r>
                  <w:r>
                    <w:rPr>
                      <w:rFonts w:hint="eastAsia"/>
                      <w:color w:val="FF0000"/>
                      <w:sz w:val="21"/>
                      <w:szCs w:val="21"/>
                      <w:highlight w:val="none"/>
                    </w:rPr>
                    <w:t>行业</w:t>
                  </w:r>
                  <w:r>
                    <w:rPr>
                      <w:rFonts w:hint="eastAsia"/>
                      <w:color w:val="FF0000"/>
                      <w:sz w:val="21"/>
                      <w:szCs w:val="21"/>
                      <w:highlight w:val="none"/>
                      <w:lang w:eastAsia="zh-CN"/>
                    </w:rPr>
                    <w:t>；</w:t>
                  </w:r>
                  <w:r>
                    <w:rPr>
                      <w:rFonts w:hint="eastAsia"/>
                      <w:color w:val="FF0000"/>
                      <w:sz w:val="21"/>
                      <w:szCs w:val="21"/>
                      <w:highlight w:val="none"/>
                      <w:lang w:val="en-US" w:eastAsia="zh-CN"/>
                    </w:rPr>
                    <w:t>5、</w:t>
                  </w:r>
                  <w:r>
                    <w:rPr>
                      <w:rFonts w:hint="eastAsia"/>
                      <w:color w:val="FF0000"/>
                      <w:szCs w:val="21"/>
                      <w:highlight w:val="none"/>
                    </w:rPr>
                    <w:t>本项目生产废水循环使用不外排，生活废水排入防渗</w:t>
                  </w:r>
                  <w:r>
                    <w:rPr>
                      <w:rFonts w:hint="eastAsia"/>
                      <w:color w:val="FF0000"/>
                      <w:szCs w:val="21"/>
                      <w:highlight w:val="none"/>
                      <w:lang w:val="en-US" w:eastAsia="zh-CN"/>
                    </w:rPr>
                    <w:t>旱厕</w:t>
                  </w:r>
                  <w:r>
                    <w:rPr>
                      <w:rFonts w:hint="eastAsia"/>
                      <w:color w:val="FF0000"/>
                      <w:szCs w:val="21"/>
                      <w:highlight w:val="none"/>
                    </w:rPr>
                    <w:t>，定期清掏，不涉及废水排放；</w:t>
                  </w:r>
                  <w:r>
                    <w:rPr>
                      <w:rFonts w:hint="eastAsia"/>
                      <w:color w:val="FF0000"/>
                      <w:szCs w:val="21"/>
                      <w:highlight w:val="none"/>
                      <w:lang w:val="en-US" w:eastAsia="zh-CN"/>
                    </w:rPr>
                    <w:t>6</w:t>
                  </w:r>
                  <w:r>
                    <w:rPr>
                      <w:rFonts w:hint="eastAsia"/>
                      <w:color w:val="FF0000"/>
                      <w:szCs w:val="21"/>
                      <w:highlight w:val="none"/>
                    </w:rPr>
                    <w:t>、</w:t>
                  </w:r>
                  <w:r>
                    <w:rPr>
                      <w:color w:val="FF0000"/>
                      <w:szCs w:val="21"/>
                      <w:highlight w:val="none"/>
                    </w:rPr>
                    <w:t>本项目大气污染物主要为颗粒物，排放浓度符合《大气污染物综合排放标准》（GB</w:t>
                  </w:r>
                  <w:r>
                    <w:rPr>
                      <w:rFonts w:hint="eastAsia"/>
                      <w:color w:val="FF0000"/>
                      <w:szCs w:val="21"/>
                      <w:highlight w:val="none"/>
                      <w:lang w:val="en-US" w:eastAsia="zh-CN"/>
                    </w:rPr>
                    <w:t xml:space="preserve"> </w:t>
                  </w:r>
                  <w:r>
                    <w:rPr>
                      <w:color w:val="FF0000"/>
                      <w:szCs w:val="21"/>
                      <w:highlight w:val="none"/>
                    </w:rPr>
                    <w:t>16297-1996）表2新污染源大气污染物排放限值</w:t>
                  </w:r>
                  <w:r>
                    <w:rPr>
                      <w:rFonts w:hint="eastAsia"/>
                      <w:color w:val="FF0000"/>
                      <w:szCs w:val="21"/>
                      <w:highlight w:val="none"/>
                      <w:lang w:eastAsia="zh-CN"/>
                    </w:rPr>
                    <w:t>；</w:t>
                  </w:r>
                  <w:r>
                    <w:rPr>
                      <w:rFonts w:hint="eastAsia"/>
                      <w:color w:val="FF0000"/>
                      <w:szCs w:val="21"/>
                      <w:highlight w:val="none"/>
                      <w:lang w:val="en-US" w:eastAsia="zh-CN"/>
                    </w:rPr>
                    <w:t>7、本项目产生废固体废物按要求建立台账，长期存储；8、本项目不涉及废水排放。</w:t>
                  </w:r>
                </w:p>
              </w:tc>
              <w:tc>
                <w:tcPr>
                  <w:tcW w:w="328" w:type="pct"/>
                  <w:tcBorders>
                    <w:tl2br w:val="nil"/>
                    <w:tr2bl w:val="nil"/>
                  </w:tcBorders>
                  <w:vAlign w:val="center"/>
                </w:tcPr>
                <w:p w14:paraId="7EFC1CB2">
                  <w:pPr>
                    <w:pStyle w:val="13"/>
                    <w:jc w:val="center"/>
                    <w:rPr>
                      <w:color w:val="FF0000"/>
                      <w:sz w:val="21"/>
                      <w:szCs w:val="21"/>
                      <w:highlight w:val="none"/>
                    </w:rPr>
                  </w:pPr>
                  <w:r>
                    <w:rPr>
                      <w:color w:val="FF0000"/>
                      <w:sz w:val="21"/>
                      <w:szCs w:val="21"/>
                      <w:highlight w:val="none"/>
                    </w:rPr>
                    <w:t>符合</w:t>
                  </w:r>
                </w:p>
              </w:tc>
            </w:tr>
            <w:tr w14:paraId="34B09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tcBorders>
                    <w:tl2br w:val="nil"/>
                    <w:tr2bl w:val="nil"/>
                  </w:tcBorders>
                  <w:vAlign w:val="center"/>
                </w:tcPr>
                <w:p w14:paraId="52378C31">
                  <w:pPr>
                    <w:pStyle w:val="13"/>
                    <w:jc w:val="center"/>
                    <w:rPr>
                      <w:color w:val="FF0000"/>
                      <w:sz w:val="21"/>
                      <w:szCs w:val="21"/>
                      <w:highlight w:val="none"/>
                    </w:rPr>
                  </w:pPr>
                  <w:r>
                    <w:rPr>
                      <w:color w:val="FF0000"/>
                      <w:sz w:val="21"/>
                      <w:szCs w:val="21"/>
                      <w:highlight w:val="none"/>
                    </w:rPr>
                    <w:t>环境风险管控</w:t>
                  </w:r>
                </w:p>
              </w:tc>
              <w:tc>
                <w:tcPr>
                  <w:tcW w:w="3087" w:type="pct"/>
                  <w:tcBorders>
                    <w:tl2br w:val="nil"/>
                    <w:tr2bl w:val="nil"/>
                  </w:tcBorders>
                  <w:vAlign w:val="center"/>
                </w:tcPr>
                <w:p w14:paraId="413D30B4">
                  <w:pPr>
                    <w:pStyle w:val="6"/>
                    <w:rPr>
                      <w:rFonts w:hint="eastAsia"/>
                      <w:color w:val="FF0000"/>
                      <w:sz w:val="21"/>
                      <w:szCs w:val="21"/>
                      <w:highlight w:val="none"/>
                    </w:rPr>
                  </w:pPr>
                  <w:r>
                    <w:rPr>
                      <w:rFonts w:hint="eastAsia"/>
                      <w:color w:val="FF0000"/>
                      <w:sz w:val="21"/>
                      <w:szCs w:val="21"/>
                      <w:highlight w:val="none"/>
                    </w:rPr>
                    <w:t>1. 严控土壤污染风险，对有色金属矿采选、有色金属冶炼、石油加工、化工、电镀等土壤污染高风险行业企业高度监管。新(改、扩)建涉及有毒有害物质可能造成土壤污染的建设项目，提出并落实土壤和地下水污染防治要求。</w:t>
                  </w:r>
                </w:p>
                <w:p w14:paraId="5AEEFCCA">
                  <w:pPr>
                    <w:pStyle w:val="6"/>
                    <w:rPr>
                      <w:rFonts w:hint="eastAsia"/>
                      <w:color w:val="FF0000"/>
                      <w:sz w:val="21"/>
                      <w:szCs w:val="21"/>
                      <w:highlight w:val="none"/>
                    </w:rPr>
                  </w:pPr>
                  <w:r>
                    <w:rPr>
                      <w:rFonts w:hint="eastAsia"/>
                      <w:color w:val="FF0000"/>
                      <w:sz w:val="21"/>
                      <w:szCs w:val="21"/>
                      <w:highlight w:val="none"/>
                    </w:rPr>
                    <w:t>2. 定期评估饮用水水源保护区、沿河（湖、库）工业企业、工业聚集区环境和健康风险，落实防控措施。评估现有化学物质环境和健康风险，按照国家公布的优先控制目录，严格限制其生产、使用和排放，并逐步淘汰替代。</w:t>
                  </w:r>
                </w:p>
                <w:p w14:paraId="68A3B507">
                  <w:pPr>
                    <w:pStyle w:val="6"/>
                    <w:rPr>
                      <w:rFonts w:hint="eastAsia"/>
                      <w:color w:val="FF0000"/>
                      <w:sz w:val="21"/>
                      <w:szCs w:val="21"/>
                      <w:highlight w:val="none"/>
                    </w:rPr>
                  </w:pPr>
                  <w:r>
                    <w:rPr>
                      <w:rFonts w:hint="eastAsia"/>
                      <w:color w:val="FF0000"/>
                      <w:sz w:val="21"/>
                      <w:szCs w:val="21"/>
                      <w:highlight w:val="none"/>
                    </w:rPr>
                    <w:t>3. 提高危险废物处置利用企业准入标准，推动产业升级，逐步淘汰规模小、工艺水平低的企业。</w:t>
                  </w:r>
                </w:p>
                <w:p w14:paraId="32649324">
                  <w:pPr>
                    <w:pStyle w:val="6"/>
                    <w:rPr>
                      <w:rFonts w:hint="eastAsia"/>
                      <w:color w:val="FF0000"/>
                      <w:sz w:val="21"/>
                      <w:szCs w:val="21"/>
                      <w:highlight w:val="none"/>
                    </w:rPr>
                  </w:pPr>
                  <w:r>
                    <w:rPr>
                      <w:rFonts w:hint="eastAsia"/>
                      <w:color w:val="FF0000"/>
                      <w:sz w:val="21"/>
                      <w:szCs w:val="21"/>
                      <w:highlight w:val="none"/>
                    </w:rPr>
                    <w:t>4. 饮用水水源保护区内：尾矿库企业要建立完善在线安全监测系统，湿排尾矿库要实现对浸润线、库水位等在线监测和重要部位视频监控。</w:t>
                  </w:r>
                </w:p>
                <w:p w14:paraId="7CE980A2">
                  <w:pPr>
                    <w:pStyle w:val="6"/>
                    <w:rPr>
                      <w:rFonts w:hint="eastAsia"/>
                      <w:color w:val="FF0000"/>
                      <w:sz w:val="21"/>
                      <w:szCs w:val="21"/>
                      <w:highlight w:val="none"/>
                    </w:rPr>
                  </w:pPr>
                  <w:r>
                    <w:rPr>
                      <w:rFonts w:hint="eastAsia"/>
                      <w:color w:val="FF0000"/>
                      <w:sz w:val="21"/>
                      <w:szCs w:val="21"/>
                      <w:highlight w:val="none"/>
                    </w:rPr>
                    <w:t>5. 对土壤污染状况普查、详查和监测、现场检查表明有土壤污染风险的建设用地地块，土地使用权人按照规定进行土壤污染状况调查。用途变更为住宅、公共管理与公共服务用地的，变更前应当按照规定进行土壤污染状况调查。</w:t>
                  </w:r>
                </w:p>
                <w:p w14:paraId="2E1AE490">
                  <w:pPr>
                    <w:pStyle w:val="6"/>
                    <w:rPr>
                      <w:rFonts w:hint="eastAsia"/>
                      <w:color w:val="FF0000"/>
                      <w:sz w:val="21"/>
                      <w:szCs w:val="21"/>
                      <w:highlight w:val="none"/>
                    </w:rPr>
                  </w:pPr>
                  <w:r>
                    <w:rPr>
                      <w:rFonts w:hint="eastAsia"/>
                      <w:color w:val="FF0000"/>
                      <w:sz w:val="21"/>
                      <w:szCs w:val="21"/>
                      <w:highlight w:val="none"/>
                    </w:rPr>
                    <w:t>6. 土壤重点监管单位新、改、扩建项目，应当在开展建设项目环境影响评价时，按照国家有关技术规范开展工矿用地土壤和地下水环境现状调查，编制调查报告，并按规定上报环境影响评价基础数据库。</w:t>
                  </w:r>
                </w:p>
                <w:p w14:paraId="2D76BE92">
                  <w:pPr>
                    <w:pStyle w:val="6"/>
                    <w:rPr>
                      <w:rFonts w:hint="eastAsia"/>
                      <w:color w:val="FF0000"/>
                      <w:sz w:val="21"/>
                      <w:szCs w:val="21"/>
                      <w:highlight w:val="none"/>
                    </w:rPr>
                  </w:pPr>
                  <w:r>
                    <w:rPr>
                      <w:rFonts w:hint="eastAsia"/>
                      <w:color w:val="FF0000"/>
                      <w:sz w:val="21"/>
                      <w:szCs w:val="21"/>
                      <w:highlight w:val="none"/>
                    </w:rPr>
                    <w:t>7. 土壤和地下水重点监管单位应严格控制有毒有害物质排放，并按年度向生态环境主管部门报告排放情况。土壤重点监管单位应建立土壤污染隐患排查制度，保证持续有效防止有毒有害物质渗漏、流失、扬散。土壤和地下水重点监管单位应制定、实施自行监测方案，并将监测数据报生态环境主管部门。</w:t>
                  </w:r>
                </w:p>
                <w:p w14:paraId="0D207640">
                  <w:pPr>
                    <w:pStyle w:val="6"/>
                    <w:rPr>
                      <w:rFonts w:hint="eastAsia"/>
                      <w:color w:val="FF0000"/>
                      <w:sz w:val="21"/>
                      <w:szCs w:val="21"/>
                      <w:highlight w:val="none"/>
                    </w:rPr>
                  </w:pPr>
                  <w:r>
                    <w:rPr>
                      <w:rFonts w:hint="eastAsia"/>
                      <w:color w:val="FF0000"/>
                      <w:sz w:val="21"/>
                      <w:szCs w:val="21"/>
                      <w:highlight w:val="none"/>
                    </w:rPr>
                    <w:t>8. 新(改、扩)建涉及有毒有害物质可能造成土壤污染的建设项目，提出并落实土壤和地下水污染防治要求。</w:t>
                  </w:r>
                </w:p>
                <w:p w14:paraId="01F8370A">
                  <w:pPr>
                    <w:pStyle w:val="6"/>
                    <w:rPr>
                      <w:rFonts w:hint="eastAsia"/>
                      <w:color w:val="FF0000"/>
                      <w:sz w:val="21"/>
                      <w:szCs w:val="21"/>
                      <w:highlight w:val="none"/>
                    </w:rPr>
                  </w:pPr>
                  <w:r>
                    <w:rPr>
                      <w:rFonts w:hint="eastAsia"/>
                      <w:color w:val="FF0000"/>
                      <w:sz w:val="21"/>
                      <w:szCs w:val="21"/>
                      <w:highlight w:val="none"/>
                    </w:rPr>
                    <w:t>9. 永久基本农田集中区域禁止规划新建可能造成土壤污染的建设项目。</w:t>
                  </w:r>
                </w:p>
                <w:p w14:paraId="4475E411">
                  <w:pPr>
                    <w:pStyle w:val="6"/>
                    <w:rPr>
                      <w:color w:val="FF0000"/>
                      <w:szCs w:val="21"/>
                      <w:highlight w:val="none"/>
                    </w:rPr>
                  </w:pPr>
                  <w:r>
                    <w:rPr>
                      <w:rFonts w:hint="eastAsia"/>
                      <w:color w:val="FF0000"/>
                      <w:sz w:val="21"/>
                      <w:szCs w:val="21"/>
                      <w:highlight w:val="none"/>
                    </w:rPr>
                    <w:t>10. 严禁未依法完成土壤污染状况调查和风险评估以及未达到风险管控和修复目标的地块开工建设。</w:t>
                  </w:r>
                </w:p>
              </w:tc>
              <w:tc>
                <w:tcPr>
                  <w:tcW w:w="1133" w:type="pct"/>
                  <w:tcBorders>
                    <w:tl2br w:val="nil"/>
                    <w:tr2bl w:val="nil"/>
                  </w:tcBorders>
                  <w:vAlign w:val="center"/>
                </w:tcPr>
                <w:p w14:paraId="7933A5E2">
                  <w:pPr>
                    <w:pStyle w:val="43"/>
                    <w:rPr>
                      <w:rFonts w:hint="default" w:eastAsia="宋体"/>
                      <w:color w:val="FF0000"/>
                      <w:szCs w:val="21"/>
                      <w:highlight w:val="none"/>
                      <w:lang w:val="en-US" w:eastAsia="zh-CN"/>
                    </w:rPr>
                  </w:pPr>
                  <w:r>
                    <w:rPr>
                      <w:rFonts w:hint="eastAsia"/>
                      <w:color w:val="FF0000"/>
                      <w:szCs w:val="21"/>
                      <w:highlight w:val="none"/>
                    </w:rPr>
                    <w:t>1、</w:t>
                  </w:r>
                  <w:r>
                    <w:rPr>
                      <w:color w:val="FF0000"/>
                      <w:szCs w:val="21"/>
                      <w:highlight w:val="none"/>
                    </w:rPr>
                    <w:t>本项目不属于土壤污染高风险行业。</w:t>
                  </w:r>
                  <w:r>
                    <w:rPr>
                      <w:rFonts w:hint="eastAsia"/>
                      <w:color w:val="FF0000"/>
                      <w:szCs w:val="21"/>
                      <w:highlight w:val="none"/>
                    </w:rPr>
                    <w:t>2、本项目</w:t>
                  </w:r>
                  <w:r>
                    <w:rPr>
                      <w:color w:val="FF0000"/>
                      <w:szCs w:val="21"/>
                      <w:highlight w:val="none"/>
                    </w:rPr>
                    <w:t>不在饮用水水源保护区范围、沿河（湖、库）内。</w:t>
                  </w:r>
                  <w:r>
                    <w:rPr>
                      <w:rFonts w:hint="eastAsia"/>
                      <w:color w:val="FF0000"/>
                      <w:szCs w:val="21"/>
                      <w:highlight w:val="none"/>
                    </w:rPr>
                    <w:t>3、</w:t>
                  </w:r>
                  <w:r>
                    <w:rPr>
                      <w:color w:val="FF0000"/>
                      <w:szCs w:val="21"/>
                      <w:highlight w:val="none"/>
                    </w:rPr>
                    <w:t>不属于危险废物处置利用企业。</w:t>
                  </w:r>
                  <w:r>
                    <w:rPr>
                      <w:rFonts w:hint="eastAsia"/>
                      <w:color w:val="FF0000"/>
                      <w:szCs w:val="21"/>
                      <w:highlight w:val="none"/>
                      <w:lang w:val="en-US" w:eastAsia="zh-CN"/>
                    </w:rPr>
                    <w:t>其余控制项目均不涉及。</w:t>
                  </w:r>
                </w:p>
              </w:tc>
              <w:tc>
                <w:tcPr>
                  <w:tcW w:w="328" w:type="pct"/>
                  <w:tcBorders>
                    <w:tl2br w:val="nil"/>
                    <w:tr2bl w:val="nil"/>
                  </w:tcBorders>
                  <w:vAlign w:val="center"/>
                </w:tcPr>
                <w:p w14:paraId="224212EA">
                  <w:pPr>
                    <w:pStyle w:val="13"/>
                    <w:jc w:val="center"/>
                    <w:rPr>
                      <w:color w:val="FF0000"/>
                      <w:sz w:val="21"/>
                      <w:szCs w:val="21"/>
                      <w:highlight w:val="none"/>
                    </w:rPr>
                  </w:pPr>
                  <w:r>
                    <w:rPr>
                      <w:color w:val="FF0000"/>
                      <w:sz w:val="21"/>
                      <w:szCs w:val="21"/>
                      <w:highlight w:val="none"/>
                    </w:rPr>
                    <w:t>符合</w:t>
                  </w:r>
                </w:p>
              </w:tc>
            </w:tr>
            <w:tr w14:paraId="3D72A7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50" w:type="pct"/>
                  <w:tcBorders>
                    <w:tl2br w:val="nil"/>
                    <w:tr2bl w:val="nil"/>
                  </w:tcBorders>
                  <w:vAlign w:val="center"/>
                </w:tcPr>
                <w:p w14:paraId="36E7D460">
                  <w:pPr>
                    <w:pStyle w:val="13"/>
                    <w:jc w:val="center"/>
                    <w:rPr>
                      <w:color w:val="FF0000"/>
                      <w:sz w:val="21"/>
                      <w:szCs w:val="21"/>
                      <w:highlight w:val="none"/>
                    </w:rPr>
                  </w:pPr>
                  <w:r>
                    <w:rPr>
                      <w:color w:val="FF0000"/>
                      <w:sz w:val="21"/>
                      <w:szCs w:val="21"/>
                      <w:highlight w:val="none"/>
                    </w:rPr>
                    <w:t>资源开发效率要求</w:t>
                  </w:r>
                </w:p>
              </w:tc>
              <w:tc>
                <w:tcPr>
                  <w:tcW w:w="3087" w:type="pct"/>
                  <w:tcBorders>
                    <w:tl2br w:val="nil"/>
                    <w:tr2bl w:val="nil"/>
                  </w:tcBorders>
                  <w:vAlign w:val="center"/>
                </w:tcPr>
                <w:p w14:paraId="28173105">
                  <w:pPr>
                    <w:pStyle w:val="6"/>
                    <w:rPr>
                      <w:rFonts w:hint="eastAsia"/>
                      <w:color w:val="FF0000"/>
                      <w:sz w:val="21"/>
                      <w:szCs w:val="21"/>
                      <w:highlight w:val="none"/>
                    </w:rPr>
                  </w:pPr>
                  <w:r>
                    <w:rPr>
                      <w:rFonts w:hint="eastAsia"/>
                      <w:color w:val="FF0000"/>
                      <w:sz w:val="21"/>
                      <w:szCs w:val="21"/>
                      <w:highlight w:val="none"/>
                    </w:rPr>
                    <w:t>1. 到2025年，全市生产总值能耗比2020年下降，煤炭占能源消费总量比重下降，电煤占煤炭消费量比重提高，非石化能源消费占能源消费总量比重提高，天然气消费比重提高。新生产燃煤工业锅炉效率和燃气锅炉效率提高。</w:t>
                  </w:r>
                </w:p>
                <w:p w14:paraId="6ABCA07C">
                  <w:pPr>
                    <w:pStyle w:val="6"/>
                    <w:rPr>
                      <w:rFonts w:hint="eastAsia"/>
                      <w:color w:val="FF0000"/>
                      <w:sz w:val="21"/>
                      <w:szCs w:val="21"/>
                      <w:highlight w:val="none"/>
                    </w:rPr>
                  </w:pPr>
                  <w:r>
                    <w:rPr>
                      <w:rFonts w:hint="eastAsia"/>
                      <w:color w:val="FF0000"/>
                      <w:sz w:val="21"/>
                      <w:szCs w:val="21"/>
                      <w:highlight w:val="none"/>
                    </w:rPr>
                    <w:t>2. 到2025年，单位地区生产总值二氧化碳排放比2020年下降确保完成辽宁省下达指标。</w:t>
                  </w:r>
                </w:p>
                <w:p w14:paraId="13B84D74">
                  <w:pPr>
                    <w:pStyle w:val="6"/>
                    <w:rPr>
                      <w:rFonts w:hint="eastAsia"/>
                      <w:color w:val="FF0000"/>
                      <w:sz w:val="21"/>
                      <w:szCs w:val="21"/>
                      <w:highlight w:val="none"/>
                    </w:rPr>
                  </w:pPr>
                  <w:r>
                    <w:rPr>
                      <w:rFonts w:hint="eastAsia"/>
                      <w:color w:val="FF0000"/>
                      <w:sz w:val="21"/>
                      <w:szCs w:val="21"/>
                      <w:highlight w:val="none"/>
                    </w:rPr>
                    <w:t>3. 除依据城市供热专项规划确需保留的供暖锅炉以外，城市建成区20蒸吨/小时（或14兆瓦）及以下燃煤锅炉全部予以淘汰。</w:t>
                  </w:r>
                </w:p>
                <w:p w14:paraId="7DBCF19E">
                  <w:pPr>
                    <w:pStyle w:val="6"/>
                    <w:rPr>
                      <w:rFonts w:hint="eastAsia"/>
                      <w:color w:val="FF0000"/>
                      <w:sz w:val="21"/>
                      <w:szCs w:val="21"/>
                      <w:highlight w:val="none"/>
                    </w:rPr>
                  </w:pPr>
                  <w:r>
                    <w:rPr>
                      <w:rFonts w:hint="eastAsia"/>
                      <w:color w:val="FF0000"/>
                      <w:sz w:val="21"/>
                      <w:szCs w:val="21"/>
                      <w:highlight w:val="none"/>
                    </w:rPr>
                    <w:t>4. 禁燃区内不得新建、扩建高污染燃料燃用设施，对于禁燃区内现有的高污染燃料燃用设施，应按照市、区政府规定的期限予以拆除或者改用天然气、液化石油气、电等清洁能源。禁燃区内禁止销售、使用高污染燃料，包括除单台出力大于等于20蒸吨/小时锅炉以外燃用的煤炭及其制品；石油焦、油页岩、原油、重油、渣油、煤焦油。对于新建、扩建燃用高污染燃料设施，销售、燃用高污染燃料以及超标排放大气污染物的，由生态环境、市场监管等部门依法查处。</w:t>
                  </w:r>
                </w:p>
                <w:p w14:paraId="03849FFC">
                  <w:pPr>
                    <w:pStyle w:val="6"/>
                    <w:rPr>
                      <w:rFonts w:hint="eastAsia"/>
                      <w:color w:val="FF0000"/>
                      <w:sz w:val="21"/>
                      <w:szCs w:val="21"/>
                      <w:highlight w:val="none"/>
                    </w:rPr>
                  </w:pPr>
                  <w:r>
                    <w:rPr>
                      <w:rFonts w:hint="eastAsia"/>
                      <w:color w:val="FF0000"/>
                      <w:sz w:val="21"/>
                      <w:szCs w:val="21"/>
                      <w:highlight w:val="none"/>
                    </w:rPr>
                    <w:t>5. 2025年区域用水总量比2020年减少，农田灌溉水有效利用系数高于0.587，万元工业增加值用水量比2020年降低，万元GDP用水量比 2020年降低。</w:t>
                  </w:r>
                </w:p>
                <w:p w14:paraId="5E6EA5C3">
                  <w:pPr>
                    <w:pStyle w:val="6"/>
                    <w:rPr>
                      <w:rFonts w:hint="eastAsia"/>
                      <w:color w:val="FF0000"/>
                      <w:sz w:val="21"/>
                      <w:szCs w:val="21"/>
                      <w:highlight w:val="none"/>
                    </w:rPr>
                  </w:pPr>
                  <w:r>
                    <w:rPr>
                      <w:rFonts w:hint="eastAsia"/>
                      <w:color w:val="FF0000"/>
                      <w:sz w:val="21"/>
                      <w:szCs w:val="21"/>
                      <w:highlight w:val="none"/>
                    </w:rPr>
                    <w:t>6. 严禁未依法完成土壤污染状况调查和风险评估以及未达到风险管控和修复目标的地块开工建设。</w:t>
                  </w:r>
                </w:p>
                <w:p w14:paraId="19570498">
                  <w:pPr>
                    <w:pStyle w:val="6"/>
                    <w:rPr>
                      <w:color w:val="FF0000"/>
                      <w:szCs w:val="21"/>
                      <w:highlight w:val="none"/>
                    </w:rPr>
                  </w:pPr>
                  <w:r>
                    <w:rPr>
                      <w:rFonts w:hint="eastAsia"/>
                      <w:color w:val="FF0000"/>
                      <w:sz w:val="21"/>
                      <w:szCs w:val="21"/>
                      <w:highlight w:val="none"/>
                    </w:rPr>
                    <w:t>7. 永久基本农田集中区域禁止规划新建可能造成土壤污染的建设项目。</w:t>
                  </w:r>
                </w:p>
              </w:tc>
              <w:tc>
                <w:tcPr>
                  <w:tcW w:w="1133" w:type="pct"/>
                  <w:tcBorders>
                    <w:tl2br w:val="nil"/>
                    <w:tr2bl w:val="nil"/>
                  </w:tcBorders>
                  <w:vAlign w:val="center"/>
                </w:tcPr>
                <w:p w14:paraId="7BF36068">
                  <w:pPr>
                    <w:pStyle w:val="43"/>
                    <w:rPr>
                      <w:color w:val="FF0000"/>
                      <w:szCs w:val="21"/>
                      <w:highlight w:val="none"/>
                    </w:rPr>
                  </w:pPr>
                  <w:r>
                    <w:rPr>
                      <w:rFonts w:hint="eastAsia"/>
                      <w:color w:val="FF0000"/>
                      <w:szCs w:val="21"/>
                      <w:highlight w:val="none"/>
                    </w:rPr>
                    <w:t>1、</w:t>
                  </w:r>
                  <w:r>
                    <w:rPr>
                      <w:color w:val="FF0000"/>
                      <w:szCs w:val="21"/>
                      <w:highlight w:val="none"/>
                    </w:rPr>
                    <w:t>本项目不涉及</w:t>
                  </w:r>
                  <w:r>
                    <w:rPr>
                      <w:rFonts w:hint="eastAsia"/>
                      <w:color w:val="FF0000"/>
                      <w:szCs w:val="21"/>
                      <w:highlight w:val="none"/>
                    </w:rPr>
                    <w:t>煤炭使用、</w:t>
                  </w:r>
                  <w:r>
                    <w:rPr>
                      <w:color w:val="FF0000"/>
                      <w:szCs w:val="21"/>
                      <w:highlight w:val="none"/>
                    </w:rPr>
                    <w:t>燃煤锅炉和燃气锅炉。</w:t>
                  </w:r>
                  <w:r>
                    <w:rPr>
                      <w:rFonts w:hint="eastAsia"/>
                      <w:color w:val="FF0000"/>
                      <w:szCs w:val="21"/>
                      <w:highlight w:val="none"/>
                    </w:rPr>
                    <w:t>2、本项目位于辽宁省抚顺市东洲区哈达镇小寨子村，不属于城市建成区，不涉及燃煤锅炉；3、本项目不</w:t>
                  </w:r>
                  <w:r>
                    <w:rPr>
                      <w:rFonts w:hint="eastAsia"/>
                      <w:color w:val="FF0000"/>
                      <w:szCs w:val="21"/>
                      <w:highlight w:val="none"/>
                      <w:lang w:val="en-US" w:eastAsia="zh-CN"/>
                    </w:rPr>
                    <w:t>属于禁燃区，不</w:t>
                  </w:r>
                  <w:r>
                    <w:rPr>
                      <w:rFonts w:hint="eastAsia"/>
                      <w:color w:val="FF0000"/>
                      <w:szCs w:val="21"/>
                      <w:highlight w:val="none"/>
                    </w:rPr>
                    <w:t>建设燃用设施；4、</w:t>
                  </w:r>
                  <w:r>
                    <w:rPr>
                      <w:rFonts w:ascii="Times New Roman" w:hAnsi="Times New Roman"/>
                      <w:color w:val="FF0000"/>
                      <w:highlight w:val="none"/>
                    </w:rPr>
                    <w:t>本项目用水量符合《辽宁省行业用水定额》（DB21/T 1237-2020）</w:t>
                  </w:r>
                  <w:r>
                    <w:rPr>
                      <w:rFonts w:hint="eastAsia" w:ascii="Times New Roman" w:hAnsi="Times New Roman"/>
                      <w:color w:val="FF0000"/>
                      <w:highlight w:val="none"/>
                      <w:lang w:eastAsia="zh-CN"/>
                    </w:rPr>
                    <w:t>，</w:t>
                  </w:r>
                  <w:r>
                    <w:rPr>
                      <w:rFonts w:ascii="Times New Roman" w:hAnsi="Times New Roman"/>
                      <w:color w:val="FF0000"/>
                      <w:highlight w:val="none"/>
                    </w:rPr>
                    <w:t>用水全部外购，且用水量较少</w:t>
                  </w:r>
                  <w:r>
                    <w:rPr>
                      <w:rFonts w:hint="eastAsia"/>
                      <w:color w:val="FF0000"/>
                      <w:szCs w:val="21"/>
                      <w:highlight w:val="none"/>
                    </w:rPr>
                    <w:t>。</w:t>
                  </w:r>
                </w:p>
              </w:tc>
              <w:tc>
                <w:tcPr>
                  <w:tcW w:w="328" w:type="pct"/>
                  <w:tcBorders>
                    <w:tl2br w:val="nil"/>
                    <w:tr2bl w:val="nil"/>
                  </w:tcBorders>
                  <w:vAlign w:val="center"/>
                </w:tcPr>
                <w:p w14:paraId="3011DDBB">
                  <w:pPr>
                    <w:pStyle w:val="13"/>
                    <w:jc w:val="center"/>
                    <w:rPr>
                      <w:color w:val="FF0000"/>
                      <w:sz w:val="21"/>
                      <w:szCs w:val="21"/>
                      <w:highlight w:val="none"/>
                    </w:rPr>
                  </w:pPr>
                  <w:r>
                    <w:rPr>
                      <w:color w:val="FF0000"/>
                      <w:sz w:val="21"/>
                      <w:szCs w:val="21"/>
                      <w:highlight w:val="none"/>
                    </w:rPr>
                    <w:t>符合</w:t>
                  </w:r>
                </w:p>
              </w:tc>
            </w:tr>
          </w:tbl>
          <w:p w14:paraId="363E0E3F">
            <w:pPr>
              <w:pStyle w:val="13"/>
              <w:jc w:val="center"/>
              <w:rPr>
                <w:b/>
                <w:bCs/>
                <w:color w:val="FF0000"/>
                <w:sz w:val="21"/>
                <w:szCs w:val="21"/>
                <w:highlight w:val="none"/>
              </w:rPr>
            </w:pPr>
            <w:r>
              <w:rPr>
                <w:rFonts w:hint="eastAsia"/>
                <w:b/>
                <w:bCs/>
                <w:color w:val="FF0000"/>
                <w:sz w:val="21"/>
                <w:szCs w:val="21"/>
                <w:highlight w:val="none"/>
              </w:rPr>
              <w:t>表1-5  本项目与《东洲区生态环境总体准入要求》</w:t>
            </w:r>
            <w:r>
              <w:rPr>
                <w:b/>
                <w:bCs/>
                <w:color w:val="FF0000"/>
                <w:sz w:val="21"/>
                <w:szCs w:val="21"/>
                <w:highlight w:val="none"/>
              </w:rPr>
              <w:t>符合性分析</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7"/>
              <w:gridCol w:w="4466"/>
              <w:gridCol w:w="2226"/>
              <w:gridCol w:w="500"/>
            </w:tblGrid>
            <w:tr w14:paraId="57985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95" w:type="pct"/>
                  <w:tcBorders>
                    <w:tl2br w:val="nil"/>
                    <w:tr2bl w:val="nil"/>
                  </w:tcBorders>
                  <w:vAlign w:val="center"/>
                </w:tcPr>
                <w:p w14:paraId="18FC7C8E">
                  <w:pPr>
                    <w:pStyle w:val="13"/>
                    <w:jc w:val="center"/>
                    <w:rPr>
                      <w:b/>
                      <w:bCs/>
                      <w:color w:val="FF0000"/>
                      <w:sz w:val="21"/>
                      <w:szCs w:val="21"/>
                      <w:highlight w:val="none"/>
                    </w:rPr>
                  </w:pPr>
                  <w:r>
                    <w:rPr>
                      <w:b/>
                      <w:bCs/>
                      <w:color w:val="FF0000"/>
                      <w:sz w:val="21"/>
                      <w:szCs w:val="21"/>
                      <w:highlight w:val="none"/>
                    </w:rPr>
                    <w:t>管控维度</w:t>
                  </w:r>
                </w:p>
              </w:tc>
              <w:tc>
                <w:tcPr>
                  <w:tcW w:w="2859" w:type="pct"/>
                  <w:tcBorders>
                    <w:tl2br w:val="nil"/>
                    <w:tr2bl w:val="nil"/>
                  </w:tcBorders>
                  <w:vAlign w:val="center"/>
                </w:tcPr>
                <w:p w14:paraId="393A57FA">
                  <w:pPr>
                    <w:pStyle w:val="13"/>
                    <w:jc w:val="center"/>
                    <w:rPr>
                      <w:b/>
                      <w:bCs/>
                      <w:color w:val="FF0000"/>
                      <w:sz w:val="21"/>
                      <w:szCs w:val="21"/>
                      <w:highlight w:val="none"/>
                    </w:rPr>
                  </w:pPr>
                  <w:r>
                    <w:rPr>
                      <w:b/>
                      <w:bCs/>
                      <w:color w:val="FF0000"/>
                      <w:sz w:val="21"/>
                      <w:szCs w:val="21"/>
                      <w:highlight w:val="none"/>
                    </w:rPr>
                    <w:t>管控要求</w:t>
                  </w:r>
                </w:p>
              </w:tc>
              <w:tc>
                <w:tcPr>
                  <w:tcW w:w="1425" w:type="pct"/>
                  <w:tcBorders>
                    <w:tl2br w:val="nil"/>
                    <w:tr2bl w:val="nil"/>
                  </w:tcBorders>
                  <w:vAlign w:val="center"/>
                </w:tcPr>
                <w:p w14:paraId="2AAC5514">
                  <w:pPr>
                    <w:pStyle w:val="13"/>
                    <w:jc w:val="center"/>
                    <w:rPr>
                      <w:b/>
                      <w:bCs/>
                      <w:color w:val="FF0000"/>
                      <w:sz w:val="21"/>
                      <w:szCs w:val="21"/>
                      <w:highlight w:val="none"/>
                    </w:rPr>
                  </w:pPr>
                  <w:r>
                    <w:rPr>
                      <w:b/>
                      <w:bCs/>
                      <w:color w:val="FF0000"/>
                      <w:sz w:val="21"/>
                      <w:szCs w:val="21"/>
                      <w:highlight w:val="none"/>
                    </w:rPr>
                    <w:t>本项目情况</w:t>
                  </w:r>
                </w:p>
              </w:tc>
              <w:tc>
                <w:tcPr>
                  <w:tcW w:w="320" w:type="pct"/>
                  <w:tcBorders>
                    <w:tl2br w:val="nil"/>
                    <w:tr2bl w:val="nil"/>
                  </w:tcBorders>
                  <w:vAlign w:val="center"/>
                </w:tcPr>
                <w:p w14:paraId="14F74CDA">
                  <w:pPr>
                    <w:pStyle w:val="13"/>
                    <w:jc w:val="center"/>
                    <w:rPr>
                      <w:b/>
                      <w:bCs/>
                      <w:color w:val="FF0000"/>
                      <w:sz w:val="21"/>
                      <w:szCs w:val="21"/>
                      <w:highlight w:val="none"/>
                    </w:rPr>
                  </w:pPr>
                  <w:r>
                    <w:rPr>
                      <w:b/>
                      <w:bCs/>
                      <w:color w:val="FF0000"/>
                      <w:sz w:val="21"/>
                      <w:szCs w:val="21"/>
                      <w:highlight w:val="none"/>
                    </w:rPr>
                    <w:t>符合性</w:t>
                  </w:r>
                </w:p>
              </w:tc>
            </w:tr>
            <w:tr w14:paraId="62FE60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3" w:hRule="atLeast"/>
              </w:trPr>
              <w:tc>
                <w:tcPr>
                  <w:tcW w:w="395" w:type="pct"/>
                  <w:vMerge w:val="restart"/>
                  <w:tcBorders>
                    <w:tl2br w:val="nil"/>
                    <w:tr2bl w:val="nil"/>
                  </w:tcBorders>
                  <w:vAlign w:val="center"/>
                </w:tcPr>
                <w:p w14:paraId="6B4CE782">
                  <w:pPr>
                    <w:pStyle w:val="13"/>
                    <w:jc w:val="center"/>
                    <w:rPr>
                      <w:color w:val="FF0000"/>
                      <w:sz w:val="21"/>
                      <w:szCs w:val="21"/>
                      <w:highlight w:val="none"/>
                    </w:rPr>
                  </w:pPr>
                  <w:r>
                    <w:rPr>
                      <w:color w:val="FF0000"/>
                      <w:sz w:val="21"/>
                      <w:szCs w:val="21"/>
                      <w:highlight w:val="none"/>
                    </w:rPr>
                    <w:t>空间布局约束</w:t>
                  </w:r>
                </w:p>
              </w:tc>
              <w:tc>
                <w:tcPr>
                  <w:tcW w:w="2859" w:type="pct"/>
                  <w:tcBorders>
                    <w:tl2br w:val="nil"/>
                    <w:tr2bl w:val="nil"/>
                  </w:tcBorders>
                  <w:vAlign w:val="center"/>
                </w:tcPr>
                <w:p w14:paraId="19107230">
                  <w:pPr>
                    <w:pStyle w:val="23"/>
                    <w:ind w:left="0"/>
                    <w:jc w:val="center"/>
                    <w:rPr>
                      <w:rFonts w:ascii="Times New Roman" w:hAnsi="Times New Roman"/>
                      <w:color w:val="FF0000"/>
                      <w:highlight w:val="none"/>
                    </w:rPr>
                  </w:pPr>
                  <w:r>
                    <w:rPr>
                      <w:rFonts w:hint="eastAsia" w:ascii="Times New Roman" w:hAnsi="Times New Roman"/>
                      <w:color w:val="FF0000"/>
                      <w:highlight w:val="none"/>
                    </w:rPr>
                    <w:t>禁止开发建设活动的要求1.执行辽宁省“三线一单”各类空间管控要求及抚顺市总体准入要求；2.生态保护红线和各类自然保护地要严格按照《生态保护红线管理办法》《风景名胜区条例》《辽宁省风景名胜保护管理暂行条例》《辽宁省大伙房饮用水水源保护条例》(2020年3月30日第二次修正)、《中华人民共和国自然保护区条例》（2017年10月7日修订）等进行管控；3.严控新建燃煤锅炉，淘汰建成区20蒸吨/小时（或 14兆瓦）及以下燃煤锅炉及工业园区内10蒸吨/小时（或7兆瓦）及以下全部燃煤锅炉，加快替代散烧煤供暖。积极探索城中村、城乡结合部和农村地区采用清洁能源取暖模式；4.禁止污染严重、不符合产业政策的工业企业；5.依据国家部分工业行业淘汰落后生产工艺装备和产品指导目录、产业结构调整指导目录及相关行业污染物排放标准，淘汰落后产能，完成落后产能淘汰（搬迁）工作。</w:t>
                  </w:r>
                </w:p>
              </w:tc>
              <w:tc>
                <w:tcPr>
                  <w:tcW w:w="1425" w:type="pct"/>
                  <w:tcBorders>
                    <w:tl2br w:val="nil"/>
                    <w:tr2bl w:val="nil"/>
                  </w:tcBorders>
                  <w:vAlign w:val="center"/>
                </w:tcPr>
                <w:p w14:paraId="1F127E26">
                  <w:pPr>
                    <w:pStyle w:val="23"/>
                    <w:ind w:left="0" w:leftChars="0"/>
                    <w:jc w:val="center"/>
                    <w:rPr>
                      <w:rFonts w:ascii="Times New Roman" w:hAnsi="Times New Roman"/>
                      <w:color w:val="FF0000"/>
                      <w:highlight w:val="none"/>
                    </w:rPr>
                  </w:pPr>
                  <w:r>
                    <w:rPr>
                      <w:rFonts w:hint="eastAsia" w:ascii="Times New Roman" w:hAnsi="Times New Roman"/>
                      <w:color w:val="FF0000"/>
                      <w:highlight w:val="none"/>
                    </w:rPr>
                    <w:t>1.本项目符合辽宁省“三线一单”各类空间管控要求及抚顺市总体准入要求</w:t>
                  </w:r>
                  <w:r>
                    <w:rPr>
                      <w:rFonts w:ascii="Times New Roman" w:hAnsi="Times New Roman"/>
                      <w:color w:val="FF0000"/>
                      <w:highlight w:val="none"/>
                    </w:rPr>
                    <w:t>；</w:t>
                  </w:r>
                  <w:r>
                    <w:rPr>
                      <w:rFonts w:hint="eastAsia" w:ascii="Times New Roman" w:hAnsi="Times New Roman"/>
                      <w:color w:val="FF0000"/>
                      <w:highlight w:val="none"/>
                    </w:rPr>
                    <w:t>2.</w:t>
                  </w:r>
                  <w:r>
                    <w:rPr>
                      <w:rFonts w:ascii="Times New Roman" w:hAnsi="Times New Roman"/>
                      <w:color w:val="FF0000"/>
                      <w:highlight w:val="none"/>
                    </w:rPr>
                    <w:t>本项目不涉及生态保护红线和各类自然保护地等</w:t>
                  </w:r>
                  <w:r>
                    <w:rPr>
                      <w:rFonts w:hint="eastAsia" w:ascii="Times New Roman" w:hAnsi="Times New Roman"/>
                      <w:color w:val="FF0000"/>
                      <w:highlight w:val="none"/>
                      <w:lang w:eastAsia="zh-CN"/>
                    </w:rPr>
                    <w:t>，</w:t>
                  </w:r>
                  <w:r>
                    <w:rPr>
                      <w:rFonts w:hint="eastAsia" w:ascii="Times New Roman" w:hAnsi="Times New Roman"/>
                      <w:color w:val="FF0000"/>
                      <w:highlight w:val="none"/>
                      <w:lang w:val="en-US" w:eastAsia="zh-CN"/>
                    </w:rPr>
                    <w:t>本项目不在大伙房饮用水水源保护区、准保护区内</w:t>
                  </w:r>
                  <w:r>
                    <w:rPr>
                      <w:rFonts w:hint="eastAsia" w:ascii="Times New Roman" w:hAnsi="Times New Roman"/>
                      <w:color w:val="FF0000"/>
                      <w:highlight w:val="none"/>
                    </w:rPr>
                    <w:t>；3.本项目不涉及锅炉；4.本项目</w:t>
                  </w:r>
                  <w:r>
                    <w:rPr>
                      <w:rFonts w:hint="eastAsia" w:ascii="Times New Roman" w:hAnsi="Times New Roman"/>
                      <w:color w:val="FF0000"/>
                      <w:highlight w:val="none"/>
                      <w:lang w:val="en-US" w:eastAsia="zh-CN"/>
                    </w:rPr>
                    <w:t>不属于污染严重项目，</w:t>
                  </w:r>
                  <w:r>
                    <w:rPr>
                      <w:rFonts w:hint="eastAsia" w:ascii="Times New Roman" w:hAnsi="Times New Roman"/>
                      <w:color w:val="FF0000"/>
                      <w:highlight w:val="none"/>
                    </w:rPr>
                    <w:t>符合产业政策；5.本项目不属于落后产能</w:t>
                  </w:r>
                </w:p>
              </w:tc>
              <w:tc>
                <w:tcPr>
                  <w:tcW w:w="320" w:type="pct"/>
                  <w:vMerge w:val="restart"/>
                  <w:tcBorders>
                    <w:tl2br w:val="nil"/>
                    <w:tr2bl w:val="nil"/>
                  </w:tcBorders>
                  <w:vAlign w:val="center"/>
                </w:tcPr>
                <w:p w14:paraId="2AE37F4D">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49BE14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3" w:hRule="atLeast"/>
              </w:trPr>
              <w:tc>
                <w:tcPr>
                  <w:tcW w:w="395" w:type="pct"/>
                  <w:vMerge w:val="continue"/>
                  <w:tcBorders>
                    <w:tl2br w:val="nil"/>
                    <w:tr2bl w:val="nil"/>
                  </w:tcBorders>
                  <w:vAlign w:val="center"/>
                </w:tcPr>
                <w:p w14:paraId="28876855">
                  <w:pPr>
                    <w:pStyle w:val="23"/>
                    <w:jc w:val="center"/>
                    <w:rPr>
                      <w:rFonts w:ascii="Times New Roman" w:hAnsi="Times New Roman"/>
                      <w:color w:val="FF0000"/>
                      <w:highlight w:val="none"/>
                    </w:rPr>
                  </w:pPr>
                </w:p>
              </w:tc>
              <w:tc>
                <w:tcPr>
                  <w:tcW w:w="2859" w:type="pct"/>
                  <w:tcBorders>
                    <w:tl2br w:val="nil"/>
                    <w:tr2bl w:val="nil"/>
                  </w:tcBorders>
                  <w:vAlign w:val="center"/>
                </w:tcPr>
                <w:p w14:paraId="1426B83E">
                  <w:pPr>
                    <w:jc w:val="center"/>
                    <w:rPr>
                      <w:rFonts w:hint="eastAsia"/>
                      <w:color w:val="FF0000"/>
                      <w:highlight w:val="none"/>
                    </w:rPr>
                  </w:pPr>
                  <w:r>
                    <w:rPr>
                      <w:rFonts w:hint="eastAsia"/>
                      <w:color w:val="FF0000"/>
                      <w:highlight w:val="none"/>
                    </w:rPr>
                    <w:t>限制开发建设活动的要求</w:t>
                  </w:r>
                </w:p>
                <w:p w14:paraId="6AE98668">
                  <w:pPr>
                    <w:jc w:val="center"/>
                    <w:rPr>
                      <w:color w:val="FF0000"/>
                      <w:highlight w:val="none"/>
                    </w:rPr>
                  </w:pPr>
                  <w:r>
                    <w:rPr>
                      <w:rFonts w:hint="eastAsia"/>
                      <w:color w:val="FF0000"/>
                      <w:highlight w:val="none"/>
                    </w:rPr>
                    <w:t>1. 执行辽宁省“三线一单”各类空间管控要求及抚顺市总体准入要求；2.严格执行高耗能、高污染和资源型行业准入条件。积极推行区域、规划环境影响评价。</w:t>
                  </w:r>
                </w:p>
              </w:tc>
              <w:tc>
                <w:tcPr>
                  <w:tcW w:w="1425" w:type="pct"/>
                  <w:tcBorders>
                    <w:tl2br w:val="nil"/>
                    <w:tr2bl w:val="nil"/>
                  </w:tcBorders>
                  <w:vAlign w:val="center"/>
                </w:tcPr>
                <w:p w14:paraId="0B2262E9">
                  <w:pPr>
                    <w:pStyle w:val="23"/>
                    <w:ind w:left="0"/>
                    <w:jc w:val="center"/>
                    <w:rPr>
                      <w:rFonts w:ascii="Times New Roman" w:hAnsi="Times New Roman"/>
                      <w:color w:val="FF0000"/>
                      <w:highlight w:val="none"/>
                    </w:rPr>
                  </w:pPr>
                  <w:r>
                    <w:rPr>
                      <w:rFonts w:hint="eastAsia" w:ascii="Times New Roman" w:hAnsi="Times New Roman"/>
                      <w:color w:val="FF0000"/>
                      <w:highlight w:val="none"/>
                      <w:lang w:val="en-US" w:eastAsia="zh-CN"/>
                    </w:rPr>
                    <w:t>1.本项目符合“三线一单”管控要求和抚顺市准入要求；2.</w:t>
                  </w:r>
                  <w:r>
                    <w:rPr>
                      <w:rFonts w:ascii="Times New Roman" w:hAnsi="Times New Roman"/>
                      <w:color w:val="FF0000"/>
                      <w:highlight w:val="none"/>
                    </w:rPr>
                    <w:t>本项目不涉及高耗能、高污染和资源型行业；本项目不涉及区域、规划环境影响评价。</w:t>
                  </w:r>
                </w:p>
              </w:tc>
              <w:tc>
                <w:tcPr>
                  <w:tcW w:w="320" w:type="pct"/>
                  <w:vMerge w:val="continue"/>
                  <w:tcBorders>
                    <w:tl2br w:val="nil"/>
                    <w:tr2bl w:val="nil"/>
                  </w:tcBorders>
                  <w:vAlign w:val="center"/>
                </w:tcPr>
                <w:p w14:paraId="3F764D4A">
                  <w:pPr>
                    <w:pStyle w:val="23"/>
                    <w:ind w:left="0"/>
                    <w:jc w:val="center"/>
                    <w:rPr>
                      <w:rFonts w:ascii="Times New Roman" w:hAnsi="Times New Roman"/>
                      <w:color w:val="FF0000"/>
                      <w:highlight w:val="none"/>
                    </w:rPr>
                  </w:pPr>
                </w:p>
              </w:tc>
            </w:tr>
            <w:tr w14:paraId="557AE4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23" w:hRule="atLeast"/>
              </w:trPr>
              <w:tc>
                <w:tcPr>
                  <w:tcW w:w="395" w:type="pct"/>
                  <w:vMerge w:val="continue"/>
                  <w:tcBorders>
                    <w:tl2br w:val="nil"/>
                    <w:tr2bl w:val="nil"/>
                  </w:tcBorders>
                  <w:vAlign w:val="center"/>
                </w:tcPr>
                <w:p w14:paraId="3748561E">
                  <w:pPr>
                    <w:pStyle w:val="23"/>
                    <w:jc w:val="center"/>
                    <w:rPr>
                      <w:rFonts w:ascii="Times New Roman" w:hAnsi="Times New Roman"/>
                      <w:color w:val="FF0000"/>
                      <w:highlight w:val="none"/>
                    </w:rPr>
                  </w:pPr>
                </w:p>
              </w:tc>
              <w:tc>
                <w:tcPr>
                  <w:tcW w:w="2859" w:type="pct"/>
                  <w:tcBorders>
                    <w:tl2br w:val="nil"/>
                    <w:tr2bl w:val="nil"/>
                  </w:tcBorders>
                  <w:vAlign w:val="center"/>
                </w:tcPr>
                <w:p w14:paraId="79CF9F3E">
                  <w:pPr>
                    <w:pStyle w:val="11"/>
                    <w:spacing w:after="0" w:line="240" w:lineRule="auto"/>
                    <w:ind w:left="0" w:leftChars="0"/>
                    <w:jc w:val="center"/>
                    <w:rPr>
                      <w:rFonts w:hint="eastAsia"/>
                      <w:color w:val="FF0000"/>
                      <w:highlight w:val="none"/>
                    </w:rPr>
                  </w:pPr>
                  <w:r>
                    <w:rPr>
                      <w:rFonts w:hint="eastAsia"/>
                      <w:color w:val="FF0000"/>
                      <w:highlight w:val="none"/>
                    </w:rPr>
                    <w:t>允许开发建设活动的要求</w:t>
                  </w:r>
                </w:p>
                <w:p w14:paraId="7C6E6D9D">
                  <w:pPr>
                    <w:pStyle w:val="11"/>
                    <w:spacing w:after="0" w:line="240" w:lineRule="auto"/>
                    <w:ind w:left="0" w:leftChars="0"/>
                    <w:jc w:val="center"/>
                    <w:rPr>
                      <w:color w:val="FF0000"/>
                      <w:highlight w:val="none"/>
                    </w:rPr>
                  </w:pPr>
                  <w:r>
                    <w:rPr>
                      <w:rFonts w:hint="eastAsia"/>
                      <w:color w:val="FF0000"/>
                      <w:highlight w:val="none"/>
                    </w:rPr>
                    <w:t>在不损害生态系统功能的前提下，适度发展旅游、农林牧产品生产和加工、生态农业、休闲农业等产业。</w:t>
                  </w:r>
                </w:p>
              </w:tc>
              <w:tc>
                <w:tcPr>
                  <w:tcW w:w="1425" w:type="pct"/>
                  <w:tcBorders>
                    <w:tl2br w:val="nil"/>
                    <w:tr2bl w:val="nil"/>
                  </w:tcBorders>
                  <w:vAlign w:val="center"/>
                </w:tcPr>
                <w:p w14:paraId="4D78D79E">
                  <w:pPr>
                    <w:pStyle w:val="23"/>
                    <w:ind w:left="0" w:leftChars="0"/>
                    <w:jc w:val="center"/>
                    <w:rPr>
                      <w:rFonts w:ascii="Times New Roman" w:hAnsi="Times New Roman"/>
                      <w:color w:val="FF0000"/>
                      <w:highlight w:val="none"/>
                    </w:rPr>
                  </w:pPr>
                  <w:r>
                    <w:rPr>
                      <w:rFonts w:ascii="Times New Roman" w:hAnsi="Times New Roman"/>
                      <w:color w:val="FF0000"/>
                      <w:highlight w:val="none"/>
                    </w:rPr>
                    <w:t>本项目各类污染物均采取有效的处理措施，项目建成后不会损害当地生态系统功能。</w:t>
                  </w:r>
                </w:p>
              </w:tc>
              <w:tc>
                <w:tcPr>
                  <w:tcW w:w="320" w:type="pct"/>
                  <w:vMerge w:val="continue"/>
                  <w:tcBorders>
                    <w:tl2br w:val="nil"/>
                    <w:tr2bl w:val="nil"/>
                  </w:tcBorders>
                  <w:vAlign w:val="center"/>
                </w:tcPr>
                <w:p w14:paraId="1BC8A538">
                  <w:pPr>
                    <w:pStyle w:val="23"/>
                    <w:ind w:left="0"/>
                    <w:jc w:val="center"/>
                    <w:rPr>
                      <w:rFonts w:ascii="Times New Roman" w:hAnsi="Times New Roman"/>
                      <w:color w:val="FF0000"/>
                      <w:highlight w:val="none"/>
                    </w:rPr>
                  </w:pPr>
                </w:p>
              </w:tc>
            </w:tr>
            <w:tr w14:paraId="22B1B7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395" w:type="pct"/>
                  <w:vMerge w:val="continue"/>
                  <w:tcBorders>
                    <w:tl2br w:val="nil"/>
                    <w:tr2bl w:val="nil"/>
                  </w:tcBorders>
                  <w:vAlign w:val="center"/>
                </w:tcPr>
                <w:p w14:paraId="4BDD8AAF">
                  <w:pPr>
                    <w:pStyle w:val="23"/>
                    <w:jc w:val="center"/>
                    <w:rPr>
                      <w:rFonts w:ascii="Times New Roman" w:hAnsi="Times New Roman"/>
                      <w:color w:val="FF0000"/>
                      <w:highlight w:val="none"/>
                    </w:rPr>
                  </w:pPr>
                </w:p>
              </w:tc>
              <w:tc>
                <w:tcPr>
                  <w:tcW w:w="2859" w:type="pct"/>
                  <w:tcBorders>
                    <w:tl2br w:val="nil"/>
                    <w:tr2bl w:val="nil"/>
                  </w:tcBorders>
                  <w:vAlign w:val="center"/>
                </w:tcPr>
                <w:p w14:paraId="53813E6B">
                  <w:pPr>
                    <w:pStyle w:val="23"/>
                    <w:ind w:left="0" w:leftChars="0"/>
                    <w:jc w:val="center"/>
                    <w:rPr>
                      <w:rFonts w:hint="eastAsia" w:ascii="Times New Roman" w:hAnsi="Times New Roman"/>
                      <w:color w:val="FF0000"/>
                      <w:highlight w:val="none"/>
                    </w:rPr>
                  </w:pPr>
                  <w:r>
                    <w:rPr>
                      <w:rFonts w:hint="eastAsia" w:ascii="Times New Roman" w:hAnsi="Times New Roman"/>
                      <w:color w:val="FF0000"/>
                      <w:highlight w:val="none"/>
                    </w:rPr>
                    <w:t>不符合空间布局要求活动的退出要求</w:t>
                  </w:r>
                </w:p>
                <w:p w14:paraId="36327B43">
                  <w:pPr>
                    <w:rPr>
                      <w:color w:val="FF0000"/>
                      <w:highlight w:val="none"/>
                    </w:rPr>
                  </w:pPr>
                  <w:r>
                    <w:rPr>
                      <w:rFonts w:hint="eastAsia"/>
                      <w:color w:val="FF0000"/>
                      <w:highlight w:val="none"/>
                    </w:rPr>
                    <w:t>1. 执行辽宁省“三线一单”各类空间管控要求及抚顺市总体准入要求；2.依法清理饮用水水源保护区内违法建筑和排污口，加快一、二级保护区内违法建筑的清拆工作；3. 加快建成区重污染企业搬迁改造或关闭退出。市政府已明确的退城企业，要明确时间表，逾期不退城的予以停产；4. 全面取缔禁养区内规模化畜禽养殖场。</w:t>
                  </w:r>
                </w:p>
              </w:tc>
              <w:tc>
                <w:tcPr>
                  <w:tcW w:w="1425" w:type="pct"/>
                  <w:tcBorders>
                    <w:tl2br w:val="nil"/>
                    <w:tr2bl w:val="nil"/>
                  </w:tcBorders>
                  <w:vAlign w:val="center"/>
                </w:tcPr>
                <w:p w14:paraId="5144648E">
                  <w:pPr>
                    <w:pStyle w:val="23"/>
                    <w:ind w:left="0" w:leftChars="0"/>
                    <w:jc w:val="center"/>
                    <w:rPr>
                      <w:rFonts w:ascii="Times New Roman" w:hAnsi="Times New Roman"/>
                      <w:color w:val="FF0000"/>
                      <w:highlight w:val="none"/>
                    </w:rPr>
                  </w:pPr>
                  <w:r>
                    <w:rPr>
                      <w:rFonts w:ascii="Times New Roman" w:hAnsi="Times New Roman"/>
                      <w:color w:val="FF0000"/>
                      <w:highlight w:val="none"/>
                    </w:rPr>
                    <w:t>1.本项目符合辽宁省“三线一单”各类空间管控要求及抚顺市总体准入要求；</w:t>
                  </w:r>
                  <w:r>
                    <w:rPr>
                      <w:rFonts w:hint="eastAsia" w:ascii="Times New Roman" w:hAnsi="Times New Roman"/>
                      <w:color w:val="FF0000"/>
                      <w:highlight w:val="none"/>
                    </w:rPr>
                    <w:t>2.</w:t>
                  </w:r>
                  <w:r>
                    <w:rPr>
                      <w:rFonts w:ascii="Times New Roman" w:hAnsi="Times New Roman"/>
                      <w:color w:val="FF0000"/>
                      <w:highlight w:val="none"/>
                    </w:rPr>
                    <w:t>本项目不涉及饮用水水源保护区；</w:t>
                  </w:r>
                  <w:r>
                    <w:rPr>
                      <w:rFonts w:hint="eastAsia" w:ascii="Times New Roman" w:hAnsi="Times New Roman"/>
                      <w:color w:val="FF0000"/>
                      <w:highlight w:val="none"/>
                    </w:rPr>
                    <w:t>3.</w:t>
                  </w:r>
                  <w:r>
                    <w:rPr>
                      <w:rFonts w:ascii="Times New Roman" w:hAnsi="Times New Roman"/>
                      <w:color w:val="FF0000"/>
                      <w:highlight w:val="none"/>
                    </w:rPr>
                    <w:t>本项目不属于退城企业</w:t>
                  </w:r>
                  <w:r>
                    <w:rPr>
                      <w:rFonts w:hint="eastAsia" w:ascii="Times New Roman" w:hAnsi="Times New Roman"/>
                      <w:color w:val="FF0000"/>
                      <w:highlight w:val="none"/>
                    </w:rPr>
                    <w:t>4.本项目不属于规模化畜禽养殖场</w:t>
                  </w:r>
                </w:p>
              </w:tc>
              <w:tc>
                <w:tcPr>
                  <w:tcW w:w="320" w:type="pct"/>
                  <w:vMerge w:val="continue"/>
                  <w:tcBorders>
                    <w:tl2br w:val="nil"/>
                    <w:tr2bl w:val="nil"/>
                  </w:tcBorders>
                  <w:vAlign w:val="center"/>
                </w:tcPr>
                <w:p w14:paraId="4B996FD8">
                  <w:pPr>
                    <w:pStyle w:val="23"/>
                    <w:ind w:left="0"/>
                    <w:jc w:val="center"/>
                    <w:rPr>
                      <w:rFonts w:ascii="Times New Roman" w:hAnsi="Times New Roman"/>
                      <w:color w:val="FF0000"/>
                      <w:highlight w:val="none"/>
                    </w:rPr>
                  </w:pPr>
                </w:p>
              </w:tc>
            </w:tr>
            <w:tr w14:paraId="1ACAD40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95" w:type="pct"/>
                  <w:vMerge w:val="restart"/>
                  <w:tcBorders>
                    <w:tl2br w:val="nil"/>
                    <w:tr2bl w:val="nil"/>
                  </w:tcBorders>
                  <w:vAlign w:val="center"/>
                </w:tcPr>
                <w:p w14:paraId="19E4D14C">
                  <w:pPr>
                    <w:pStyle w:val="13"/>
                    <w:jc w:val="center"/>
                    <w:rPr>
                      <w:color w:val="FF0000"/>
                      <w:sz w:val="21"/>
                      <w:szCs w:val="21"/>
                      <w:highlight w:val="none"/>
                    </w:rPr>
                  </w:pPr>
                  <w:r>
                    <w:rPr>
                      <w:color w:val="FF0000"/>
                      <w:sz w:val="21"/>
                      <w:szCs w:val="21"/>
                      <w:highlight w:val="none"/>
                    </w:rPr>
                    <w:t>污染物排放管控</w:t>
                  </w:r>
                </w:p>
              </w:tc>
              <w:tc>
                <w:tcPr>
                  <w:tcW w:w="2859" w:type="pct"/>
                  <w:tcBorders>
                    <w:tl2br w:val="nil"/>
                    <w:tr2bl w:val="nil"/>
                  </w:tcBorders>
                  <w:vAlign w:val="center"/>
                </w:tcPr>
                <w:p w14:paraId="64C8937D">
                  <w:pPr>
                    <w:pStyle w:val="23"/>
                    <w:ind w:left="0"/>
                    <w:jc w:val="center"/>
                    <w:rPr>
                      <w:rFonts w:hint="eastAsia" w:ascii="Times New Roman" w:hAnsi="Times New Roman"/>
                      <w:color w:val="FF0000"/>
                      <w:highlight w:val="none"/>
                    </w:rPr>
                  </w:pPr>
                  <w:r>
                    <w:rPr>
                      <w:rFonts w:hint="eastAsia" w:ascii="Times New Roman" w:hAnsi="Times New Roman"/>
                      <w:color w:val="FF0000"/>
                      <w:highlight w:val="none"/>
                    </w:rPr>
                    <w:t>现有源提标升级改造</w:t>
                  </w:r>
                </w:p>
                <w:p w14:paraId="3295E7EC">
                  <w:pPr>
                    <w:rPr>
                      <w:color w:val="FF0000"/>
                      <w:highlight w:val="none"/>
                    </w:rPr>
                  </w:pPr>
                  <w:r>
                    <w:rPr>
                      <w:rFonts w:hint="eastAsia"/>
                      <w:color w:val="FF0000"/>
                      <w:highlight w:val="none"/>
                    </w:rPr>
                    <w:t>1. 推进实行特别排放限值和超低排放；2. 推动实施钢铁等行业超低排放改造，并对废气进行收集处理。强化工业企业无组织排放管控。开展建材、火电、铸造等重点行业及燃煤锅炉无组织排放排查，建立管理台账，对物料（含废渣）运输、装卸、储存、转移和工艺过程等无组织排放实施深度治理；3. 加大不达标工业炉窑淘汰力度，加快淘汰中小型煤气发生炉；4. 加快城镇污水处理设施建设与改造，城镇污水处理厂要全部达到《城镇污水处理厂污染物排放标准》一级A 排放标准。现有城镇污水处理设施，要因地制宜进行改造。</w:t>
                  </w:r>
                </w:p>
              </w:tc>
              <w:tc>
                <w:tcPr>
                  <w:tcW w:w="1425" w:type="pct"/>
                  <w:tcBorders>
                    <w:tl2br w:val="nil"/>
                    <w:tr2bl w:val="nil"/>
                  </w:tcBorders>
                  <w:vAlign w:val="center"/>
                </w:tcPr>
                <w:p w14:paraId="255156C9">
                  <w:pPr>
                    <w:pStyle w:val="23"/>
                    <w:ind w:left="0"/>
                    <w:jc w:val="center"/>
                    <w:rPr>
                      <w:rFonts w:ascii="Times New Roman" w:hAnsi="Times New Roman"/>
                      <w:color w:val="FF0000"/>
                      <w:highlight w:val="none"/>
                    </w:rPr>
                  </w:pPr>
                  <w:r>
                    <w:rPr>
                      <w:rFonts w:ascii="Times New Roman" w:hAnsi="Times New Roman"/>
                      <w:color w:val="FF0000"/>
                      <w:highlight w:val="none"/>
                    </w:rPr>
                    <w:t>1、本项目在实施相应的环境保护措施后可以实现达标排放；2、本项目不涉及钢铁行业；3、本项目不涉及工业炉窑、中小型煤气发生炉；4、本项目用水量符合《辽宁省行业用水定额》（DB21/T 1237-2020）</w:t>
                  </w:r>
                  <w:r>
                    <w:rPr>
                      <w:rFonts w:hint="eastAsia" w:ascii="Times New Roman" w:hAnsi="Times New Roman"/>
                      <w:color w:val="FF0000"/>
                      <w:highlight w:val="none"/>
                    </w:rPr>
                    <w:t>，</w:t>
                  </w:r>
                  <w:r>
                    <w:rPr>
                      <w:rFonts w:hint="eastAsia" w:ascii="Times New Roman" w:hAnsi="Times New Roman"/>
                      <w:color w:val="FF0000"/>
                      <w:szCs w:val="21"/>
                      <w:highlight w:val="none"/>
                    </w:rPr>
                    <w:t>本项目生产废水</w:t>
                  </w:r>
                  <w:r>
                    <w:rPr>
                      <w:rFonts w:hint="eastAsia"/>
                      <w:color w:val="FF0000"/>
                      <w:szCs w:val="21"/>
                      <w:highlight w:val="none"/>
                    </w:rPr>
                    <w:t>循环使用不外排</w:t>
                  </w:r>
                  <w:r>
                    <w:rPr>
                      <w:rFonts w:ascii="Times New Roman" w:hAnsi="Times New Roman"/>
                      <w:color w:val="FF0000"/>
                      <w:highlight w:val="none"/>
                    </w:rPr>
                    <w:t>，生活废水排入防渗</w:t>
                  </w:r>
                  <w:r>
                    <w:rPr>
                      <w:rFonts w:hint="eastAsia"/>
                      <w:color w:val="FF0000"/>
                      <w:szCs w:val="21"/>
                      <w:highlight w:val="none"/>
                      <w:lang w:val="en-US" w:eastAsia="zh-CN"/>
                    </w:rPr>
                    <w:t>旱厕</w:t>
                  </w:r>
                  <w:r>
                    <w:rPr>
                      <w:rFonts w:ascii="Times New Roman" w:hAnsi="Times New Roman"/>
                      <w:color w:val="FF0000"/>
                      <w:highlight w:val="none"/>
                    </w:rPr>
                    <w:t>定期清掏，不涉及废水排放。</w:t>
                  </w:r>
                </w:p>
              </w:tc>
              <w:tc>
                <w:tcPr>
                  <w:tcW w:w="320" w:type="pct"/>
                  <w:vMerge w:val="restart"/>
                  <w:tcBorders>
                    <w:tl2br w:val="nil"/>
                    <w:tr2bl w:val="nil"/>
                  </w:tcBorders>
                  <w:vAlign w:val="center"/>
                </w:tcPr>
                <w:p w14:paraId="7EB6EAFF">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54199E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1" w:hRule="atLeast"/>
              </w:trPr>
              <w:tc>
                <w:tcPr>
                  <w:tcW w:w="395" w:type="pct"/>
                  <w:vMerge w:val="continue"/>
                  <w:tcBorders>
                    <w:tl2br w:val="nil"/>
                    <w:tr2bl w:val="nil"/>
                  </w:tcBorders>
                  <w:vAlign w:val="center"/>
                </w:tcPr>
                <w:p w14:paraId="53BE61E6">
                  <w:pPr>
                    <w:pStyle w:val="23"/>
                    <w:jc w:val="center"/>
                    <w:rPr>
                      <w:rFonts w:ascii="Times New Roman" w:hAnsi="Times New Roman"/>
                      <w:color w:val="FF0000"/>
                      <w:highlight w:val="none"/>
                    </w:rPr>
                  </w:pPr>
                </w:p>
              </w:tc>
              <w:tc>
                <w:tcPr>
                  <w:tcW w:w="2859" w:type="pct"/>
                  <w:tcBorders>
                    <w:tl2br w:val="nil"/>
                    <w:tr2bl w:val="nil"/>
                  </w:tcBorders>
                  <w:vAlign w:val="center"/>
                </w:tcPr>
                <w:p w14:paraId="1BBDC617">
                  <w:pPr>
                    <w:pStyle w:val="23"/>
                    <w:ind w:left="0"/>
                    <w:jc w:val="center"/>
                    <w:rPr>
                      <w:rFonts w:hint="eastAsia" w:ascii="Times New Roman" w:hAnsi="Times New Roman"/>
                      <w:color w:val="FF0000"/>
                      <w:highlight w:val="none"/>
                    </w:rPr>
                  </w:pPr>
                  <w:r>
                    <w:rPr>
                      <w:rFonts w:hint="eastAsia" w:ascii="Times New Roman" w:hAnsi="Times New Roman"/>
                      <w:color w:val="FF0000"/>
                      <w:highlight w:val="none"/>
                    </w:rPr>
                    <w:t>削减排放量</w:t>
                  </w:r>
                </w:p>
                <w:p w14:paraId="712B67EC">
                  <w:pPr>
                    <w:rPr>
                      <w:color w:val="FF0000"/>
                      <w:highlight w:val="none"/>
                    </w:rPr>
                  </w:pPr>
                  <w:r>
                    <w:rPr>
                      <w:rFonts w:hint="eastAsia"/>
                      <w:color w:val="FF0000"/>
                      <w:highlight w:val="none"/>
                    </w:rPr>
                    <w:t>1. 水环境质量目标要完成市级控制指标。到 2025 年全市河流水质（Ⅲ类及以上水质）优良比例达100%以上，城市建成区黑臭水体得到消除，城市集中式饮用水水源地水质优良比例达100%，全市地下水水质不下降。到2035年，全市河流水质优良比例进一步提高，巩固城市黑臭水体治理成果，巩固城市集中式饮用水水源地水质优良比例成果，全市地下水质量不下降。2025年区域内水环境污染物COD和氨氮排放量较2020年下降，2035年COD和氨氮排放量进一步下降。2. 大气环境质量目标要完成市级控制指标。2025年PM2.5平均浓度达到35ug/m</w:t>
                  </w:r>
                  <w:r>
                    <w:rPr>
                      <w:rFonts w:hint="eastAsia"/>
                      <w:color w:val="FF0000"/>
                      <w:highlight w:val="none"/>
                      <w:vertAlign w:val="superscript"/>
                    </w:rPr>
                    <w:t>3</w:t>
                  </w:r>
                  <w:r>
                    <w:rPr>
                      <w:rFonts w:hint="eastAsia"/>
                      <w:color w:val="FF0000"/>
                      <w:highlight w:val="none"/>
                    </w:rPr>
                    <w:t>的目标，2035年空气质量进一步得到改善。2025年区域内大气环境污染物二氧化硫、氮氧化物、细颗粒物、VOCs排放量较 2020年减少，2035年大气环境污染物排放量进一步减少。3. 到2025年，化工行业、工业涂装VOCs排放量比2020年减少，包装印刷行业VOCs排放量比2020年减少。重点工程实施挥发性有机物减排。4. 到2025年重点行业的重点重金属排放量要比2020年下降。</w:t>
                  </w:r>
                </w:p>
              </w:tc>
              <w:tc>
                <w:tcPr>
                  <w:tcW w:w="1425" w:type="pct"/>
                  <w:tcBorders>
                    <w:tl2br w:val="nil"/>
                    <w:tr2bl w:val="nil"/>
                  </w:tcBorders>
                  <w:vAlign w:val="center"/>
                </w:tcPr>
                <w:p w14:paraId="5360FEC6">
                  <w:pPr>
                    <w:pStyle w:val="23"/>
                    <w:ind w:left="0"/>
                    <w:jc w:val="center"/>
                    <w:rPr>
                      <w:rFonts w:ascii="Times New Roman" w:hAnsi="Times New Roman"/>
                      <w:color w:val="FF0000"/>
                      <w:highlight w:val="none"/>
                    </w:rPr>
                  </w:pPr>
                  <w:r>
                    <w:rPr>
                      <w:rFonts w:ascii="Times New Roman" w:hAnsi="Times New Roman"/>
                      <w:color w:val="FF0000"/>
                      <w:highlight w:val="none"/>
                    </w:rPr>
                    <w:t>1、</w:t>
                  </w:r>
                  <w:r>
                    <w:rPr>
                      <w:rFonts w:hint="eastAsia" w:ascii="Times New Roman" w:hAnsi="Times New Roman"/>
                      <w:color w:val="FF0000"/>
                      <w:szCs w:val="21"/>
                      <w:highlight w:val="none"/>
                    </w:rPr>
                    <w:t>本项目生产废水</w:t>
                  </w:r>
                  <w:r>
                    <w:rPr>
                      <w:rFonts w:hint="eastAsia"/>
                      <w:color w:val="FF0000"/>
                      <w:szCs w:val="21"/>
                      <w:highlight w:val="none"/>
                    </w:rPr>
                    <w:t>循环使用不外排</w:t>
                  </w:r>
                  <w:r>
                    <w:rPr>
                      <w:rFonts w:ascii="Times New Roman" w:hAnsi="Times New Roman"/>
                      <w:color w:val="FF0000"/>
                      <w:highlight w:val="none"/>
                    </w:rPr>
                    <w:t>，生活废水排入防渗</w:t>
                  </w:r>
                  <w:r>
                    <w:rPr>
                      <w:rFonts w:hint="eastAsia"/>
                      <w:color w:val="FF0000"/>
                      <w:szCs w:val="21"/>
                      <w:highlight w:val="none"/>
                      <w:lang w:val="en-US" w:eastAsia="zh-CN"/>
                    </w:rPr>
                    <w:t>旱厕</w:t>
                  </w:r>
                  <w:r>
                    <w:rPr>
                      <w:rFonts w:ascii="Times New Roman" w:hAnsi="Times New Roman"/>
                      <w:color w:val="FF0000"/>
                      <w:highlight w:val="none"/>
                    </w:rPr>
                    <w:t>定期清掏，不涉及废水排放。2、本项目大气污染物主要为颗粒物，排放浓度符合《大气污染物综合排放标准》（GB16297-1996）表2新污染源大气污染物排放限值，本项目不涉及</w:t>
                  </w:r>
                  <w:r>
                    <w:rPr>
                      <w:rFonts w:hint="eastAsia" w:ascii="Times New Roman" w:hAnsi="Times New Roman"/>
                      <w:color w:val="FF0000"/>
                      <w:highlight w:val="none"/>
                    </w:rPr>
                    <w:t>氮氧</w:t>
                  </w:r>
                  <w:r>
                    <w:rPr>
                      <w:rFonts w:ascii="Times New Roman" w:hAnsi="Times New Roman"/>
                      <w:color w:val="FF0000"/>
                      <w:highlight w:val="none"/>
                    </w:rPr>
                    <w:t>化物、VOCs排放；3、本项目不涉及VOCs排放；4、本项目不涉及重金属排放</w:t>
                  </w:r>
                </w:p>
              </w:tc>
              <w:tc>
                <w:tcPr>
                  <w:tcW w:w="320" w:type="pct"/>
                  <w:vMerge w:val="continue"/>
                  <w:tcBorders>
                    <w:tl2br w:val="nil"/>
                    <w:tr2bl w:val="nil"/>
                  </w:tcBorders>
                  <w:vAlign w:val="center"/>
                </w:tcPr>
                <w:p w14:paraId="3D00542C">
                  <w:pPr>
                    <w:pStyle w:val="23"/>
                    <w:ind w:left="0"/>
                    <w:jc w:val="center"/>
                    <w:rPr>
                      <w:rFonts w:ascii="Times New Roman" w:hAnsi="Times New Roman"/>
                      <w:color w:val="FF0000"/>
                      <w:highlight w:val="none"/>
                    </w:rPr>
                  </w:pPr>
                </w:p>
              </w:tc>
            </w:tr>
            <w:tr w14:paraId="179D17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21" w:hRule="atLeast"/>
              </w:trPr>
              <w:tc>
                <w:tcPr>
                  <w:tcW w:w="395" w:type="pct"/>
                  <w:vMerge w:val="continue"/>
                  <w:tcBorders>
                    <w:tl2br w:val="nil"/>
                    <w:tr2bl w:val="nil"/>
                  </w:tcBorders>
                  <w:vAlign w:val="center"/>
                </w:tcPr>
                <w:p w14:paraId="7E5AD23B">
                  <w:pPr>
                    <w:pStyle w:val="23"/>
                    <w:jc w:val="center"/>
                    <w:rPr>
                      <w:rFonts w:ascii="Times New Roman" w:hAnsi="Times New Roman"/>
                      <w:color w:val="FF0000"/>
                      <w:highlight w:val="none"/>
                    </w:rPr>
                  </w:pPr>
                </w:p>
              </w:tc>
              <w:tc>
                <w:tcPr>
                  <w:tcW w:w="2859" w:type="pct"/>
                  <w:tcBorders>
                    <w:tl2br w:val="nil"/>
                    <w:tr2bl w:val="nil"/>
                  </w:tcBorders>
                  <w:vAlign w:val="center"/>
                </w:tcPr>
                <w:p w14:paraId="00C4DAF2">
                  <w:pPr>
                    <w:pStyle w:val="23"/>
                    <w:ind w:left="0"/>
                    <w:jc w:val="center"/>
                    <w:rPr>
                      <w:rFonts w:hint="eastAsia" w:ascii="Times New Roman" w:hAnsi="Times New Roman"/>
                      <w:color w:val="FF0000"/>
                      <w:highlight w:val="none"/>
                    </w:rPr>
                  </w:pPr>
                  <w:r>
                    <w:rPr>
                      <w:rFonts w:hint="eastAsia" w:ascii="Times New Roman" w:hAnsi="Times New Roman"/>
                      <w:color w:val="FF0000"/>
                      <w:highlight w:val="none"/>
                    </w:rPr>
                    <w:t>污染物排放绩效水平准入</w:t>
                  </w:r>
                </w:p>
                <w:p w14:paraId="5BC916DF">
                  <w:pPr>
                    <w:rPr>
                      <w:color w:val="FF0000"/>
                      <w:highlight w:val="none"/>
                    </w:rPr>
                  </w:pPr>
                  <w:r>
                    <w:rPr>
                      <w:rFonts w:hint="eastAsia"/>
                      <w:color w:val="FF0000"/>
                      <w:highlight w:val="none"/>
                    </w:rPr>
                    <w:t>1. 至2025年，建成区及城镇污水处理率较 2020年明显提高。2.大中型矿山达到绿色矿山标准，小型矿山按照绿色矿山标准规范发展；加强矿山采选废水的处理和综合利用工作，选矿废水全部综合利用，不外排，采矿废水应尽量回用。3.对区内矿产资源开发活动集中区域，适时执行重点污染物特别排放限值。4.到2025年，主要农作物化肥、农药使用量实现零增长，利用率较2020年明显提高，测土配方施肥技术推广覆盖率提高，控制农村面源污染，采取灌排分离等措施控制农田氮磷流失。5.建立健全废弃农膜回收贮运和综合利用网络，开展废弃农膜回收利用试点；到2025年，实现废旧农膜全面回收利用。6. 到2025年，规模化养殖场、养殖小区配套建设废弃物处理设施比例较2020年明显提高。7. 到2025年，秸秆综合利用率较2020年明显提高。</w:t>
                  </w:r>
                </w:p>
              </w:tc>
              <w:tc>
                <w:tcPr>
                  <w:tcW w:w="1425" w:type="pct"/>
                  <w:tcBorders>
                    <w:tl2br w:val="nil"/>
                    <w:tr2bl w:val="nil"/>
                  </w:tcBorders>
                  <w:vAlign w:val="center"/>
                </w:tcPr>
                <w:p w14:paraId="626259D7">
                  <w:pPr>
                    <w:pStyle w:val="23"/>
                    <w:ind w:left="0"/>
                    <w:jc w:val="center"/>
                    <w:rPr>
                      <w:rFonts w:ascii="Times New Roman" w:hAnsi="Times New Roman"/>
                      <w:color w:val="FF0000"/>
                      <w:highlight w:val="none"/>
                    </w:rPr>
                  </w:pPr>
                  <w:r>
                    <w:rPr>
                      <w:rFonts w:ascii="Times New Roman" w:hAnsi="Times New Roman"/>
                      <w:color w:val="FF0000"/>
                      <w:highlight w:val="none"/>
                    </w:rPr>
                    <w:t>1、</w:t>
                  </w:r>
                  <w:r>
                    <w:rPr>
                      <w:rFonts w:hint="eastAsia" w:ascii="Times New Roman" w:hAnsi="Times New Roman"/>
                      <w:color w:val="FF0000"/>
                      <w:szCs w:val="21"/>
                      <w:highlight w:val="none"/>
                    </w:rPr>
                    <w:t>本项目生产废水</w:t>
                  </w:r>
                  <w:r>
                    <w:rPr>
                      <w:rFonts w:hint="eastAsia"/>
                      <w:color w:val="FF0000"/>
                      <w:szCs w:val="21"/>
                      <w:highlight w:val="none"/>
                    </w:rPr>
                    <w:t>循环使用不外排</w:t>
                  </w:r>
                  <w:r>
                    <w:rPr>
                      <w:rFonts w:ascii="Times New Roman" w:hAnsi="Times New Roman"/>
                      <w:color w:val="FF0000"/>
                      <w:highlight w:val="none"/>
                    </w:rPr>
                    <w:t>，生活废水排入防渗</w:t>
                  </w:r>
                  <w:r>
                    <w:rPr>
                      <w:rFonts w:hint="eastAsia"/>
                      <w:color w:val="FF0000"/>
                      <w:szCs w:val="21"/>
                      <w:highlight w:val="none"/>
                      <w:lang w:val="en-US" w:eastAsia="zh-CN"/>
                    </w:rPr>
                    <w:t>旱厕</w:t>
                  </w:r>
                  <w:r>
                    <w:rPr>
                      <w:rFonts w:ascii="Times New Roman" w:hAnsi="Times New Roman"/>
                      <w:color w:val="FF0000"/>
                      <w:highlight w:val="none"/>
                    </w:rPr>
                    <w:t>，不涉及废水排放；2、本项目不涉及矿山</w:t>
                  </w:r>
                  <w:r>
                    <w:rPr>
                      <w:rFonts w:hint="eastAsia" w:ascii="Times New Roman" w:hAnsi="Times New Roman"/>
                      <w:color w:val="FF0000"/>
                      <w:highlight w:val="none"/>
                    </w:rPr>
                    <w:t>采选</w:t>
                  </w:r>
                  <w:r>
                    <w:rPr>
                      <w:rFonts w:ascii="Times New Roman" w:hAnsi="Times New Roman"/>
                      <w:color w:val="FF0000"/>
                      <w:highlight w:val="none"/>
                    </w:rPr>
                    <w:t>；3、本项目以外购</w:t>
                  </w:r>
                  <w:r>
                    <w:rPr>
                      <w:rFonts w:hint="eastAsia" w:ascii="Times New Roman" w:hAnsi="Times New Roman"/>
                      <w:color w:val="FF0000"/>
                      <w:highlight w:val="none"/>
                    </w:rPr>
                    <w:t>花岗岩</w:t>
                  </w:r>
                  <w:r>
                    <w:rPr>
                      <w:rFonts w:ascii="Times New Roman" w:hAnsi="Times New Roman"/>
                      <w:color w:val="FF0000"/>
                      <w:highlight w:val="none"/>
                    </w:rPr>
                    <w:t>为原料，生产建筑用</w:t>
                  </w:r>
                  <w:r>
                    <w:rPr>
                      <w:rFonts w:hint="eastAsia" w:ascii="Times New Roman" w:hAnsi="Times New Roman"/>
                      <w:color w:val="FF0000"/>
                      <w:highlight w:val="none"/>
                    </w:rPr>
                    <w:t>石</w:t>
                  </w:r>
                  <w:r>
                    <w:rPr>
                      <w:rFonts w:ascii="Times New Roman" w:hAnsi="Times New Roman"/>
                      <w:color w:val="FF0000"/>
                      <w:highlight w:val="none"/>
                    </w:rPr>
                    <w:t>，不涉及矿产资源开发活动；4、本项目不涉及化肥、农药使用；5、本项目不涉及废旧农膜使用；6、本项目不涉及养殖场、养殖小区；7、本项目不涉及秸秆利用。</w:t>
                  </w:r>
                </w:p>
              </w:tc>
              <w:tc>
                <w:tcPr>
                  <w:tcW w:w="320" w:type="pct"/>
                  <w:vMerge w:val="continue"/>
                  <w:tcBorders>
                    <w:tl2br w:val="nil"/>
                    <w:tr2bl w:val="nil"/>
                  </w:tcBorders>
                  <w:vAlign w:val="center"/>
                </w:tcPr>
                <w:p w14:paraId="05FAA0EC">
                  <w:pPr>
                    <w:pStyle w:val="23"/>
                    <w:ind w:left="0"/>
                    <w:jc w:val="center"/>
                    <w:rPr>
                      <w:rFonts w:ascii="Times New Roman" w:hAnsi="Times New Roman"/>
                      <w:color w:val="FF0000"/>
                      <w:highlight w:val="none"/>
                    </w:rPr>
                  </w:pPr>
                </w:p>
              </w:tc>
            </w:tr>
            <w:tr w14:paraId="26166B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395" w:type="pct"/>
                  <w:vMerge w:val="restart"/>
                  <w:tcBorders>
                    <w:tl2br w:val="nil"/>
                    <w:tr2bl w:val="nil"/>
                  </w:tcBorders>
                  <w:vAlign w:val="center"/>
                </w:tcPr>
                <w:p w14:paraId="3913B825">
                  <w:pPr>
                    <w:pStyle w:val="13"/>
                    <w:jc w:val="center"/>
                    <w:rPr>
                      <w:color w:val="FF0000"/>
                      <w:sz w:val="21"/>
                      <w:szCs w:val="21"/>
                      <w:highlight w:val="none"/>
                    </w:rPr>
                  </w:pPr>
                  <w:r>
                    <w:rPr>
                      <w:color w:val="FF0000"/>
                      <w:sz w:val="21"/>
                      <w:szCs w:val="21"/>
                      <w:highlight w:val="none"/>
                    </w:rPr>
                    <w:t>环境风险管控</w:t>
                  </w:r>
                </w:p>
              </w:tc>
              <w:tc>
                <w:tcPr>
                  <w:tcW w:w="2859" w:type="pct"/>
                  <w:tcBorders>
                    <w:tl2br w:val="nil"/>
                    <w:tr2bl w:val="nil"/>
                  </w:tcBorders>
                  <w:vAlign w:val="center"/>
                </w:tcPr>
                <w:p w14:paraId="6DC97352">
                  <w:pPr>
                    <w:pStyle w:val="23"/>
                    <w:ind w:left="0"/>
                    <w:jc w:val="center"/>
                    <w:rPr>
                      <w:rFonts w:hint="eastAsia" w:ascii="Times New Roman" w:hAnsi="Times New Roman"/>
                      <w:color w:val="FF0000"/>
                      <w:highlight w:val="none"/>
                    </w:rPr>
                  </w:pPr>
                  <w:r>
                    <w:rPr>
                      <w:rFonts w:hint="eastAsia" w:ascii="Times New Roman" w:hAnsi="Times New Roman"/>
                      <w:color w:val="FF0000"/>
                      <w:highlight w:val="none"/>
                    </w:rPr>
                    <w:t>用地环境风险防控要求</w:t>
                  </w:r>
                </w:p>
                <w:p w14:paraId="2E6833AF">
                  <w:pPr>
                    <w:rPr>
                      <w:rFonts w:hint="eastAsia"/>
                      <w:color w:val="FF0000"/>
                      <w:highlight w:val="none"/>
                    </w:rPr>
                  </w:pPr>
                  <w:r>
                    <w:rPr>
                      <w:rFonts w:hint="eastAsia"/>
                      <w:color w:val="FF0000"/>
                      <w:highlight w:val="none"/>
                    </w:rPr>
                    <w:t>1.完成国家要求的受污染耕地治理和修复面积指标。2.严格控制在优先保护类耕地集中区域新建有色金属冶炼、石油加工、焦化、电镀、制革等行业企业，现有相关行业企业要采用新技术、新工艺，加快提标升级改造步伐。3.已污染地块，应当依法开展土壤污染状况调查、治理与修复，符合相应土壤环境质量要求后，方可进入用地程序。4.严禁将城镇生活垃圾、污泥、工业废物直接用作肥料，禁止处理不达标的污泥进入耕地；禁止在农用地排放、倾倒、使用污泥、清淤底泥、尾矿（渣）等可能对土壤造成污染的固</w:t>
                  </w:r>
                </w:p>
                <w:p w14:paraId="7B29F010">
                  <w:pPr>
                    <w:rPr>
                      <w:color w:val="FF0000"/>
                      <w:highlight w:val="none"/>
                    </w:rPr>
                  </w:pPr>
                  <w:r>
                    <w:rPr>
                      <w:rFonts w:hint="eastAsia"/>
                      <w:color w:val="FF0000"/>
                      <w:highlight w:val="none"/>
                    </w:rPr>
                    <w:t>体废物。</w:t>
                  </w:r>
                </w:p>
              </w:tc>
              <w:tc>
                <w:tcPr>
                  <w:tcW w:w="1425" w:type="pct"/>
                  <w:tcBorders>
                    <w:tl2br w:val="nil"/>
                    <w:tr2bl w:val="nil"/>
                  </w:tcBorders>
                  <w:vAlign w:val="center"/>
                </w:tcPr>
                <w:p w14:paraId="6D0F546E">
                  <w:pPr>
                    <w:pStyle w:val="23"/>
                    <w:ind w:left="0"/>
                    <w:jc w:val="center"/>
                    <w:rPr>
                      <w:rFonts w:ascii="Times New Roman" w:hAnsi="Times New Roman"/>
                      <w:color w:val="FF0000"/>
                      <w:highlight w:val="none"/>
                    </w:rPr>
                  </w:pPr>
                  <w:r>
                    <w:rPr>
                      <w:rFonts w:ascii="Times New Roman" w:hAnsi="Times New Roman"/>
                      <w:color w:val="FF0000"/>
                      <w:highlight w:val="none"/>
                    </w:rPr>
                    <w:t>1、本项目位于</w:t>
                  </w:r>
                  <w:r>
                    <w:rPr>
                      <w:rFonts w:ascii="Times New Roman" w:hAnsi="Times New Roman"/>
                      <w:color w:val="FF0000"/>
                      <w:szCs w:val="21"/>
                      <w:highlight w:val="none"/>
                    </w:rPr>
                    <w:t>辽宁省抚顺市东洲区哈达镇小寨子村，不涉及</w:t>
                  </w:r>
                  <w:r>
                    <w:rPr>
                      <w:rFonts w:hint="eastAsia" w:ascii="Times New Roman" w:hAnsi="Times New Roman"/>
                      <w:color w:val="FF0000"/>
                      <w:szCs w:val="21"/>
                      <w:highlight w:val="none"/>
                      <w:lang w:val="en-US" w:eastAsia="zh-CN"/>
                    </w:rPr>
                    <w:t>受污染耕地使用</w:t>
                  </w:r>
                  <w:r>
                    <w:rPr>
                      <w:rFonts w:ascii="Times New Roman" w:hAnsi="Times New Roman"/>
                      <w:color w:val="FF0000"/>
                      <w:szCs w:val="21"/>
                      <w:highlight w:val="none"/>
                    </w:rPr>
                    <w:t>；2、本项目土地类型为采矿用地，不涉及耕地、不涉及</w:t>
                  </w:r>
                  <w:r>
                    <w:rPr>
                      <w:rFonts w:ascii="Times New Roman" w:hAnsi="Times New Roman"/>
                      <w:color w:val="FF0000"/>
                      <w:highlight w:val="none"/>
                    </w:rPr>
                    <w:t>有色金属冶炼、石油加工、焦化、电镀、制革等行业；3、本项目</w:t>
                  </w:r>
                  <w:r>
                    <w:rPr>
                      <w:rFonts w:hint="eastAsia" w:ascii="Times New Roman" w:hAnsi="Times New Roman"/>
                      <w:color w:val="FF0000"/>
                      <w:highlight w:val="none"/>
                    </w:rPr>
                    <w:t>拟在</w:t>
                  </w:r>
                  <w:r>
                    <w:rPr>
                      <w:rFonts w:ascii="Times New Roman" w:hAnsi="Times New Roman"/>
                      <w:color w:val="FF0000"/>
                      <w:highlight w:val="none"/>
                    </w:rPr>
                    <w:t>闲置场地进行建设，经实地勘察未发现存在原有污染问题；4、本项目固废均得到合理处置：除尘灰、地面沉积灰</w:t>
                  </w:r>
                  <w:r>
                    <w:rPr>
                      <w:rFonts w:hint="eastAsia" w:ascii="Times New Roman" w:hAnsi="Times New Roman"/>
                      <w:color w:val="FF0000"/>
                      <w:highlight w:val="none"/>
                      <w:lang w:eastAsia="zh-CN"/>
                    </w:rPr>
                    <w:t>、</w:t>
                  </w:r>
                  <w:r>
                    <w:rPr>
                      <w:rFonts w:hint="eastAsia" w:ascii="Times New Roman" w:hAnsi="Times New Roman"/>
                      <w:color w:val="FF0000"/>
                      <w:highlight w:val="none"/>
                      <w:lang w:val="en-US" w:eastAsia="zh-CN"/>
                    </w:rPr>
                    <w:t>沉淀池泥渣</w:t>
                  </w:r>
                  <w:r>
                    <w:rPr>
                      <w:rFonts w:hint="eastAsia"/>
                      <w:color w:val="FF0000"/>
                      <w:sz w:val="21"/>
                      <w:szCs w:val="21"/>
                      <w:highlight w:val="none"/>
                      <w:lang w:val="en-US" w:eastAsia="zh-CN" w:bidi="ar"/>
                    </w:rPr>
                    <w:t>沥</w:t>
                  </w:r>
                  <w:r>
                    <w:rPr>
                      <w:rFonts w:hint="eastAsia" w:ascii="Times New Roman" w:hAnsi="Times New Roman"/>
                      <w:color w:val="FF0000"/>
                      <w:highlight w:val="none"/>
                      <w:lang w:val="en-US" w:eastAsia="zh-CN"/>
                    </w:rPr>
                    <w:t>水后</w:t>
                  </w:r>
                  <w:r>
                    <w:rPr>
                      <w:rFonts w:ascii="Times New Roman" w:hAnsi="Times New Roman"/>
                      <w:color w:val="FF0000"/>
                      <w:highlight w:val="none"/>
                    </w:rPr>
                    <w:t>统一收集到</w:t>
                  </w:r>
                  <w:r>
                    <w:rPr>
                      <w:rFonts w:hint="eastAsia" w:ascii="Times New Roman" w:hAnsi="Times New Roman"/>
                      <w:color w:val="FF0000"/>
                      <w:highlight w:val="none"/>
                      <w:lang w:val="en-US" w:eastAsia="zh-CN"/>
                    </w:rPr>
                    <w:t>成品库，随产品</w:t>
                  </w:r>
                  <w:r>
                    <w:rPr>
                      <w:rFonts w:ascii="Times New Roman" w:hAnsi="Times New Roman"/>
                      <w:color w:val="FF0000"/>
                      <w:highlight w:val="none"/>
                    </w:rPr>
                    <w:t>外售综合利用，</w:t>
                  </w:r>
                  <w:r>
                    <w:rPr>
                      <w:rFonts w:ascii="Times New Roman" w:hAnsi="Times New Roman"/>
                      <w:color w:val="FF0000"/>
                      <w:szCs w:val="21"/>
                      <w:highlight w:val="none"/>
                    </w:rPr>
                    <w:t>废布袋由厂家定期更换回收；废润滑油、废油桶统一收集至危废贮存点，定期交由有资质单位处置；生活垃圾定期由环卫部门统一清运处理</w:t>
                  </w:r>
                  <w:r>
                    <w:rPr>
                      <w:rFonts w:ascii="Times New Roman" w:hAnsi="Times New Roman"/>
                      <w:color w:val="FF0000"/>
                      <w:highlight w:val="none"/>
                    </w:rPr>
                    <w:t>。</w:t>
                  </w:r>
                </w:p>
              </w:tc>
              <w:tc>
                <w:tcPr>
                  <w:tcW w:w="320" w:type="pct"/>
                  <w:vMerge w:val="restart"/>
                  <w:tcBorders>
                    <w:tl2br w:val="nil"/>
                    <w:tr2bl w:val="nil"/>
                  </w:tcBorders>
                  <w:vAlign w:val="center"/>
                </w:tcPr>
                <w:p w14:paraId="12F8A2B3">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5854AE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2" w:hRule="atLeast"/>
              </w:trPr>
              <w:tc>
                <w:tcPr>
                  <w:tcW w:w="395" w:type="pct"/>
                  <w:vMerge w:val="continue"/>
                  <w:tcBorders>
                    <w:tl2br w:val="nil"/>
                    <w:tr2bl w:val="nil"/>
                  </w:tcBorders>
                  <w:vAlign w:val="center"/>
                </w:tcPr>
                <w:p w14:paraId="25A55A52">
                  <w:pPr>
                    <w:pStyle w:val="23"/>
                    <w:jc w:val="center"/>
                    <w:rPr>
                      <w:rFonts w:ascii="Times New Roman" w:hAnsi="Times New Roman"/>
                      <w:color w:val="FF0000"/>
                      <w:highlight w:val="none"/>
                    </w:rPr>
                  </w:pPr>
                </w:p>
              </w:tc>
              <w:tc>
                <w:tcPr>
                  <w:tcW w:w="2859" w:type="pct"/>
                  <w:tcBorders>
                    <w:tl2br w:val="nil"/>
                    <w:tr2bl w:val="nil"/>
                  </w:tcBorders>
                  <w:vAlign w:val="center"/>
                </w:tcPr>
                <w:p w14:paraId="4D8A86D7">
                  <w:pPr>
                    <w:pStyle w:val="23"/>
                    <w:ind w:left="0"/>
                    <w:jc w:val="center"/>
                    <w:rPr>
                      <w:rFonts w:hint="eastAsia" w:ascii="Times New Roman" w:hAnsi="Times New Roman"/>
                      <w:color w:val="FF0000"/>
                      <w:highlight w:val="none"/>
                    </w:rPr>
                  </w:pPr>
                  <w:r>
                    <w:rPr>
                      <w:rFonts w:hint="eastAsia" w:ascii="Times New Roman" w:hAnsi="Times New Roman"/>
                      <w:color w:val="FF0000"/>
                      <w:highlight w:val="none"/>
                    </w:rPr>
                    <w:t>企业环境风险防控要求</w:t>
                  </w:r>
                </w:p>
                <w:p w14:paraId="1238EBE2">
                  <w:pPr>
                    <w:pStyle w:val="23"/>
                    <w:ind w:left="0"/>
                    <w:jc w:val="center"/>
                    <w:rPr>
                      <w:rFonts w:ascii="Times New Roman" w:hAnsi="Times New Roman"/>
                      <w:color w:val="FF0000"/>
                      <w:highlight w:val="none"/>
                    </w:rPr>
                  </w:pPr>
                  <w:r>
                    <w:rPr>
                      <w:rFonts w:hint="eastAsia" w:ascii="Times New Roman" w:hAnsi="Times New Roman"/>
                      <w:color w:val="FF0000"/>
                      <w:highlight w:val="none"/>
                    </w:rPr>
                    <w:t>固体废物在贮存、转移、利用、处置过程中，应配套防扬散、防流失、防渗漏及其他防止污染环境的措施。</w:t>
                  </w:r>
                </w:p>
              </w:tc>
              <w:tc>
                <w:tcPr>
                  <w:tcW w:w="1425" w:type="pct"/>
                  <w:tcBorders>
                    <w:tl2br w:val="nil"/>
                    <w:tr2bl w:val="nil"/>
                  </w:tcBorders>
                  <w:vAlign w:val="center"/>
                </w:tcPr>
                <w:p w14:paraId="675B28E0">
                  <w:pPr>
                    <w:pStyle w:val="23"/>
                    <w:ind w:left="0"/>
                    <w:jc w:val="center"/>
                    <w:rPr>
                      <w:rFonts w:ascii="Times New Roman" w:hAnsi="Times New Roman"/>
                      <w:color w:val="FF0000"/>
                      <w:highlight w:val="none"/>
                    </w:rPr>
                  </w:pPr>
                  <w:r>
                    <w:rPr>
                      <w:rFonts w:ascii="Times New Roman" w:hAnsi="Times New Roman"/>
                      <w:color w:val="FF0000"/>
                      <w:highlight w:val="none"/>
                    </w:rPr>
                    <w:t>本项目固废均得到合理处置：除尘灰、地面沉积灰</w:t>
                  </w:r>
                  <w:r>
                    <w:rPr>
                      <w:rFonts w:hint="eastAsia" w:ascii="Times New Roman" w:hAnsi="Times New Roman"/>
                      <w:color w:val="FF0000"/>
                      <w:highlight w:val="none"/>
                      <w:lang w:eastAsia="zh-CN"/>
                    </w:rPr>
                    <w:t>、</w:t>
                  </w:r>
                  <w:r>
                    <w:rPr>
                      <w:rFonts w:hint="eastAsia" w:ascii="Times New Roman" w:hAnsi="Times New Roman"/>
                      <w:color w:val="FF0000"/>
                      <w:highlight w:val="none"/>
                      <w:lang w:val="en-US" w:eastAsia="zh-CN"/>
                    </w:rPr>
                    <w:t>沉淀池泥渣</w:t>
                  </w:r>
                  <w:r>
                    <w:rPr>
                      <w:rFonts w:hint="eastAsia"/>
                      <w:color w:val="FF0000"/>
                      <w:sz w:val="21"/>
                      <w:szCs w:val="21"/>
                      <w:highlight w:val="none"/>
                      <w:lang w:val="en-US" w:eastAsia="zh-CN" w:bidi="ar"/>
                    </w:rPr>
                    <w:t>沥</w:t>
                  </w:r>
                  <w:r>
                    <w:rPr>
                      <w:rFonts w:hint="eastAsia" w:ascii="Times New Roman" w:hAnsi="Times New Roman"/>
                      <w:color w:val="FF0000"/>
                      <w:highlight w:val="none"/>
                      <w:lang w:val="en-US" w:eastAsia="zh-CN"/>
                    </w:rPr>
                    <w:t>水后</w:t>
                  </w:r>
                  <w:r>
                    <w:rPr>
                      <w:rFonts w:ascii="Times New Roman" w:hAnsi="Times New Roman"/>
                      <w:color w:val="FF0000"/>
                      <w:highlight w:val="none"/>
                    </w:rPr>
                    <w:t>统一收集到</w:t>
                  </w:r>
                  <w:r>
                    <w:rPr>
                      <w:rFonts w:hint="eastAsia" w:ascii="Times New Roman" w:hAnsi="Times New Roman"/>
                      <w:color w:val="FF0000"/>
                      <w:highlight w:val="none"/>
                      <w:lang w:val="en-US" w:eastAsia="zh-CN"/>
                    </w:rPr>
                    <w:t>成品库，随产品</w:t>
                  </w:r>
                  <w:r>
                    <w:rPr>
                      <w:rFonts w:ascii="Times New Roman" w:hAnsi="Times New Roman"/>
                      <w:color w:val="FF0000"/>
                      <w:highlight w:val="none"/>
                    </w:rPr>
                    <w:t>外售综合利用，</w:t>
                  </w:r>
                  <w:r>
                    <w:rPr>
                      <w:rFonts w:ascii="Times New Roman" w:hAnsi="Times New Roman"/>
                      <w:color w:val="FF0000"/>
                      <w:szCs w:val="21"/>
                      <w:highlight w:val="none"/>
                    </w:rPr>
                    <w:t>废布袋由厂家定期更换回收；废润滑油、废油桶统一收集至危废贮存点，定期交由有资质单位处置；生活垃圾定期由环卫部门统一清运处理</w:t>
                  </w:r>
                  <w:r>
                    <w:rPr>
                      <w:rFonts w:ascii="Times New Roman" w:hAnsi="Times New Roman"/>
                      <w:color w:val="FF0000"/>
                      <w:highlight w:val="none"/>
                    </w:rPr>
                    <w:t>。</w:t>
                  </w:r>
                </w:p>
              </w:tc>
              <w:tc>
                <w:tcPr>
                  <w:tcW w:w="320" w:type="pct"/>
                  <w:vMerge w:val="continue"/>
                  <w:tcBorders>
                    <w:tl2br w:val="nil"/>
                    <w:tr2bl w:val="nil"/>
                  </w:tcBorders>
                  <w:vAlign w:val="center"/>
                </w:tcPr>
                <w:p w14:paraId="72E2C9CA">
                  <w:pPr>
                    <w:pStyle w:val="23"/>
                    <w:ind w:left="0"/>
                    <w:jc w:val="center"/>
                    <w:rPr>
                      <w:rFonts w:ascii="Times New Roman" w:hAnsi="Times New Roman"/>
                      <w:color w:val="FF0000"/>
                      <w:highlight w:val="none"/>
                    </w:rPr>
                  </w:pPr>
                </w:p>
              </w:tc>
            </w:tr>
            <w:tr w14:paraId="7A6A65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89" w:hRule="atLeast"/>
              </w:trPr>
              <w:tc>
                <w:tcPr>
                  <w:tcW w:w="395" w:type="pct"/>
                  <w:vMerge w:val="restart"/>
                  <w:tcBorders>
                    <w:tl2br w:val="nil"/>
                    <w:tr2bl w:val="nil"/>
                  </w:tcBorders>
                  <w:vAlign w:val="center"/>
                </w:tcPr>
                <w:p w14:paraId="797482FF">
                  <w:pPr>
                    <w:pStyle w:val="13"/>
                    <w:jc w:val="center"/>
                    <w:rPr>
                      <w:color w:val="FF0000"/>
                      <w:sz w:val="21"/>
                      <w:szCs w:val="21"/>
                      <w:highlight w:val="none"/>
                    </w:rPr>
                  </w:pPr>
                  <w:r>
                    <w:rPr>
                      <w:color w:val="FF0000"/>
                      <w:sz w:val="21"/>
                      <w:szCs w:val="21"/>
                      <w:highlight w:val="none"/>
                    </w:rPr>
                    <w:t>资源开发效率要求</w:t>
                  </w:r>
                </w:p>
              </w:tc>
              <w:tc>
                <w:tcPr>
                  <w:tcW w:w="2859" w:type="pct"/>
                  <w:tcBorders>
                    <w:tl2br w:val="nil"/>
                    <w:tr2bl w:val="nil"/>
                  </w:tcBorders>
                  <w:vAlign w:val="center"/>
                </w:tcPr>
                <w:p w14:paraId="39EBD598">
                  <w:pPr>
                    <w:pStyle w:val="23"/>
                    <w:ind w:left="0"/>
                    <w:jc w:val="center"/>
                    <w:rPr>
                      <w:rFonts w:hint="eastAsia" w:ascii="Times New Roman" w:hAnsi="Times New Roman"/>
                      <w:color w:val="FF0000"/>
                      <w:highlight w:val="none"/>
                    </w:rPr>
                  </w:pPr>
                  <w:r>
                    <w:rPr>
                      <w:rFonts w:hint="eastAsia" w:ascii="Times New Roman" w:hAnsi="Times New Roman"/>
                      <w:color w:val="FF0000"/>
                      <w:highlight w:val="none"/>
                    </w:rPr>
                    <w:t>水资源利用效率要求</w:t>
                  </w:r>
                </w:p>
                <w:p w14:paraId="115FE234">
                  <w:pPr>
                    <w:rPr>
                      <w:color w:val="FF0000"/>
                      <w:highlight w:val="none"/>
                    </w:rPr>
                  </w:pPr>
                  <w:r>
                    <w:rPr>
                      <w:rFonts w:hint="eastAsia"/>
                      <w:color w:val="FF0000"/>
                      <w:highlight w:val="none"/>
                    </w:rPr>
                    <w:t>到2025年，用水总量减少，工业和农业用水效率提高，农田灌溉水有效利用系数高于0.580，万元工业增加值用水量较2020年降低，万元GDP用水量较2020年降低。</w:t>
                  </w:r>
                </w:p>
              </w:tc>
              <w:tc>
                <w:tcPr>
                  <w:tcW w:w="1425" w:type="pct"/>
                  <w:tcBorders>
                    <w:tl2br w:val="nil"/>
                    <w:tr2bl w:val="nil"/>
                  </w:tcBorders>
                  <w:vAlign w:val="center"/>
                </w:tcPr>
                <w:p w14:paraId="2722BAE8">
                  <w:pPr>
                    <w:pStyle w:val="23"/>
                    <w:ind w:left="0"/>
                    <w:jc w:val="center"/>
                    <w:rPr>
                      <w:rFonts w:ascii="Times New Roman" w:hAnsi="Times New Roman"/>
                      <w:color w:val="FF0000"/>
                      <w:highlight w:val="none"/>
                    </w:rPr>
                  </w:pPr>
                  <w:r>
                    <w:rPr>
                      <w:rFonts w:ascii="Times New Roman" w:hAnsi="Times New Roman"/>
                      <w:color w:val="FF0000"/>
                      <w:highlight w:val="none"/>
                    </w:rPr>
                    <w:t>本项目用水量符合《辽宁省行业用水定额》（DB21/T1237-2020）</w:t>
                  </w:r>
                  <w:r>
                    <w:rPr>
                      <w:rFonts w:hint="eastAsia" w:ascii="Times New Roman" w:hAnsi="Times New Roman"/>
                      <w:color w:val="FF0000"/>
                      <w:highlight w:val="none"/>
                      <w:lang w:eastAsia="zh-CN"/>
                    </w:rPr>
                    <w:t>，</w:t>
                  </w:r>
                  <w:r>
                    <w:rPr>
                      <w:rFonts w:ascii="Times New Roman" w:hAnsi="Times New Roman"/>
                      <w:color w:val="FF0000"/>
                      <w:highlight w:val="none"/>
                    </w:rPr>
                    <w:t>用水全部外购，且用水量较少</w:t>
                  </w:r>
                </w:p>
              </w:tc>
              <w:tc>
                <w:tcPr>
                  <w:tcW w:w="320" w:type="pct"/>
                  <w:vMerge w:val="restart"/>
                  <w:tcBorders>
                    <w:tl2br w:val="nil"/>
                    <w:tr2bl w:val="nil"/>
                  </w:tcBorders>
                  <w:vAlign w:val="center"/>
                </w:tcPr>
                <w:p w14:paraId="20B70C65">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29AEC8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4" w:hRule="atLeast"/>
              </w:trPr>
              <w:tc>
                <w:tcPr>
                  <w:tcW w:w="395" w:type="pct"/>
                  <w:vMerge w:val="continue"/>
                  <w:tcBorders>
                    <w:tl2br w:val="nil"/>
                    <w:tr2bl w:val="nil"/>
                  </w:tcBorders>
                  <w:vAlign w:val="center"/>
                </w:tcPr>
                <w:p w14:paraId="5C463B99">
                  <w:pPr>
                    <w:pStyle w:val="23"/>
                    <w:rPr>
                      <w:rFonts w:ascii="Times New Roman" w:hAnsi="Times New Roman"/>
                      <w:color w:val="FF0000"/>
                      <w:highlight w:val="none"/>
                    </w:rPr>
                  </w:pPr>
                </w:p>
              </w:tc>
              <w:tc>
                <w:tcPr>
                  <w:tcW w:w="2859" w:type="pct"/>
                  <w:tcBorders>
                    <w:tl2br w:val="nil"/>
                    <w:tr2bl w:val="nil"/>
                  </w:tcBorders>
                </w:tcPr>
                <w:p w14:paraId="755483B6">
                  <w:pPr>
                    <w:pStyle w:val="23"/>
                    <w:ind w:left="0"/>
                    <w:jc w:val="center"/>
                    <w:rPr>
                      <w:rFonts w:hint="eastAsia" w:ascii="Times New Roman" w:hAnsi="Times New Roman"/>
                      <w:color w:val="FF0000"/>
                      <w:highlight w:val="none"/>
                    </w:rPr>
                  </w:pPr>
                  <w:r>
                    <w:rPr>
                      <w:rFonts w:hint="eastAsia" w:ascii="Times New Roman" w:hAnsi="Times New Roman"/>
                      <w:color w:val="FF0000"/>
                      <w:highlight w:val="none"/>
                    </w:rPr>
                    <w:t>能源利用效率要求</w:t>
                  </w:r>
                </w:p>
                <w:p w14:paraId="3AF548AF">
                  <w:pPr>
                    <w:jc w:val="center"/>
                    <w:rPr>
                      <w:color w:val="FF0000"/>
                      <w:highlight w:val="none"/>
                    </w:rPr>
                  </w:pPr>
                  <w:r>
                    <w:rPr>
                      <w:rFonts w:hint="eastAsia"/>
                      <w:color w:val="FF0000"/>
                      <w:highlight w:val="none"/>
                    </w:rPr>
                    <w:t>1. 到2025年，东洲区生产总值能耗较2020年下降，煤炭占能源消费总量比重下降，电煤占煤炭消费量比重提高，非石化能源消费占能源消费总量比重提高，天然气消费比重提高。新生产燃煤工业锅炉效率和燃气锅炉效率提高。2.除依据城市供热专项规划确需保留的供暖锅炉以外，建成区20蒸吨/小时（或14兆瓦）及以下燃煤锅炉全部予以淘汰。3.禁燃区内不得新建、扩建高污染燃料燃用设施，对于禁燃区内现有的高污染燃料燃用设施，应按照市、区政府规定的期限予以拆除或者改用天然气、液化石油气、电等清洁能源。禁燃区内禁止销售、使用高污染燃料，包括除单台出力大于等于20蒸吨/小时锅炉以外燃用的煤炭及其制品；石油焦、油页岩、原油、重油、渣油、煤焦油。对于新建、扩建燃用高污染燃料设施，销售、燃用高污染燃料以及超标排放大气污染物的，由生态环境、市场监管等部门依法查处。</w:t>
                  </w:r>
                </w:p>
              </w:tc>
              <w:tc>
                <w:tcPr>
                  <w:tcW w:w="1425" w:type="pct"/>
                  <w:tcBorders>
                    <w:tl2br w:val="nil"/>
                    <w:tr2bl w:val="nil"/>
                  </w:tcBorders>
                  <w:vAlign w:val="top"/>
                </w:tcPr>
                <w:p w14:paraId="2371F5EE">
                  <w:pPr>
                    <w:pStyle w:val="23"/>
                    <w:ind w:left="0" w:leftChars="0"/>
                    <w:rPr>
                      <w:rFonts w:ascii="Times New Roman" w:hAnsi="Times New Roman"/>
                      <w:color w:val="FF0000"/>
                      <w:highlight w:val="none"/>
                    </w:rPr>
                  </w:pPr>
                  <w:r>
                    <w:rPr>
                      <w:rFonts w:ascii="Times New Roman" w:hAnsi="Times New Roman"/>
                      <w:color w:val="FF0000"/>
                      <w:highlight w:val="none"/>
                    </w:rPr>
                    <w:t>1</w:t>
                  </w:r>
                  <w:r>
                    <w:rPr>
                      <w:rFonts w:hint="eastAsia" w:ascii="Times New Roman" w:hAnsi="Times New Roman"/>
                      <w:color w:val="FF0000"/>
                      <w:highlight w:val="none"/>
                    </w:rPr>
                    <w:t>.</w:t>
                  </w:r>
                  <w:r>
                    <w:rPr>
                      <w:rFonts w:ascii="Times New Roman" w:hAnsi="Times New Roman"/>
                      <w:color w:val="FF0000"/>
                      <w:highlight w:val="none"/>
                    </w:rPr>
                    <w:t>本项目不涉及煤炭使用；2</w:t>
                  </w:r>
                  <w:r>
                    <w:rPr>
                      <w:rFonts w:hint="eastAsia" w:ascii="Times New Roman" w:hAnsi="Times New Roman"/>
                      <w:color w:val="FF0000"/>
                      <w:highlight w:val="none"/>
                    </w:rPr>
                    <w:t>.</w:t>
                  </w:r>
                  <w:r>
                    <w:rPr>
                      <w:rFonts w:ascii="Times New Roman" w:hAnsi="Times New Roman"/>
                      <w:color w:val="FF0000"/>
                      <w:highlight w:val="none"/>
                    </w:rPr>
                    <w:t>本项目位于</w:t>
                  </w:r>
                  <w:r>
                    <w:rPr>
                      <w:rFonts w:ascii="Times New Roman" w:hAnsi="Times New Roman"/>
                      <w:color w:val="FF0000"/>
                      <w:szCs w:val="21"/>
                      <w:highlight w:val="none"/>
                    </w:rPr>
                    <w:t>辽宁省抚顺市东洲区哈达镇小寨子村，不属于城市建成区，不涉及燃煤锅炉</w:t>
                  </w:r>
                  <w:r>
                    <w:rPr>
                      <w:rFonts w:hint="eastAsia" w:ascii="Times New Roman" w:hAnsi="Times New Roman"/>
                      <w:color w:val="FF0000"/>
                      <w:szCs w:val="21"/>
                      <w:highlight w:val="none"/>
                    </w:rPr>
                    <w:t>；</w:t>
                  </w:r>
                  <w:r>
                    <w:rPr>
                      <w:rFonts w:ascii="Times New Roman" w:hAnsi="Times New Roman"/>
                      <w:color w:val="FF0000"/>
                      <w:szCs w:val="21"/>
                      <w:highlight w:val="none"/>
                    </w:rPr>
                    <w:t>3.本项目</w:t>
                  </w:r>
                  <w:r>
                    <w:rPr>
                      <w:rFonts w:hint="eastAsia" w:ascii="Times New Roman" w:hAnsi="Times New Roman"/>
                      <w:color w:val="FF0000"/>
                      <w:szCs w:val="21"/>
                      <w:highlight w:val="none"/>
                      <w:lang w:val="en-US" w:eastAsia="zh-CN"/>
                    </w:rPr>
                    <w:t>不属于禁燃区，</w:t>
                  </w:r>
                  <w:r>
                    <w:rPr>
                      <w:rFonts w:ascii="Times New Roman" w:hAnsi="Times New Roman"/>
                      <w:color w:val="FF0000"/>
                      <w:szCs w:val="21"/>
                      <w:highlight w:val="none"/>
                    </w:rPr>
                    <w:t>不涉及</w:t>
                  </w:r>
                  <w:r>
                    <w:rPr>
                      <w:rFonts w:ascii="Times New Roman" w:hAnsi="Times New Roman"/>
                      <w:color w:val="FF0000"/>
                      <w:highlight w:val="none"/>
                    </w:rPr>
                    <w:t>高污染燃料和高污染燃料燃用设施。</w:t>
                  </w:r>
                </w:p>
              </w:tc>
              <w:tc>
                <w:tcPr>
                  <w:tcW w:w="320" w:type="pct"/>
                  <w:vMerge w:val="continue"/>
                  <w:tcBorders>
                    <w:tl2br w:val="nil"/>
                    <w:tr2bl w:val="nil"/>
                  </w:tcBorders>
                </w:tcPr>
                <w:p w14:paraId="05653295">
                  <w:pPr>
                    <w:pStyle w:val="23"/>
                    <w:rPr>
                      <w:rFonts w:ascii="Times New Roman" w:hAnsi="Times New Roman"/>
                      <w:color w:val="FF0000"/>
                      <w:highlight w:val="none"/>
                    </w:rPr>
                  </w:pPr>
                </w:p>
              </w:tc>
            </w:tr>
          </w:tbl>
          <w:p w14:paraId="144D8C4E">
            <w:pPr>
              <w:pStyle w:val="13"/>
              <w:jc w:val="center"/>
              <w:rPr>
                <w:b/>
                <w:bCs/>
                <w:color w:val="FF0000"/>
                <w:sz w:val="21"/>
                <w:szCs w:val="21"/>
                <w:highlight w:val="none"/>
              </w:rPr>
            </w:pPr>
            <w:bookmarkStart w:id="2" w:name="_Toc17663"/>
            <w:r>
              <w:rPr>
                <w:rFonts w:hint="eastAsia"/>
                <w:b/>
                <w:bCs/>
                <w:color w:val="FF0000"/>
                <w:sz w:val="21"/>
                <w:szCs w:val="21"/>
                <w:highlight w:val="none"/>
              </w:rPr>
              <w:t>表1-</w:t>
            </w:r>
            <w:r>
              <w:rPr>
                <w:rFonts w:hint="eastAsia"/>
                <w:b/>
                <w:bCs/>
                <w:color w:val="FF0000"/>
                <w:sz w:val="21"/>
                <w:szCs w:val="21"/>
                <w:highlight w:val="none"/>
                <w:lang w:val="en-US" w:eastAsia="zh-CN"/>
              </w:rPr>
              <w:t>6</w:t>
            </w:r>
            <w:r>
              <w:rPr>
                <w:rFonts w:hint="eastAsia"/>
                <w:b/>
                <w:bCs/>
                <w:color w:val="FF0000"/>
                <w:sz w:val="21"/>
                <w:szCs w:val="21"/>
                <w:highlight w:val="none"/>
              </w:rPr>
              <w:t xml:space="preserve">  本项目与</w:t>
            </w:r>
            <w:r>
              <w:rPr>
                <w:rFonts w:hint="eastAsia"/>
                <w:b/>
                <w:bCs/>
                <w:color w:val="FF0000"/>
                <w:sz w:val="21"/>
                <w:szCs w:val="21"/>
                <w:highlight w:val="none"/>
                <w:lang w:val="en-US" w:eastAsia="zh-CN"/>
              </w:rPr>
              <w:t>一般管控单元ZH21040330001</w:t>
            </w:r>
            <w:r>
              <w:rPr>
                <w:b/>
                <w:bCs/>
                <w:color w:val="FF0000"/>
                <w:sz w:val="21"/>
                <w:szCs w:val="21"/>
                <w:highlight w:val="none"/>
              </w:rPr>
              <w:t>符合性分析</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3456"/>
              <w:gridCol w:w="2586"/>
              <w:gridCol w:w="500"/>
            </w:tblGrid>
            <w:tr w14:paraId="43904B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pct"/>
                  <w:tcBorders>
                    <w:tl2br w:val="nil"/>
                    <w:tr2bl w:val="nil"/>
                  </w:tcBorders>
                  <w:vAlign w:val="center"/>
                </w:tcPr>
                <w:p w14:paraId="561CC550">
                  <w:pPr>
                    <w:pStyle w:val="13"/>
                    <w:jc w:val="center"/>
                    <w:rPr>
                      <w:b/>
                      <w:bCs/>
                      <w:color w:val="FF0000"/>
                      <w:sz w:val="21"/>
                      <w:szCs w:val="21"/>
                      <w:highlight w:val="none"/>
                    </w:rPr>
                  </w:pPr>
                  <w:r>
                    <w:rPr>
                      <w:b/>
                      <w:bCs/>
                      <w:color w:val="FF0000"/>
                      <w:sz w:val="21"/>
                      <w:szCs w:val="21"/>
                      <w:highlight w:val="none"/>
                    </w:rPr>
                    <w:t>管控维度</w:t>
                  </w:r>
                </w:p>
              </w:tc>
              <w:tc>
                <w:tcPr>
                  <w:tcW w:w="2212" w:type="pct"/>
                  <w:tcBorders>
                    <w:tl2br w:val="nil"/>
                    <w:tr2bl w:val="nil"/>
                  </w:tcBorders>
                  <w:vAlign w:val="center"/>
                </w:tcPr>
                <w:p w14:paraId="06ACA59B">
                  <w:pPr>
                    <w:pStyle w:val="13"/>
                    <w:jc w:val="center"/>
                    <w:rPr>
                      <w:b/>
                      <w:bCs/>
                      <w:color w:val="FF0000"/>
                      <w:sz w:val="21"/>
                      <w:szCs w:val="21"/>
                      <w:highlight w:val="none"/>
                    </w:rPr>
                  </w:pPr>
                  <w:r>
                    <w:rPr>
                      <w:b/>
                      <w:bCs/>
                      <w:color w:val="FF0000"/>
                      <w:sz w:val="21"/>
                      <w:szCs w:val="21"/>
                      <w:highlight w:val="none"/>
                    </w:rPr>
                    <w:t>管控要求</w:t>
                  </w:r>
                </w:p>
              </w:tc>
              <w:tc>
                <w:tcPr>
                  <w:tcW w:w="1655" w:type="pct"/>
                  <w:tcBorders>
                    <w:tl2br w:val="nil"/>
                    <w:tr2bl w:val="nil"/>
                  </w:tcBorders>
                  <w:vAlign w:val="center"/>
                </w:tcPr>
                <w:p w14:paraId="09B59C14">
                  <w:pPr>
                    <w:pStyle w:val="13"/>
                    <w:jc w:val="center"/>
                    <w:rPr>
                      <w:b/>
                      <w:bCs/>
                      <w:color w:val="FF0000"/>
                      <w:sz w:val="21"/>
                      <w:szCs w:val="21"/>
                      <w:highlight w:val="none"/>
                    </w:rPr>
                  </w:pPr>
                  <w:r>
                    <w:rPr>
                      <w:b/>
                      <w:bCs/>
                      <w:color w:val="FF0000"/>
                      <w:sz w:val="21"/>
                      <w:szCs w:val="21"/>
                      <w:highlight w:val="none"/>
                    </w:rPr>
                    <w:t>本项目情况</w:t>
                  </w:r>
                </w:p>
              </w:tc>
              <w:tc>
                <w:tcPr>
                  <w:tcW w:w="320" w:type="pct"/>
                  <w:tcBorders>
                    <w:tl2br w:val="nil"/>
                    <w:tr2bl w:val="nil"/>
                  </w:tcBorders>
                  <w:vAlign w:val="center"/>
                </w:tcPr>
                <w:p w14:paraId="0E15CA4C">
                  <w:pPr>
                    <w:pStyle w:val="13"/>
                    <w:jc w:val="center"/>
                    <w:rPr>
                      <w:b/>
                      <w:bCs/>
                      <w:color w:val="FF0000"/>
                      <w:sz w:val="21"/>
                      <w:szCs w:val="21"/>
                      <w:highlight w:val="none"/>
                    </w:rPr>
                  </w:pPr>
                  <w:r>
                    <w:rPr>
                      <w:b/>
                      <w:bCs/>
                      <w:color w:val="FF0000"/>
                      <w:sz w:val="21"/>
                      <w:szCs w:val="21"/>
                      <w:highlight w:val="none"/>
                    </w:rPr>
                    <w:t>符合性</w:t>
                  </w:r>
                </w:p>
              </w:tc>
            </w:tr>
            <w:tr w14:paraId="737E35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11" w:type="pct"/>
                  <w:tcBorders>
                    <w:tl2br w:val="nil"/>
                    <w:tr2bl w:val="nil"/>
                  </w:tcBorders>
                  <w:vAlign w:val="center"/>
                </w:tcPr>
                <w:p w14:paraId="6B21D17A">
                  <w:pPr>
                    <w:pStyle w:val="13"/>
                    <w:jc w:val="center"/>
                    <w:rPr>
                      <w:color w:val="FF0000"/>
                      <w:sz w:val="21"/>
                      <w:szCs w:val="21"/>
                      <w:highlight w:val="none"/>
                    </w:rPr>
                  </w:pPr>
                  <w:r>
                    <w:rPr>
                      <w:color w:val="FF0000"/>
                      <w:sz w:val="21"/>
                      <w:szCs w:val="21"/>
                      <w:highlight w:val="none"/>
                    </w:rPr>
                    <w:t>空间布局约束</w:t>
                  </w:r>
                </w:p>
              </w:tc>
              <w:tc>
                <w:tcPr>
                  <w:tcW w:w="2212" w:type="pct"/>
                  <w:tcBorders>
                    <w:tl2br w:val="nil"/>
                    <w:tr2bl w:val="nil"/>
                  </w:tcBorders>
                  <w:vAlign w:val="center"/>
                </w:tcPr>
                <w:p w14:paraId="05F95231">
                  <w:pPr>
                    <w:pStyle w:val="23"/>
                    <w:ind w:left="0"/>
                    <w:jc w:val="center"/>
                    <w:rPr>
                      <w:rFonts w:ascii="Times New Roman" w:hAnsi="Times New Roman"/>
                      <w:color w:val="FF0000"/>
                      <w:highlight w:val="none"/>
                    </w:rPr>
                  </w:pPr>
                  <w:r>
                    <w:rPr>
                      <w:rFonts w:hint="eastAsia" w:ascii="Times New Roman" w:hAnsi="Times New Roman"/>
                      <w:color w:val="FF0000"/>
                      <w:highlight w:val="none"/>
                    </w:rPr>
                    <w:t>同抚顺市、东洲区普适性准入要求</w:t>
                  </w:r>
                </w:p>
              </w:tc>
              <w:tc>
                <w:tcPr>
                  <w:tcW w:w="1655" w:type="pct"/>
                  <w:tcBorders>
                    <w:tl2br w:val="nil"/>
                    <w:tr2bl w:val="nil"/>
                  </w:tcBorders>
                  <w:vAlign w:val="center"/>
                </w:tcPr>
                <w:p w14:paraId="0F3C5098">
                  <w:pPr>
                    <w:pStyle w:val="23"/>
                    <w:ind w:left="0" w:leftChars="0"/>
                    <w:jc w:val="center"/>
                    <w:rPr>
                      <w:rFonts w:ascii="Times New Roman" w:hAnsi="Times New Roman"/>
                      <w:color w:val="FF0000"/>
                      <w:highlight w:val="none"/>
                    </w:rPr>
                  </w:pPr>
                  <w:r>
                    <w:rPr>
                      <w:rFonts w:hint="eastAsia" w:ascii="Times New Roman" w:hAnsi="Times New Roman"/>
                      <w:color w:val="FF0000"/>
                      <w:highlight w:val="none"/>
                      <w:lang w:val="en-US" w:eastAsia="zh-CN"/>
                    </w:rPr>
                    <w:t>本项目符合</w:t>
                  </w:r>
                  <w:r>
                    <w:rPr>
                      <w:rFonts w:hint="eastAsia" w:ascii="Times New Roman" w:hAnsi="Times New Roman"/>
                      <w:color w:val="FF0000"/>
                      <w:highlight w:val="none"/>
                    </w:rPr>
                    <w:t>抚顺市、东洲区普适性准入要求</w:t>
                  </w:r>
                </w:p>
              </w:tc>
              <w:tc>
                <w:tcPr>
                  <w:tcW w:w="320" w:type="pct"/>
                  <w:tcBorders>
                    <w:tl2br w:val="nil"/>
                    <w:tr2bl w:val="nil"/>
                  </w:tcBorders>
                  <w:vAlign w:val="center"/>
                </w:tcPr>
                <w:p w14:paraId="79BCF026">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383307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811" w:type="pct"/>
                  <w:tcBorders>
                    <w:tl2br w:val="nil"/>
                    <w:tr2bl w:val="nil"/>
                  </w:tcBorders>
                  <w:shd w:val="clear" w:color="auto" w:fill="auto"/>
                  <w:vAlign w:val="center"/>
                </w:tcPr>
                <w:p w14:paraId="06498FAB">
                  <w:pPr>
                    <w:jc w:val="center"/>
                    <w:rPr>
                      <w:rFonts w:hint="default" w:ascii="Times New Roman" w:hAnsi="Times New Roman" w:eastAsia="宋体" w:cs="Times New Roman"/>
                      <w:color w:val="FF0000"/>
                      <w:kern w:val="2"/>
                      <w:sz w:val="21"/>
                      <w:szCs w:val="24"/>
                      <w:highlight w:val="none"/>
                      <w:lang w:val="en-US" w:eastAsia="zh-CN" w:bidi="ar-SA"/>
                    </w:rPr>
                  </w:pPr>
                  <w:r>
                    <w:rPr>
                      <w:rFonts w:hint="eastAsia"/>
                      <w:color w:val="FF0000"/>
                      <w:highlight w:val="none"/>
                      <w:lang w:val="en-US" w:eastAsia="zh-CN"/>
                    </w:rPr>
                    <w:t>污染物排放管控</w:t>
                  </w:r>
                </w:p>
              </w:tc>
              <w:tc>
                <w:tcPr>
                  <w:tcW w:w="2212" w:type="pct"/>
                  <w:tcBorders>
                    <w:tl2br w:val="nil"/>
                    <w:tr2bl w:val="nil"/>
                  </w:tcBorders>
                  <w:vAlign w:val="center"/>
                </w:tcPr>
                <w:p w14:paraId="0EA73555">
                  <w:pPr>
                    <w:jc w:val="center"/>
                    <w:rPr>
                      <w:rFonts w:hint="default" w:eastAsia="宋体"/>
                      <w:color w:val="FF0000"/>
                      <w:highlight w:val="none"/>
                      <w:lang w:val="en-US" w:eastAsia="zh-CN"/>
                    </w:rPr>
                  </w:pPr>
                  <w:r>
                    <w:rPr>
                      <w:rFonts w:hint="eastAsia" w:ascii="Times New Roman" w:hAnsi="Times New Roman"/>
                      <w:color w:val="FF0000"/>
                      <w:highlight w:val="none"/>
                    </w:rPr>
                    <w:t>同抚顺市、东洲区普适性准入要求</w:t>
                  </w:r>
                </w:p>
              </w:tc>
              <w:tc>
                <w:tcPr>
                  <w:tcW w:w="1655" w:type="pct"/>
                  <w:tcBorders>
                    <w:tl2br w:val="nil"/>
                    <w:tr2bl w:val="nil"/>
                  </w:tcBorders>
                  <w:vAlign w:val="center"/>
                </w:tcPr>
                <w:p w14:paraId="7D242F58">
                  <w:pPr>
                    <w:pStyle w:val="23"/>
                    <w:ind w:left="0"/>
                    <w:jc w:val="center"/>
                    <w:rPr>
                      <w:rFonts w:ascii="Times New Roman" w:hAnsi="Times New Roman"/>
                      <w:color w:val="FF0000"/>
                      <w:highlight w:val="none"/>
                    </w:rPr>
                  </w:pPr>
                  <w:r>
                    <w:rPr>
                      <w:rFonts w:hint="eastAsia" w:ascii="Times New Roman" w:hAnsi="Times New Roman"/>
                      <w:color w:val="FF0000"/>
                      <w:highlight w:val="none"/>
                      <w:lang w:val="en-US" w:eastAsia="zh-CN"/>
                    </w:rPr>
                    <w:t>本项目符合</w:t>
                  </w:r>
                  <w:r>
                    <w:rPr>
                      <w:rFonts w:hint="eastAsia" w:ascii="Times New Roman" w:hAnsi="Times New Roman"/>
                      <w:color w:val="FF0000"/>
                      <w:highlight w:val="none"/>
                    </w:rPr>
                    <w:t>抚顺市、东洲区普适性准入要求</w:t>
                  </w:r>
                </w:p>
              </w:tc>
              <w:tc>
                <w:tcPr>
                  <w:tcW w:w="320" w:type="pct"/>
                  <w:tcBorders>
                    <w:tl2br w:val="nil"/>
                    <w:tr2bl w:val="nil"/>
                  </w:tcBorders>
                  <w:vAlign w:val="center"/>
                </w:tcPr>
                <w:p w14:paraId="1EDAAFB7">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590925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811" w:type="pct"/>
                  <w:tcBorders>
                    <w:tl2br w:val="nil"/>
                    <w:tr2bl w:val="nil"/>
                  </w:tcBorders>
                  <w:shd w:val="clear" w:color="auto" w:fill="auto"/>
                  <w:vAlign w:val="center"/>
                </w:tcPr>
                <w:p w14:paraId="71FDEE48">
                  <w:pPr>
                    <w:pStyle w:val="11"/>
                    <w:spacing w:after="0" w:line="240" w:lineRule="auto"/>
                    <w:ind w:left="0" w:leftChars="0"/>
                    <w:jc w:val="center"/>
                    <w:rPr>
                      <w:rFonts w:hint="default" w:ascii="Times New Roman" w:hAnsi="Times New Roman" w:eastAsia="宋体" w:cs="Times New Roman"/>
                      <w:color w:val="FF0000"/>
                      <w:kern w:val="2"/>
                      <w:sz w:val="21"/>
                      <w:szCs w:val="24"/>
                      <w:highlight w:val="none"/>
                      <w:lang w:val="en-US" w:eastAsia="zh-CN" w:bidi="ar-SA"/>
                    </w:rPr>
                  </w:pPr>
                  <w:r>
                    <w:rPr>
                      <w:rFonts w:hint="eastAsia"/>
                      <w:color w:val="FF0000"/>
                      <w:highlight w:val="none"/>
                      <w:lang w:val="en-US" w:eastAsia="zh-CN"/>
                    </w:rPr>
                    <w:t>环境风险防控</w:t>
                  </w:r>
                </w:p>
              </w:tc>
              <w:tc>
                <w:tcPr>
                  <w:tcW w:w="2212" w:type="pct"/>
                  <w:tcBorders>
                    <w:tl2br w:val="nil"/>
                    <w:tr2bl w:val="nil"/>
                  </w:tcBorders>
                  <w:vAlign w:val="center"/>
                </w:tcPr>
                <w:p w14:paraId="7FEF91CC">
                  <w:pPr>
                    <w:pStyle w:val="11"/>
                    <w:spacing w:after="0" w:line="240" w:lineRule="auto"/>
                    <w:ind w:left="0" w:leftChars="0"/>
                    <w:jc w:val="center"/>
                    <w:rPr>
                      <w:rFonts w:hint="default" w:eastAsia="宋体"/>
                      <w:color w:val="FF0000"/>
                      <w:highlight w:val="none"/>
                      <w:lang w:val="en-US" w:eastAsia="zh-CN"/>
                    </w:rPr>
                  </w:pPr>
                  <w:r>
                    <w:rPr>
                      <w:rFonts w:hint="eastAsia" w:ascii="Times New Roman" w:hAnsi="Times New Roman"/>
                      <w:color w:val="FF0000"/>
                      <w:highlight w:val="none"/>
                    </w:rPr>
                    <w:t>同抚顺市、东洲区普适性准入要求</w:t>
                  </w:r>
                </w:p>
              </w:tc>
              <w:tc>
                <w:tcPr>
                  <w:tcW w:w="1655" w:type="pct"/>
                  <w:tcBorders>
                    <w:tl2br w:val="nil"/>
                    <w:tr2bl w:val="nil"/>
                  </w:tcBorders>
                  <w:vAlign w:val="center"/>
                </w:tcPr>
                <w:p w14:paraId="3A35864C">
                  <w:pPr>
                    <w:pStyle w:val="23"/>
                    <w:ind w:left="0" w:leftChars="0"/>
                    <w:jc w:val="center"/>
                    <w:rPr>
                      <w:rFonts w:ascii="Times New Roman" w:hAnsi="Times New Roman"/>
                      <w:color w:val="FF0000"/>
                      <w:highlight w:val="none"/>
                    </w:rPr>
                  </w:pPr>
                  <w:r>
                    <w:rPr>
                      <w:rFonts w:hint="eastAsia" w:ascii="Times New Roman" w:hAnsi="Times New Roman"/>
                      <w:color w:val="FF0000"/>
                      <w:highlight w:val="none"/>
                      <w:lang w:val="en-US" w:eastAsia="zh-CN"/>
                    </w:rPr>
                    <w:t>本项目符合</w:t>
                  </w:r>
                  <w:r>
                    <w:rPr>
                      <w:rFonts w:hint="eastAsia" w:ascii="Times New Roman" w:hAnsi="Times New Roman"/>
                      <w:color w:val="FF0000"/>
                      <w:highlight w:val="none"/>
                    </w:rPr>
                    <w:t>抚顺市、东洲区普适性准入要求</w:t>
                  </w:r>
                </w:p>
              </w:tc>
              <w:tc>
                <w:tcPr>
                  <w:tcW w:w="320" w:type="pct"/>
                  <w:tcBorders>
                    <w:tl2br w:val="nil"/>
                    <w:tr2bl w:val="nil"/>
                  </w:tcBorders>
                  <w:vAlign w:val="center"/>
                </w:tcPr>
                <w:p w14:paraId="216791F5">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117459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811" w:type="pct"/>
                  <w:tcBorders>
                    <w:tl2br w:val="nil"/>
                    <w:tr2bl w:val="nil"/>
                  </w:tcBorders>
                  <w:shd w:val="clear" w:color="auto" w:fill="auto"/>
                  <w:vAlign w:val="center"/>
                </w:tcPr>
                <w:p w14:paraId="1A53785E">
                  <w:pPr>
                    <w:jc w:val="center"/>
                    <w:rPr>
                      <w:rFonts w:hint="default" w:ascii="Times New Roman" w:hAnsi="Times New Roman" w:eastAsia="宋体" w:cs="Times New Roman"/>
                      <w:color w:val="FF0000"/>
                      <w:kern w:val="2"/>
                      <w:sz w:val="21"/>
                      <w:szCs w:val="24"/>
                      <w:highlight w:val="none"/>
                      <w:lang w:val="en-US" w:eastAsia="zh-CN" w:bidi="ar-SA"/>
                    </w:rPr>
                  </w:pPr>
                  <w:r>
                    <w:rPr>
                      <w:rFonts w:hint="eastAsia"/>
                      <w:color w:val="FF0000"/>
                      <w:highlight w:val="none"/>
                      <w:lang w:val="en-US" w:eastAsia="zh-CN"/>
                    </w:rPr>
                    <w:t>资源开发效率要求</w:t>
                  </w:r>
                </w:p>
              </w:tc>
              <w:tc>
                <w:tcPr>
                  <w:tcW w:w="2212" w:type="pct"/>
                  <w:tcBorders>
                    <w:tl2br w:val="nil"/>
                    <w:tr2bl w:val="nil"/>
                  </w:tcBorders>
                  <w:vAlign w:val="center"/>
                </w:tcPr>
                <w:p w14:paraId="2CEB3E13">
                  <w:pPr>
                    <w:jc w:val="center"/>
                    <w:rPr>
                      <w:rFonts w:hint="default" w:eastAsia="宋体"/>
                      <w:color w:val="FF0000"/>
                      <w:highlight w:val="none"/>
                      <w:lang w:val="en-US" w:eastAsia="zh-CN"/>
                    </w:rPr>
                  </w:pPr>
                  <w:r>
                    <w:rPr>
                      <w:rFonts w:hint="eastAsia" w:ascii="Times New Roman" w:hAnsi="Times New Roman"/>
                      <w:color w:val="FF0000"/>
                      <w:highlight w:val="none"/>
                    </w:rPr>
                    <w:t>同抚顺市、东洲区普适性准入要求</w:t>
                  </w:r>
                </w:p>
              </w:tc>
              <w:tc>
                <w:tcPr>
                  <w:tcW w:w="1655" w:type="pct"/>
                  <w:tcBorders>
                    <w:tl2br w:val="nil"/>
                    <w:tr2bl w:val="nil"/>
                  </w:tcBorders>
                  <w:vAlign w:val="center"/>
                </w:tcPr>
                <w:p w14:paraId="05C01981">
                  <w:pPr>
                    <w:pStyle w:val="23"/>
                    <w:ind w:left="0" w:leftChars="0"/>
                    <w:jc w:val="center"/>
                    <w:rPr>
                      <w:rFonts w:ascii="Times New Roman" w:hAnsi="Times New Roman"/>
                      <w:color w:val="FF0000"/>
                      <w:highlight w:val="none"/>
                    </w:rPr>
                  </w:pPr>
                  <w:r>
                    <w:rPr>
                      <w:rFonts w:hint="eastAsia" w:ascii="Times New Roman" w:hAnsi="Times New Roman"/>
                      <w:color w:val="FF0000"/>
                      <w:highlight w:val="none"/>
                      <w:lang w:val="en-US" w:eastAsia="zh-CN"/>
                    </w:rPr>
                    <w:t>本项目符合</w:t>
                  </w:r>
                  <w:r>
                    <w:rPr>
                      <w:rFonts w:hint="eastAsia" w:ascii="Times New Roman" w:hAnsi="Times New Roman"/>
                      <w:color w:val="FF0000"/>
                      <w:highlight w:val="none"/>
                    </w:rPr>
                    <w:t>抚顺市、东洲区普适性准入要求</w:t>
                  </w:r>
                </w:p>
              </w:tc>
              <w:tc>
                <w:tcPr>
                  <w:tcW w:w="320" w:type="pct"/>
                  <w:tcBorders>
                    <w:tl2br w:val="nil"/>
                    <w:tr2bl w:val="nil"/>
                  </w:tcBorders>
                  <w:vAlign w:val="center"/>
                </w:tcPr>
                <w:p w14:paraId="5B7AC5F3">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bl>
          <w:p w14:paraId="343443CC">
            <w:pPr>
              <w:pStyle w:val="13"/>
              <w:jc w:val="center"/>
              <w:rPr>
                <w:b/>
                <w:bCs/>
                <w:color w:val="FF0000"/>
                <w:sz w:val="21"/>
                <w:szCs w:val="21"/>
                <w:highlight w:val="none"/>
              </w:rPr>
            </w:pPr>
            <w:r>
              <w:rPr>
                <w:rFonts w:hint="eastAsia"/>
                <w:b/>
                <w:bCs/>
                <w:color w:val="FF0000"/>
                <w:sz w:val="21"/>
                <w:szCs w:val="21"/>
                <w:highlight w:val="none"/>
              </w:rPr>
              <w:t>表1</w:t>
            </w:r>
            <w:r>
              <w:rPr>
                <w:rFonts w:hint="eastAsia"/>
                <w:b/>
                <w:bCs/>
                <w:color w:val="FF0000"/>
                <w:sz w:val="21"/>
                <w:szCs w:val="21"/>
                <w:highlight w:val="none"/>
                <w:lang w:val="en-US" w:eastAsia="zh-CN"/>
              </w:rPr>
              <w:t>-7</w:t>
            </w:r>
            <w:r>
              <w:rPr>
                <w:rFonts w:hint="eastAsia"/>
                <w:b/>
                <w:bCs/>
                <w:color w:val="FF0000"/>
                <w:sz w:val="21"/>
                <w:szCs w:val="21"/>
                <w:highlight w:val="none"/>
              </w:rPr>
              <w:t xml:space="preserve">  本项目与</w:t>
            </w:r>
            <w:r>
              <w:rPr>
                <w:rFonts w:hint="eastAsia"/>
                <w:b/>
                <w:bCs/>
                <w:color w:val="FF0000"/>
                <w:sz w:val="21"/>
                <w:szCs w:val="21"/>
                <w:highlight w:val="none"/>
                <w:lang w:val="en-US" w:eastAsia="zh-CN"/>
              </w:rPr>
              <w:t>一般管控单元ZH21040310005</w:t>
            </w:r>
            <w:r>
              <w:rPr>
                <w:b/>
                <w:bCs/>
                <w:color w:val="FF0000"/>
                <w:sz w:val="21"/>
                <w:szCs w:val="21"/>
                <w:highlight w:val="none"/>
              </w:rPr>
              <w:t>符合性分析</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67"/>
              <w:gridCol w:w="4154"/>
              <w:gridCol w:w="1887"/>
              <w:gridCol w:w="501"/>
            </w:tblGrid>
            <w:tr w14:paraId="585CC8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1" w:type="pct"/>
                  <w:tcBorders>
                    <w:tl2br w:val="nil"/>
                    <w:tr2bl w:val="nil"/>
                  </w:tcBorders>
                  <w:vAlign w:val="center"/>
                </w:tcPr>
                <w:p w14:paraId="4704614B">
                  <w:pPr>
                    <w:pStyle w:val="13"/>
                    <w:jc w:val="center"/>
                    <w:rPr>
                      <w:b/>
                      <w:bCs/>
                      <w:color w:val="FF0000"/>
                      <w:sz w:val="21"/>
                      <w:szCs w:val="21"/>
                      <w:highlight w:val="none"/>
                    </w:rPr>
                  </w:pPr>
                  <w:r>
                    <w:rPr>
                      <w:b/>
                      <w:bCs/>
                      <w:color w:val="FF0000"/>
                      <w:sz w:val="21"/>
                      <w:szCs w:val="21"/>
                      <w:highlight w:val="none"/>
                    </w:rPr>
                    <w:t>管控维度</w:t>
                  </w:r>
                </w:p>
              </w:tc>
              <w:tc>
                <w:tcPr>
                  <w:tcW w:w="2659" w:type="pct"/>
                  <w:tcBorders>
                    <w:tl2br w:val="nil"/>
                    <w:tr2bl w:val="nil"/>
                  </w:tcBorders>
                  <w:vAlign w:val="center"/>
                </w:tcPr>
                <w:p w14:paraId="161778A5">
                  <w:pPr>
                    <w:pStyle w:val="13"/>
                    <w:jc w:val="center"/>
                    <w:rPr>
                      <w:b/>
                      <w:bCs/>
                      <w:color w:val="FF0000"/>
                      <w:sz w:val="21"/>
                      <w:szCs w:val="21"/>
                      <w:highlight w:val="none"/>
                    </w:rPr>
                  </w:pPr>
                  <w:r>
                    <w:rPr>
                      <w:b/>
                      <w:bCs/>
                      <w:color w:val="FF0000"/>
                      <w:sz w:val="21"/>
                      <w:szCs w:val="21"/>
                      <w:highlight w:val="none"/>
                    </w:rPr>
                    <w:t>管控要求</w:t>
                  </w:r>
                </w:p>
              </w:tc>
              <w:tc>
                <w:tcPr>
                  <w:tcW w:w="1208" w:type="pct"/>
                  <w:tcBorders>
                    <w:tl2br w:val="nil"/>
                    <w:tr2bl w:val="nil"/>
                  </w:tcBorders>
                  <w:vAlign w:val="center"/>
                </w:tcPr>
                <w:p w14:paraId="7E1141BE">
                  <w:pPr>
                    <w:pStyle w:val="13"/>
                    <w:jc w:val="center"/>
                    <w:rPr>
                      <w:b/>
                      <w:bCs/>
                      <w:color w:val="FF0000"/>
                      <w:sz w:val="21"/>
                      <w:szCs w:val="21"/>
                      <w:highlight w:val="none"/>
                    </w:rPr>
                  </w:pPr>
                  <w:r>
                    <w:rPr>
                      <w:b/>
                      <w:bCs/>
                      <w:color w:val="FF0000"/>
                      <w:sz w:val="21"/>
                      <w:szCs w:val="21"/>
                      <w:highlight w:val="none"/>
                    </w:rPr>
                    <w:t>本项目情况</w:t>
                  </w:r>
                </w:p>
              </w:tc>
              <w:tc>
                <w:tcPr>
                  <w:tcW w:w="320" w:type="pct"/>
                  <w:tcBorders>
                    <w:tl2br w:val="nil"/>
                    <w:tr2bl w:val="nil"/>
                  </w:tcBorders>
                  <w:vAlign w:val="center"/>
                </w:tcPr>
                <w:p w14:paraId="2F521210">
                  <w:pPr>
                    <w:pStyle w:val="13"/>
                    <w:jc w:val="center"/>
                    <w:rPr>
                      <w:b/>
                      <w:bCs/>
                      <w:color w:val="FF0000"/>
                      <w:sz w:val="21"/>
                      <w:szCs w:val="21"/>
                      <w:highlight w:val="none"/>
                    </w:rPr>
                  </w:pPr>
                  <w:r>
                    <w:rPr>
                      <w:b/>
                      <w:bCs/>
                      <w:color w:val="FF0000"/>
                      <w:sz w:val="21"/>
                      <w:szCs w:val="21"/>
                      <w:highlight w:val="none"/>
                    </w:rPr>
                    <w:t>符合性</w:t>
                  </w:r>
                </w:p>
              </w:tc>
            </w:tr>
            <w:tr w14:paraId="2D003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8" w:hRule="atLeast"/>
              </w:trPr>
              <w:tc>
                <w:tcPr>
                  <w:tcW w:w="811" w:type="pct"/>
                  <w:tcBorders>
                    <w:tl2br w:val="nil"/>
                    <w:tr2bl w:val="nil"/>
                  </w:tcBorders>
                  <w:vAlign w:val="center"/>
                </w:tcPr>
                <w:p w14:paraId="6BCEA496">
                  <w:pPr>
                    <w:pStyle w:val="13"/>
                    <w:jc w:val="center"/>
                    <w:rPr>
                      <w:color w:val="FF0000"/>
                      <w:sz w:val="21"/>
                      <w:szCs w:val="21"/>
                      <w:highlight w:val="none"/>
                    </w:rPr>
                  </w:pPr>
                  <w:r>
                    <w:rPr>
                      <w:color w:val="FF0000"/>
                      <w:sz w:val="21"/>
                      <w:szCs w:val="21"/>
                      <w:highlight w:val="none"/>
                    </w:rPr>
                    <w:t>空间布局约束</w:t>
                  </w:r>
                </w:p>
              </w:tc>
              <w:tc>
                <w:tcPr>
                  <w:tcW w:w="2659" w:type="pct"/>
                  <w:tcBorders>
                    <w:tl2br w:val="nil"/>
                    <w:tr2bl w:val="nil"/>
                  </w:tcBorders>
                  <w:vAlign w:val="center"/>
                </w:tcPr>
                <w:p w14:paraId="07308DC9">
                  <w:pPr>
                    <w:pStyle w:val="23"/>
                    <w:ind w:left="0"/>
                    <w:jc w:val="both"/>
                    <w:rPr>
                      <w:rFonts w:hint="eastAsia" w:ascii="Times New Roman" w:hAnsi="Times New Roman"/>
                      <w:color w:val="FF0000"/>
                      <w:highlight w:val="none"/>
                    </w:rPr>
                  </w:pPr>
                  <w:r>
                    <w:rPr>
                      <w:rFonts w:hint="eastAsia" w:ascii="Times New Roman" w:hAnsi="Times New Roman"/>
                      <w:color w:val="FF0000"/>
                      <w:highlight w:val="none"/>
                    </w:rPr>
                    <w:t>对于区域生态环境存在一定影响的建设活动，制定相应的限期搬迁计划和还林、还湿方案，明确时间和后续修复方案。严格限制建设大气污染、水污染严重的项目，提倡发</w:t>
                  </w:r>
                </w:p>
                <w:p w14:paraId="053EE417">
                  <w:pPr>
                    <w:pStyle w:val="23"/>
                    <w:ind w:left="0"/>
                    <w:jc w:val="center"/>
                    <w:rPr>
                      <w:rFonts w:hint="eastAsia" w:ascii="Times New Roman" w:hAnsi="Times New Roman" w:eastAsia="宋体"/>
                      <w:color w:val="FF0000"/>
                      <w:highlight w:val="none"/>
                      <w:lang w:val="en-US" w:eastAsia="zh-CN"/>
                    </w:rPr>
                  </w:pPr>
                  <w:r>
                    <w:rPr>
                      <w:rFonts w:hint="eastAsia" w:ascii="Times New Roman" w:hAnsi="Times New Roman"/>
                      <w:color w:val="FF0000"/>
                      <w:highlight w:val="none"/>
                    </w:rPr>
                    <w:t>展低污染或无污染的行业，以保障城市、人居生态环境，以提升生态环境质量，增加生态空间面积为主，尽量降低人为干扰带来的</w:t>
                  </w:r>
                  <w:r>
                    <w:rPr>
                      <w:rFonts w:hint="eastAsia" w:ascii="Times New Roman" w:hAnsi="Times New Roman"/>
                      <w:color w:val="FF0000"/>
                      <w:highlight w:val="none"/>
                      <w:lang w:val="en-US" w:eastAsia="zh-CN"/>
                    </w:rPr>
                    <w:t>影响</w:t>
                  </w:r>
                </w:p>
              </w:tc>
              <w:tc>
                <w:tcPr>
                  <w:tcW w:w="1208" w:type="pct"/>
                  <w:tcBorders>
                    <w:tl2br w:val="nil"/>
                    <w:tr2bl w:val="nil"/>
                  </w:tcBorders>
                  <w:vAlign w:val="center"/>
                </w:tcPr>
                <w:p w14:paraId="0CEE41B7">
                  <w:pPr>
                    <w:pStyle w:val="23"/>
                    <w:ind w:left="0" w:leftChars="0"/>
                    <w:jc w:val="center"/>
                    <w:rPr>
                      <w:rFonts w:hint="default" w:ascii="Times New Roman" w:hAnsi="Times New Roman"/>
                      <w:color w:val="FF0000"/>
                      <w:highlight w:val="none"/>
                      <w:lang w:val="en-US"/>
                    </w:rPr>
                  </w:pPr>
                  <w:r>
                    <w:rPr>
                      <w:rFonts w:hint="eastAsia" w:ascii="Times New Roman" w:hAnsi="Times New Roman"/>
                      <w:color w:val="FF0000"/>
                      <w:highlight w:val="none"/>
                      <w:lang w:val="en-US" w:eastAsia="zh-CN"/>
                    </w:rPr>
                    <w:t>本项目占地位于已开发利用的抚顺东方镁业有限责任公司采区，项目运行对占地范围外生态环境无影响；本项目不属于大气污染、水污染严重项目。</w:t>
                  </w:r>
                </w:p>
              </w:tc>
              <w:tc>
                <w:tcPr>
                  <w:tcW w:w="320" w:type="pct"/>
                  <w:tcBorders>
                    <w:tl2br w:val="nil"/>
                    <w:tr2bl w:val="nil"/>
                  </w:tcBorders>
                  <w:vAlign w:val="center"/>
                </w:tcPr>
                <w:p w14:paraId="700B1DE0">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393271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3" w:hRule="atLeast"/>
              </w:trPr>
              <w:tc>
                <w:tcPr>
                  <w:tcW w:w="811" w:type="pct"/>
                  <w:tcBorders>
                    <w:tl2br w:val="nil"/>
                    <w:tr2bl w:val="nil"/>
                  </w:tcBorders>
                  <w:shd w:val="clear" w:color="auto" w:fill="auto"/>
                  <w:vAlign w:val="center"/>
                </w:tcPr>
                <w:p w14:paraId="2FB2D1DC">
                  <w:pPr>
                    <w:jc w:val="center"/>
                    <w:rPr>
                      <w:rFonts w:hint="default" w:ascii="Times New Roman" w:hAnsi="Times New Roman" w:eastAsia="宋体" w:cs="Times New Roman"/>
                      <w:color w:val="FF0000"/>
                      <w:kern w:val="2"/>
                      <w:sz w:val="21"/>
                      <w:szCs w:val="24"/>
                      <w:highlight w:val="none"/>
                      <w:lang w:val="en-US" w:eastAsia="zh-CN" w:bidi="ar-SA"/>
                    </w:rPr>
                  </w:pPr>
                  <w:r>
                    <w:rPr>
                      <w:rFonts w:hint="eastAsia"/>
                      <w:color w:val="FF0000"/>
                      <w:highlight w:val="none"/>
                      <w:lang w:val="en-US" w:eastAsia="zh-CN"/>
                    </w:rPr>
                    <w:t>污染物排放管控</w:t>
                  </w:r>
                </w:p>
              </w:tc>
              <w:tc>
                <w:tcPr>
                  <w:tcW w:w="2659" w:type="pct"/>
                  <w:tcBorders>
                    <w:tl2br w:val="nil"/>
                    <w:tr2bl w:val="nil"/>
                  </w:tcBorders>
                  <w:vAlign w:val="center"/>
                </w:tcPr>
                <w:p w14:paraId="620F475C">
                  <w:pPr>
                    <w:jc w:val="center"/>
                    <w:rPr>
                      <w:rFonts w:hint="default" w:eastAsia="宋体"/>
                      <w:color w:val="FF0000"/>
                      <w:highlight w:val="none"/>
                      <w:lang w:val="en-US" w:eastAsia="zh-CN"/>
                    </w:rPr>
                  </w:pPr>
                  <w:r>
                    <w:rPr>
                      <w:rFonts w:hint="eastAsia" w:ascii="Times New Roman" w:hAnsi="Times New Roman"/>
                      <w:color w:val="FF0000"/>
                      <w:highlight w:val="none"/>
                    </w:rPr>
                    <w:t>同抚顺市、东洲区普适性准入要求</w:t>
                  </w:r>
                </w:p>
              </w:tc>
              <w:tc>
                <w:tcPr>
                  <w:tcW w:w="1208" w:type="pct"/>
                  <w:tcBorders>
                    <w:tl2br w:val="nil"/>
                    <w:tr2bl w:val="nil"/>
                  </w:tcBorders>
                  <w:vAlign w:val="center"/>
                </w:tcPr>
                <w:p w14:paraId="0850A3DC">
                  <w:pPr>
                    <w:pStyle w:val="23"/>
                    <w:ind w:left="0"/>
                    <w:jc w:val="center"/>
                    <w:rPr>
                      <w:rFonts w:ascii="Times New Roman" w:hAnsi="Times New Roman"/>
                      <w:color w:val="FF0000"/>
                      <w:highlight w:val="none"/>
                    </w:rPr>
                  </w:pPr>
                  <w:r>
                    <w:rPr>
                      <w:rFonts w:hint="eastAsia" w:ascii="Times New Roman" w:hAnsi="Times New Roman"/>
                      <w:color w:val="FF0000"/>
                      <w:highlight w:val="none"/>
                      <w:lang w:val="en-US" w:eastAsia="zh-CN"/>
                    </w:rPr>
                    <w:t>本项目符合</w:t>
                  </w:r>
                  <w:r>
                    <w:rPr>
                      <w:rFonts w:hint="eastAsia" w:ascii="Times New Roman" w:hAnsi="Times New Roman"/>
                      <w:color w:val="FF0000"/>
                      <w:highlight w:val="none"/>
                    </w:rPr>
                    <w:t>抚顺市、东洲区普适性准入要求</w:t>
                  </w:r>
                </w:p>
              </w:tc>
              <w:tc>
                <w:tcPr>
                  <w:tcW w:w="320" w:type="pct"/>
                  <w:tcBorders>
                    <w:tl2br w:val="nil"/>
                    <w:tr2bl w:val="nil"/>
                  </w:tcBorders>
                  <w:vAlign w:val="center"/>
                </w:tcPr>
                <w:p w14:paraId="50DF55D0">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4A3289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811" w:type="pct"/>
                  <w:tcBorders>
                    <w:tl2br w:val="nil"/>
                    <w:tr2bl w:val="nil"/>
                  </w:tcBorders>
                  <w:shd w:val="clear" w:color="auto" w:fill="auto"/>
                  <w:vAlign w:val="center"/>
                </w:tcPr>
                <w:p w14:paraId="30903D2E">
                  <w:pPr>
                    <w:pStyle w:val="11"/>
                    <w:spacing w:after="0" w:line="240" w:lineRule="auto"/>
                    <w:ind w:left="0" w:leftChars="0"/>
                    <w:jc w:val="center"/>
                    <w:rPr>
                      <w:rFonts w:hint="default" w:ascii="Times New Roman" w:hAnsi="Times New Roman" w:eastAsia="宋体" w:cs="Times New Roman"/>
                      <w:color w:val="FF0000"/>
                      <w:kern w:val="2"/>
                      <w:sz w:val="21"/>
                      <w:szCs w:val="24"/>
                      <w:highlight w:val="none"/>
                      <w:lang w:val="en-US" w:eastAsia="zh-CN" w:bidi="ar-SA"/>
                    </w:rPr>
                  </w:pPr>
                  <w:r>
                    <w:rPr>
                      <w:rFonts w:hint="eastAsia"/>
                      <w:color w:val="FF0000"/>
                      <w:highlight w:val="none"/>
                      <w:lang w:val="en-US" w:eastAsia="zh-CN"/>
                    </w:rPr>
                    <w:t>环境风险防控</w:t>
                  </w:r>
                </w:p>
              </w:tc>
              <w:tc>
                <w:tcPr>
                  <w:tcW w:w="2659" w:type="pct"/>
                  <w:tcBorders>
                    <w:tl2br w:val="nil"/>
                    <w:tr2bl w:val="nil"/>
                  </w:tcBorders>
                  <w:vAlign w:val="center"/>
                </w:tcPr>
                <w:p w14:paraId="34B5D56F">
                  <w:pPr>
                    <w:pStyle w:val="11"/>
                    <w:spacing w:after="0" w:line="240" w:lineRule="auto"/>
                    <w:ind w:left="0" w:leftChars="0"/>
                    <w:jc w:val="center"/>
                    <w:rPr>
                      <w:rFonts w:hint="default" w:eastAsia="宋体"/>
                      <w:color w:val="FF0000"/>
                      <w:highlight w:val="none"/>
                      <w:lang w:val="en-US" w:eastAsia="zh-CN"/>
                    </w:rPr>
                  </w:pPr>
                  <w:r>
                    <w:rPr>
                      <w:rFonts w:hint="eastAsia" w:ascii="Times New Roman" w:hAnsi="Times New Roman"/>
                      <w:color w:val="FF0000"/>
                      <w:highlight w:val="none"/>
                    </w:rPr>
                    <w:t>同抚顺市、东洲区普适性准入要求</w:t>
                  </w:r>
                </w:p>
              </w:tc>
              <w:tc>
                <w:tcPr>
                  <w:tcW w:w="1208" w:type="pct"/>
                  <w:tcBorders>
                    <w:tl2br w:val="nil"/>
                    <w:tr2bl w:val="nil"/>
                  </w:tcBorders>
                  <w:vAlign w:val="center"/>
                </w:tcPr>
                <w:p w14:paraId="7A41E46B">
                  <w:pPr>
                    <w:pStyle w:val="23"/>
                    <w:ind w:left="0" w:leftChars="0"/>
                    <w:jc w:val="center"/>
                    <w:rPr>
                      <w:rFonts w:ascii="Times New Roman" w:hAnsi="Times New Roman"/>
                      <w:color w:val="FF0000"/>
                      <w:highlight w:val="none"/>
                    </w:rPr>
                  </w:pPr>
                  <w:r>
                    <w:rPr>
                      <w:rFonts w:hint="eastAsia" w:ascii="Times New Roman" w:hAnsi="Times New Roman"/>
                      <w:color w:val="FF0000"/>
                      <w:highlight w:val="none"/>
                      <w:lang w:val="en-US" w:eastAsia="zh-CN"/>
                    </w:rPr>
                    <w:t>本项目符合</w:t>
                  </w:r>
                  <w:r>
                    <w:rPr>
                      <w:rFonts w:hint="eastAsia" w:ascii="Times New Roman" w:hAnsi="Times New Roman"/>
                      <w:color w:val="FF0000"/>
                      <w:highlight w:val="none"/>
                    </w:rPr>
                    <w:t>抚顺市、东洲区普适性准入要求</w:t>
                  </w:r>
                </w:p>
              </w:tc>
              <w:tc>
                <w:tcPr>
                  <w:tcW w:w="320" w:type="pct"/>
                  <w:tcBorders>
                    <w:tl2br w:val="nil"/>
                    <w:tr2bl w:val="nil"/>
                  </w:tcBorders>
                  <w:vAlign w:val="center"/>
                </w:tcPr>
                <w:p w14:paraId="50F0E8E9">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r w14:paraId="56608A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8" w:hRule="atLeast"/>
              </w:trPr>
              <w:tc>
                <w:tcPr>
                  <w:tcW w:w="811" w:type="pct"/>
                  <w:tcBorders>
                    <w:tl2br w:val="nil"/>
                    <w:tr2bl w:val="nil"/>
                  </w:tcBorders>
                  <w:shd w:val="clear" w:color="auto" w:fill="auto"/>
                  <w:vAlign w:val="center"/>
                </w:tcPr>
                <w:p w14:paraId="6C5B529E">
                  <w:pPr>
                    <w:jc w:val="center"/>
                    <w:rPr>
                      <w:rFonts w:hint="default" w:ascii="Times New Roman" w:hAnsi="Times New Roman" w:eastAsia="宋体" w:cs="Times New Roman"/>
                      <w:color w:val="FF0000"/>
                      <w:kern w:val="2"/>
                      <w:sz w:val="21"/>
                      <w:szCs w:val="24"/>
                      <w:highlight w:val="none"/>
                      <w:lang w:val="en-US" w:eastAsia="zh-CN" w:bidi="ar-SA"/>
                    </w:rPr>
                  </w:pPr>
                  <w:r>
                    <w:rPr>
                      <w:rFonts w:hint="eastAsia"/>
                      <w:color w:val="FF0000"/>
                      <w:highlight w:val="none"/>
                      <w:lang w:val="en-US" w:eastAsia="zh-CN"/>
                    </w:rPr>
                    <w:t>资源开发效率要求</w:t>
                  </w:r>
                </w:p>
              </w:tc>
              <w:tc>
                <w:tcPr>
                  <w:tcW w:w="2659" w:type="pct"/>
                  <w:tcBorders>
                    <w:tl2br w:val="nil"/>
                    <w:tr2bl w:val="nil"/>
                  </w:tcBorders>
                  <w:vAlign w:val="center"/>
                </w:tcPr>
                <w:p w14:paraId="55DCD0C9">
                  <w:pPr>
                    <w:jc w:val="center"/>
                    <w:rPr>
                      <w:rFonts w:hint="default" w:eastAsia="宋体"/>
                      <w:color w:val="FF0000"/>
                      <w:highlight w:val="none"/>
                      <w:lang w:val="en-US" w:eastAsia="zh-CN"/>
                    </w:rPr>
                  </w:pPr>
                  <w:r>
                    <w:rPr>
                      <w:rFonts w:hint="eastAsia" w:ascii="Times New Roman" w:hAnsi="Times New Roman"/>
                      <w:color w:val="FF0000"/>
                      <w:highlight w:val="none"/>
                    </w:rPr>
                    <w:t>同抚顺市、东洲区普适性准入要求</w:t>
                  </w:r>
                </w:p>
              </w:tc>
              <w:tc>
                <w:tcPr>
                  <w:tcW w:w="1208" w:type="pct"/>
                  <w:tcBorders>
                    <w:tl2br w:val="nil"/>
                    <w:tr2bl w:val="nil"/>
                  </w:tcBorders>
                  <w:vAlign w:val="center"/>
                </w:tcPr>
                <w:p w14:paraId="3A7CBD1A">
                  <w:pPr>
                    <w:pStyle w:val="23"/>
                    <w:ind w:left="0" w:leftChars="0"/>
                    <w:jc w:val="center"/>
                    <w:rPr>
                      <w:rFonts w:ascii="Times New Roman" w:hAnsi="Times New Roman"/>
                      <w:color w:val="FF0000"/>
                      <w:highlight w:val="none"/>
                    </w:rPr>
                  </w:pPr>
                  <w:r>
                    <w:rPr>
                      <w:rFonts w:hint="eastAsia" w:ascii="Times New Roman" w:hAnsi="Times New Roman"/>
                      <w:color w:val="FF0000"/>
                      <w:highlight w:val="none"/>
                      <w:lang w:val="en-US" w:eastAsia="zh-CN"/>
                    </w:rPr>
                    <w:t>本项目符合</w:t>
                  </w:r>
                  <w:r>
                    <w:rPr>
                      <w:rFonts w:hint="eastAsia" w:ascii="Times New Roman" w:hAnsi="Times New Roman"/>
                      <w:color w:val="FF0000"/>
                      <w:highlight w:val="none"/>
                    </w:rPr>
                    <w:t>抚顺市、东洲区普适性准入要求</w:t>
                  </w:r>
                </w:p>
              </w:tc>
              <w:tc>
                <w:tcPr>
                  <w:tcW w:w="320" w:type="pct"/>
                  <w:tcBorders>
                    <w:tl2br w:val="nil"/>
                    <w:tr2bl w:val="nil"/>
                  </w:tcBorders>
                  <w:vAlign w:val="center"/>
                </w:tcPr>
                <w:p w14:paraId="6F0CABF6">
                  <w:pPr>
                    <w:pStyle w:val="23"/>
                    <w:ind w:left="0"/>
                    <w:jc w:val="center"/>
                    <w:rPr>
                      <w:rFonts w:ascii="Times New Roman" w:hAnsi="Times New Roman"/>
                      <w:color w:val="FF0000"/>
                      <w:highlight w:val="none"/>
                    </w:rPr>
                  </w:pPr>
                  <w:r>
                    <w:rPr>
                      <w:rFonts w:ascii="Times New Roman" w:hAnsi="Times New Roman"/>
                      <w:color w:val="FF0000"/>
                      <w:highlight w:val="none"/>
                    </w:rPr>
                    <w:t>符合</w:t>
                  </w:r>
                </w:p>
              </w:tc>
            </w:tr>
          </w:tbl>
          <w:p w14:paraId="304BF764">
            <w:pPr>
              <w:widowControl/>
              <w:spacing w:line="360" w:lineRule="auto"/>
              <w:jc w:val="left"/>
              <w:rPr>
                <w:rFonts w:hint="default"/>
                <w:b/>
                <w:bCs/>
                <w:color w:val="auto"/>
                <w:sz w:val="24"/>
                <w:highlight w:val="none"/>
                <w:lang w:val="en-US" w:eastAsia="zh-CN"/>
              </w:rPr>
            </w:pPr>
          </w:p>
          <w:p w14:paraId="0DE29950">
            <w:pPr>
              <w:widowControl/>
              <w:spacing w:line="360" w:lineRule="auto"/>
              <w:jc w:val="left"/>
              <w:rPr>
                <w:color w:val="auto"/>
                <w:sz w:val="24"/>
                <w:highlight w:val="none"/>
              </w:rPr>
            </w:pPr>
            <w:r>
              <w:rPr>
                <w:rFonts w:hint="eastAsia"/>
                <w:b/>
                <w:bCs/>
                <w:color w:val="auto"/>
                <w:sz w:val="24"/>
                <w:highlight w:val="none"/>
              </w:rPr>
              <w:t>五、</w:t>
            </w:r>
            <w:r>
              <w:rPr>
                <w:rFonts w:hint="eastAsia" w:ascii="宋体" w:hAnsi="宋体" w:cs="宋体"/>
                <w:b/>
                <w:bCs/>
                <w:color w:val="auto"/>
                <w:kern w:val="0"/>
                <w:sz w:val="24"/>
                <w:highlight w:val="none"/>
                <w:lang w:bidi="ar"/>
              </w:rPr>
              <w:t>与《抚顺市“十四五”生态环境保护规划》相符性分析</w:t>
            </w:r>
          </w:p>
          <w:p w14:paraId="78D8860A">
            <w:pPr>
              <w:spacing w:line="360" w:lineRule="auto"/>
              <w:ind w:firstLine="480"/>
              <w:rPr>
                <w:color w:val="auto"/>
                <w:sz w:val="24"/>
                <w:highlight w:val="none"/>
              </w:rPr>
            </w:pPr>
            <w:r>
              <w:rPr>
                <w:rFonts w:hint="eastAsia"/>
                <w:color w:val="auto"/>
                <w:sz w:val="24"/>
                <w:highlight w:val="none"/>
              </w:rPr>
              <w:t>本项目与《抚顺市“十四五”生态环境保护规划》相符性分析内容，具体内容详见下表。</w:t>
            </w:r>
          </w:p>
          <w:p w14:paraId="31A81226">
            <w:pPr>
              <w:widowControl/>
              <w:jc w:val="center"/>
              <w:rPr>
                <w:color w:val="auto"/>
                <w:szCs w:val="21"/>
                <w:highlight w:val="none"/>
              </w:rPr>
            </w:pPr>
            <w:r>
              <w:rPr>
                <w:b/>
                <w:bCs/>
                <w:color w:val="auto"/>
                <w:kern w:val="0"/>
                <w:szCs w:val="21"/>
                <w:highlight w:val="none"/>
                <w:lang w:bidi="ar"/>
              </w:rPr>
              <w:t>表1-</w:t>
            </w:r>
            <w:r>
              <w:rPr>
                <w:rFonts w:hint="eastAsia"/>
                <w:b/>
                <w:bCs/>
                <w:color w:val="auto"/>
                <w:kern w:val="0"/>
                <w:szCs w:val="21"/>
                <w:highlight w:val="none"/>
                <w:lang w:val="en-US" w:eastAsia="zh-CN" w:bidi="ar"/>
              </w:rPr>
              <w:t>7</w:t>
            </w:r>
            <w:r>
              <w:rPr>
                <w:b/>
                <w:bCs/>
                <w:color w:val="auto"/>
                <w:kern w:val="0"/>
                <w:szCs w:val="21"/>
                <w:highlight w:val="none"/>
                <w:lang w:bidi="ar"/>
              </w:rPr>
              <w:t xml:space="preserve"> 与《抚顺市“十四五”生态环境保护规划》相符性分析</w:t>
            </w:r>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014"/>
              <w:gridCol w:w="3679"/>
              <w:gridCol w:w="2272"/>
              <w:gridCol w:w="845"/>
            </w:tblGrid>
            <w:tr w14:paraId="30F688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04" w:type="pct"/>
                  <w:gridSpan w:val="2"/>
                  <w:tcBorders>
                    <w:tl2br w:val="nil"/>
                    <w:tr2bl w:val="nil"/>
                  </w:tcBorders>
                  <w:vAlign w:val="center"/>
                </w:tcPr>
                <w:p w14:paraId="69ABC2C7">
                  <w:pPr>
                    <w:adjustRightInd w:val="0"/>
                    <w:snapToGrid w:val="0"/>
                    <w:jc w:val="center"/>
                    <w:outlineLvl w:val="1"/>
                    <w:rPr>
                      <w:b/>
                      <w:bCs/>
                      <w:color w:val="auto"/>
                      <w:szCs w:val="21"/>
                      <w:highlight w:val="none"/>
                    </w:rPr>
                  </w:pPr>
                  <w:r>
                    <w:rPr>
                      <w:b/>
                      <w:bCs/>
                      <w:color w:val="auto"/>
                      <w:szCs w:val="21"/>
                      <w:highlight w:val="none"/>
                    </w:rPr>
                    <w:t>规划重点任务要求</w:t>
                  </w:r>
                </w:p>
              </w:tc>
              <w:tc>
                <w:tcPr>
                  <w:tcW w:w="1454" w:type="pct"/>
                  <w:tcBorders>
                    <w:tl2br w:val="nil"/>
                    <w:tr2bl w:val="nil"/>
                  </w:tcBorders>
                  <w:vAlign w:val="center"/>
                </w:tcPr>
                <w:p w14:paraId="1B193929">
                  <w:pPr>
                    <w:adjustRightInd w:val="0"/>
                    <w:snapToGrid w:val="0"/>
                    <w:jc w:val="center"/>
                    <w:outlineLvl w:val="1"/>
                    <w:rPr>
                      <w:b/>
                      <w:bCs/>
                      <w:color w:val="auto"/>
                      <w:szCs w:val="21"/>
                      <w:highlight w:val="none"/>
                    </w:rPr>
                  </w:pPr>
                  <w:r>
                    <w:rPr>
                      <w:b/>
                      <w:bCs/>
                      <w:color w:val="auto"/>
                      <w:szCs w:val="21"/>
                      <w:highlight w:val="none"/>
                    </w:rPr>
                    <w:t>项目情况</w:t>
                  </w:r>
                </w:p>
              </w:tc>
              <w:tc>
                <w:tcPr>
                  <w:tcW w:w="541" w:type="pct"/>
                  <w:tcBorders>
                    <w:tl2br w:val="nil"/>
                    <w:tr2bl w:val="nil"/>
                  </w:tcBorders>
                  <w:vAlign w:val="center"/>
                </w:tcPr>
                <w:p w14:paraId="3F12A032">
                  <w:pPr>
                    <w:adjustRightInd w:val="0"/>
                    <w:snapToGrid w:val="0"/>
                    <w:jc w:val="center"/>
                    <w:outlineLvl w:val="1"/>
                    <w:rPr>
                      <w:b/>
                      <w:bCs/>
                      <w:color w:val="auto"/>
                      <w:szCs w:val="21"/>
                      <w:highlight w:val="none"/>
                    </w:rPr>
                  </w:pPr>
                  <w:r>
                    <w:rPr>
                      <w:b/>
                      <w:bCs/>
                      <w:color w:val="auto"/>
                      <w:szCs w:val="21"/>
                      <w:highlight w:val="none"/>
                    </w:rPr>
                    <w:t>符合情况</w:t>
                  </w:r>
                </w:p>
              </w:tc>
            </w:tr>
            <w:tr w14:paraId="025EC0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9" w:type="pct"/>
                  <w:vMerge w:val="restart"/>
                  <w:tcBorders>
                    <w:tl2br w:val="nil"/>
                    <w:tr2bl w:val="nil"/>
                  </w:tcBorders>
                  <w:vAlign w:val="center"/>
                </w:tcPr>
                <w:p w14:paraId="5E745AEE">
                  <w:pPr>
                    <w:widowControl/>
                    <w:jc w:val="center"/>
                    <w:rPr>
                      <w:b/>
                      <w:bCs/>
                      <w:color w:val="auto"/>
                      <w:szCs w:val="21"/>
                      <w:highlight w:val="none"/>
                    </w:rPr>
                  </w:pPr>
                  <w:r>
                    <w:rPr>
                      <w:color w:val="auto"/>
                      <w:kern w:val="0"/>
                      <w:szCs w:val="21"/>
                      <w:highlight w:val="none"/>
                      <w:lang w:bidi="ar"/>
                    </w:rPr>
                    <w:t>（一）提升大气环境质量</w:t>
                  </w:r>
                </w:p>
              </w:tc>
              <w:tc>
                <w:tcPr>
                  <w:tcW w:w="2355" w:type="pct"/>
                  <w:tcBorders>
                    <w:tl2br w:val="nil"/>
                    <w:tr2bl w:val="nil"/>
                  </w:tcBorders>
                  <w:vAlign w:val="center"/>
                </w:tcPr>
                <w:p w14:paraId="7200B0D5">
                  <w:pPr>
                    <w:widowControl/>
                    <w:jc w:val="center"/>
                    <w:rPr>
                      <w:b/>
                      <w:bCs/>
                      <w:color w:val="auto"/>
                      <w:szCs w:val="21"/>
                      <w:highlight w:val="none"/>
                    </w:rPr>
                  </w:pPr>
                  <w:r>
                    <w:rPr>
                      <w:rFonts w:hint="eastAsia"/>
                      <w:color w:val="auto"/>
                      <w:kern w:val="0"/>
                      <w:szCs w:val="21"/>
                      <w:highlight w:val="none"/>
                      <w:lang w:bidi="ar"/>
                    </w:rPr>
                    <w:t>8.</w:t>
                  </w:r>
                  <w:r>
                    <w:rPr>
                      <w:color w:val="auto"/>
                      <w:kern w:val="0"/>
                      <w:szCs w:val="21"/>
                      <w:highlight w:val="none"/>
                      <w:lang w:bidi="ar"/>
                    </w:rPr>
                    <w:t>加强移动源污染防治</w:t>
                  </w:r>
                  <w:r>
                    <w:rPr>
                      <w:rFonts w:hint="eastAsia"/>
                      <w:color w:val="auto"/>
                      <w:kern w:val="0"/>
                      <w:szCs w:val="21"/>
                      <w:highlight w:val="none"/>
                      <w:lang w:bidi="ar"/>
                    </w:rPr>
                    <w:t>。统筹开展车、路、油治理和机动车污染防治，实现柴油车排放检验的全过程和检验结果的实时公开。实施在用汽车排放检测和强制维护制度，加大老旧车辆淘汰力度。提高清洁能源和新能源公交车、出租车比例，推广道路运输新能源车辆或清洁燃料车辆。加快推进绿色交通基础配套设施建设，不断满足充电桩、充电站、加氢站等设施的需求。组织开展专项行动，依法严厉打击生产、销售和使用非标车用燃料，彻底消除黑加油站点。</w:t>
                  </w:r>
                </w:p>
              </w:tc>
              <w:tc>
                <w:tcPr>
                  <w:tcW w:w="1454" w:type="pct"/>
                  <w:tcBorders>
                    <w:tl2br w:val="nil"/>
                    <w:tr2bl w:val="nil"/>
                  </w:tcBorders>
                  <w:vAlign w:val="center"/>
                </w:tcPr>
                <w:p w14:paraId="32F50ED4">
                  <w:pPr>
                    <w:widowControl/>
                    <w:jc w:val="center"/>
                    <w:rPr>
                      <w:b/>
                      <w:bCs/>
                      <w:color w:val="auto"/>
                      <w:szCs w:val="21"/>
                      <w:highlight w:val="none"/>
                    </w:rPr>
                  </w:pPr>
                  <w:r>
                    <w:rPr>
                      <w:color w:val="auto"/>
                      <w:kern w:val="0"/>
                      <w:szCs w:val="21"/>
                      <w:highlight w:val="none"/>
                      <w:lang w:bidi="ar"/>
                    </w:rPr>
                    <w:t>本项目</w:t>
                  </w:r>
                  <w:r>
                    <w:rPr>
                      <w:rFonts w:hint="eastAsia"/>
                      <w:color w:val="auto"/>
                      <w:kern w:val="0"/>
                      <w:szCs w:val="21"/>
                      <w:highlight w:val="none"/>
                      <w:lang w:bidi="ar"/>
                    </w:rPr>
                    <w:t>原料运输由厂家运输车辆运输至原料区，成品由买家车辆运输、转移；</w:t>
                  </w:r>
                  <w:r>
                    <w:rPr>
                      <w:color w:val="auto"/>
                      <w:kern w:val="0"/>
                      <w:szCs w:val="21"/>
                      <w:highlight w:val="none"/>
                      <w:lang w:bidi="ar"/>
                    </w:rPr>
                    <w:t>危险废物</w:t>
                  </w:r>
                  <w:r>
                    <w:rPr>
                      <w:rFonts w:hint="eastAsia"/>
                      <w:color w:val="auto"/>
                      <w:kern w:val="0"/>
                      <w:szCs w:val="21"/>
                      <w:highlight w:val="none"/>
                      <w:lang w:bidi="ar"/>
                    </w:rPr>
                    <w:t>暂存于危废贮存点，定期</w:t>
                  </w:r>
                  <w:r>
                    <w:rPr>
                      <w:color w:val="auto"/>
                      <w:kern w:val="0"/>
                      <w:szCs w:val="21"/>
                      <w:highlight w:val="none"/>
                      <w:lang w:bidi="ar"/>
                    </w:rPr>
                    <w:t>委托有资质单位进行运输处置。</w:t>
                  </w:r>
                  <w:r>
                    <w:rPr>
                      <w:rFonts w:hint="eastAsia"/>
                      <w:color w:val="auto"/>
                      <w:kern w:val="0"/>
                      <w:szCs w:val="21"/>
                      <w:highlight w:val="none"/>
                      <w:lang w:bidi="ar"/>
                    </w:rPr>
                    <w:t>本项目对厂区道路地面进行硬化。</w:t>
                  </w:r>
                </w:p>
              </w:tc>
              <w:tc>
                <w:tcPr>
                  <w:tcW w:w="541" w:type="pct"/>
                  <w:tcBorders>
                    <w:tl2br w:val="nil"/>
                    <w:tr2bl w:val="nil"/>
                  </w:tcBorders>
                  <w:vAlign w:val="center"/>
                </w:tcPr>
                <w:p w14:paraId="7403023A">
                  <w:pPr>
                    <w:widowControl/>
                    <w:jc w:val="center"/>
                    <w:rPr>
                      <w:color w:val="auto"/>
                      <w:kern w:val="0"/>
                      <w:szCs w:val="21"/>
                      <w:highlight w:val="none"/>
                      <w:lang w:bidi="ar"/>
                    </w:rPr>
                  </w:pPr>
                  <w:r>
                    <w:rPr>
                      <w:color w:val="auto"/>
                      <w:kern w:val="0"/>
                      <w:szCs w:val="21"/>
                      <w:highlight w:val="none"/>
                      <w:lang w:bidi="ar"/>
                    </w:rPr>
                    <w:t>符合</w:t>
                  </w:r>
                </w:p>
              </w:tc>
            </w:tr>
            <w:tr w14:paraId="7D2838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9" w:type="pct"/>
                  <w:vMerge w:val="continue"/>
                  <w:tcBorders>
                    <w:tl2br w:val="nil"/>
                    <w:tr2bl w:val="nil"/>
                  </w:tcBorders>
                  <w:vAlign w:val="center"/>
                </w:tcPr>
                <w:p w14:paraId="61296BA8">
                  <w:pPr>
                    <w:adjustRightInd w:val="0"/>
                    <w:snapToGrid w:val="0"/>
                    <w:spacing w:line="360" w:lineRule="auto"/>
                    <w:jc w:val="center"/>
                    <w:outlineLvl w:val="1"/>
                    <w:rPr>
                      <w:b/>
                      <w:bCs/>
                      <w:color w:val="auto"/>
                      <w:szCs w:val="21"/>
                      <w:highlight w:val="none"/>
                    </w:rPr>
                  </w:pPr>
                </w:p>
              </w:tc>
              <w:tc>
                <w:tcPr>
                  <w:tcW w:w="2355" w:type="pct"/>
                  <w:tcBorders>
                    <w:tl2br w:val="nil"/>
                    <w:tr2bl w:val="nil"/>
                  </w:tcBorders>
                  <w:vAlign w:val="center"/>
                </w:tcPr>
                <w:p w14:paraId="12AEC9B7">
                  <w:pPr>
                    <w:widowControl/>
                    <w:jc w:val="center"/>
                    <w:rPr>
                      <w:b/>
                      <w:bCs/>
                      <w:color w:val="auto"/>
                      <w:szCs w:val="21"/>
                      <w:highlight w:val="none"/>
                    </w:rPr>
                  </w:pPr>
                  <w:r>
                    <w:rPr>
                      <w:color w:val="auto"/>
                      <w:kern w:val="0"/>
                      <w:szCs w:val="21"/>
                      <w:highlight w:val="none"/>
                      <w:lang w:bidi="ar"/>
                    </w:rPr>
                    <w:t>9.实施城市扬尘控制行动。以完善扬尘管控网络体系为重点，全方位实施管控措施，有效降低城市扬尘污染。建筑、拆迁工地实现“六个百分百”。实施工业扬尘整治行动，重点管控混凝土搅拌站粉尘、渣土消纳场扬尘、企业料堆场和废渣场扬尘污染；实施运输车辆泄漏遗撒整治，严控物料运输车辆泄漏、遗撒。实施城市无尘清扫行动，主要干道和重要街路全部实现机械化湿式清扫；实施城市裸露土地绿化覆盖工程。加快推进采煤影响区生态修复工程，有效解决“两坑”“三场”扬尘污染问题。</w:t>
                  </w:r>
                </w:p>
              </w:tc>
              <w:tc>
                <w:tcPr>
                  <w:tcW w:w="1454" w:type="pct"/>
                  <w:tcBorders>
                    <w:tl2br w:val="nil"/>
                    <w:tr2bl w:val="nil"/>
                  </w:tcBorders>
                  <w:vAlign w:val="center"/>
                </w:tcPr>
                <w:p w14:paraId="0A84EB0E">
                  <w:pPr>
                    <w:widowControl/>
                    <w:jc w:val="center"/>
                    <w:rPr>
                      <w:b/>
                      <w:bCs/>
                      <w:color w:val="auto"/>
                      <w:szCs w:val="21"/>
                      <w:highlight w:val="none"/>
                    </w:rPr>
                  </w:pPr>
                  <w:r>
                    <w:rPr>
                      <w:color w:val="auto"/>
                      <w:kern w:val="0"/>
                      <w:szCs w:val="21"/>
                      <w:highlight w:val="none"/>
                      <w:lang w:bidi="ar"/>
                    </w:rPr>
                    <w:t>本项目施工期采取临时围挡、洒水抑尘等措施，可有效控制扬尘</w:t>
                  </w:r>
                  <w:r>
                    <w:rPr>
                      <w:rFonts w:hint="eastAsia"/>
                      <w:color w:val="auto"/>
                      <w:kern w:val="0"/>
                      <w:szCs w:val="21"/>
                      <w:highlight w:val="none"/>
                      <w:lang w:bidi="ar"/>
                    </w:rPr>
                    <w:t>；</w:t>
                  </w:r>
                  <w:r>
                    <w:rPr>
                      <w:color w:val="auto"/>
                      <w:kern w:val="0"/>
                      <w:szCs w:val="21"/>
                      <w:highlight w:val="none"/>
                      <w:lang w:bidi="ar"/>
                    </w:rPr>
                    <w:t>运营期严控物料运输车辆泄漏、遗撒</w:t>
                  </w:r>
                  <w:r>
                    <w:rPr>
                      <w:rFonts w:hint="eastAsia"/>
                      <w:color w:val="auto"/>
                      <w:kern w:val="0"/>
                      <w:szCs w:val="21"/>
                      <w:highlight w:val="none"/>
                      <w:lang w:bidi="ar"/>
                    </w:rPr>
                    <w:t>；</w:t>
                  </w:r>
                  <w:r>
                    <w:rPr>
                      <w:color w:val="auto"/>
                      <w:kern w:val="0"/>
                      <w:szCs w:val="21"/>
                      <w:highlight w:val="none"/>
                      <w:lang w:bidi="ar"/>
                    </w:rPr>
                    <w:t>对</w:t>
                  </w:r>
                  <w:r>
                    <w:rPr>
                      <w:rFonts w:hint="eastAsia"/>
                      <w:color w:val="auto"/>
                      <w:kern w:val="0"/>
                      <w:szCs w:val="21"/>
                      <w:highlight w:val="none"/>
                      <w:lang w:bidi="ar"/>
                    </w:rPr>
                    <w:t>易产尘物料</w:t>
                  </w:r>
                  <w:r>
                    <w:rPr>
                      <w:color w:val="auto"/>
                      <w:kern w:val="0"/>
                      <w:szCs w:val="21"/>
                      <w:highlight w:val="none"/>
                      <w:lang w:bidi="ar"/>
                    </w:rPr>
                    <w:t>采取覆盖防尘网或者防尘布，定期洒水等措施</w:t>
                  </w:r>
                  <w:r>
                    <w:rPr>
                      <w:rFonts w:hint="eastAsia"/>
                      <w:color w:val="auto"/>
                      <w:kern w:val="0"/>
                      <w:szCs w:val="21"/>
                      <w:highlight w:val="none"/>
                      <w:lang w:bidi="ar"/>
                    </w:rPr>
                    <w:t>。</w:t>
                  </w:r>
                </w:p>
              </w:tc>
              <w:tc>
                <w:tcPr>
                  <w:tcW w:w="541" w:type="pct"/>
                  <w:tcBorders>
                    <w:tl2br w:val="nil"/>
                    <w:tr2bl w:val="nil"/>
                  </w:tcBorders>
                  <w:vAlign w:val="center"/>
                </w:tcPr>
                <w:p w14:paraId="19FEB55A">
                  <w:pPr>
                    <w:widowControl/>
                    <w:jc w:val="center"/>
                    <w:rPr>
                      <w:color w:val="auto"/>
                      <w:kern w:val="0"/>
                      <w:szCs w:val="21"/>
                      <w:highlight w:val="none"/>
                      <w:lang w:bidi="ar"/>
                    </w:rPr>
                  </w:pPr>
                  <w:r>
                    <w:rPr>
                      <w:color w:val="auto"/>
                      <w:kern w:val="0"/>
                      <w:szCs w:val="21"/>
                      <w:highlight w:val="none"/>
                      <w:lang w:bidi="ar"/>
                    </w:rPr>
                    <w:t>符合</w:t>
                  </w:r>
                </w:p>
              </w:tc>
            </w:tr>
            <w:tr w14:paraId="46A396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9" w:type="pct"/>
                  <w:tcBorders>
                    <w:tl2br w:val="nil"/>
                    <w:tr2bl w:val="nil"/>
                  </w:tcBorders>
                  <w:vAlign w:val="center"/>
                </w:tcPr>
                <w:p w14:paraId="6ACEFFDE">
                  <w:pPr>
                    <w:widowControl/>
                    <w:jc w:val="center"/>
                    <w:rPr>
                      <w:b/>
                      <w:bCs/>
                      <w:color w:val="auto"/>
                      <w:szCs w:val="21"/>
                      <w:highlight w:val="none"/>
                    </w:rPr>
                  </w:pPr>
                  <w:r>
                    <w:rPr>
                      <w:color w:val="auto"/>
                      <w:kern w:val="0"/>
                      <w:szCs w:val="21"/>
                      <w:highlight w:val="none"/>
                      <w:lang w:bidi="ar"/>
                    </w:rPr>
                    <w:t>（二）深化水环境综合治理</w:t>
                  </w:r>
                </w:p>
              </w:tc>
              <w:tc>
                <w:tcPr>
                  <w:tcW w:w="2355" w:type="pct"/>
                  <w:tcBorders>
                    <w:tl2br w:val="nil"/>
                    <w:tr2bl w:val="nil"/>
                  </w:tcBorders>
                  <w:vAlign w:val="center"/>
                </w:tcPr>
                <w:p w14:paraId="37E428BD">
                  <w:pPr>
                    <w:widowControl/>
                    <w:jc w:val="center"/>
                    <w:rPr>
                      <w:b/>
                      <w:bCs/>
                      <w:color w:val="auto"/>
                      <w:szCs w:val="21"/>
                      <w:highlight w:val="none"/>
                    </w:rPr>
                  </w:pPr>
                  <w:r>
                    <w:rPr>
                      <w:color w:val="auto"/>
                      <w:kern w:val="0"/>
                      <w:szCs w:val="21"/>
                      <w:highlight w:val="none"/>
                      <w:lang w:bidi="ar"/>
                    </w:rPr>
                    <w:t>5.强化工业污染防治。以钢铁、水泥、有色、化工行业为污染防治切入点，重点强化小型工业企业污染防治，实施清洁化改造。持续加强抚顺高新技术产业开发区、抚顺胜利经济开发区、抚顺望花经济开发区、抚顺顺城经济开发区等污水处理的监管，新建或改造污水处理设施，增加自动在线监控装置，不断提升污水处理能力和水平。强化排污许可证管理，禁止无证排污或不按许可证规定排污。</w:t>
                  </w:r>
                </w:p>
              </w:tc>
              <w:tc>
                <w:tcPr>
                  <w:tcW w:w="1454" w:type="pct"/>
                  <w:tcBorders>
                    <w:tl2br w:val="nil"/>
                    <w:tr2bl w:val="nil"/>
                  </w:tcBorders>
                  <w:vAlign w:val="center"/>
                </w:tcPr>
                <w:p w14:paraId="6EAF1E26">
                  <w:pPr>
                    <w:widowControl/>
                    <w:jc w:val="center"/>
                    <w:rPr>
                      <w:b/>
                      <w:bCs/>
                      <w:color w:val="auto"/>
                      <w:szCs w:val="21"/>
                      <w:highlight w:val="none"/>
                    </w:rPr>
                  </w:pPr>
                  <w:r>
                    <w:rPr>
                      <w:rFonts w:hint="eastAsia"/>
                      <w:color w:val="auto"/>
                      <w:szCs w:val="21"/>
                      <w:highlight w:val="none"/>
                    </w:rPr>
                    <w:t>本项目生产废水循环使用不外排</w:t>
                  </w:r>
                  <w:r>
                    <w:rPr>
                      <w:rFonts w:hint="eastAsia"/>
                      <w:color w:val="auto"/>
                      <w:kern w:val="0"/>
                      <w:szCs w:val="21"/>
                      <w:highlight w:val="none"/>
                      <w:lang w:bidi="ar"/>
                    </w:rPr>
                    <w:t>；</w:t>
                  </w:r>
                  <w:r>
                    <w:rPr>
                      <w:color w:val="auto"/>
                      <w:kern w:val="0"/>
                      <w:szCs w:val="21"/>
                      <w:highlight w:val="none"/>
                      <w:lang w:bidi="ar"/>
                    </w:rPr>
                    <w:t>生活废水</w:t>
                  </w:r>
                  <w:r>
                    <w:rPr>
                      <w:rFonts w:hint="eastAsia"/>
                      <w:color w:val="auto"/>
                      <w:kern w:val="0"/>
                      <w:szCs w:val="21"/>
                      <w:highlight w:val="none"/>
                      <w:lang w:bidi="ar"/>
                    </w:rPr>
                    <w:t>排入防渗旱厕，定期清掏。</w:t>
                  </w:r>
                </w:p>
              </w:tc>
              <w:tc>
                <w:tcPr>
                  <w:tcW w:w="541" w:type="pct"/>
                  <w:tcBorders>
                    <w:tl2br w:val="nil"/>
                    <w:tr2bl w:val="nil"/>
                  </w:tcBorders>
                  <w:vAlign w:val="center"/>
                </w:tcPr>
                <w:p w14:paraId="59B4BF5C">
                  <w:pPr>
                    <w:widowControl/>
                    <w:jc w:val="center"/>
                    <w:rPr>
                      <w:color w:val="auto"/>
                      <w:kern w:val="0"/>
                      <w:szCs w:val="21"/>
                      <w:highlight w:val="none"/>
                      <w:lang w:bidi="ar"/>
                    </w:rPr>
                  </w:pPr>
                  <w:r>
                    <w:rPr>
                      <w:color w:val="auto"/>
                      <w:kern w:val="0"/>
                      <w:szCs w:val="21"/>
                      <w:highlight w:val="none"/>
                      <w:lang w:bidi="ar"/>
                    </w:rPr>
                    <w:t>符合</w:t>
                  </w:r>
                </w:p>
              </w:tc>
            </w:tr>
            <w:tr w14:paraId="33F8D4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9" w:type="pct"/>
                  <w:tcBorders>
                    <w:tl2br w:val="nil"/>
                    <w:tr2bl w:val="nil"/>
                  </w:tcBorders>
                  <w:vAlign w:val="center"/>
                </w:tcPr>
                <w:p w14:paraId="18979A51">
                  <w:pPr>
                    <w:widowControl/>
                    <w:jc w:val="center"/>
                    <w:rPr>
                      <w:b/>
                      <w:bCs/>
                      <w:color w:val="auto"/>
                      <w:szCs w:val="21"/>
                      <w:highlight w:val="none"/>
                    </w:rPr>
                  </w:pPr>
                  <w:r>
                    <w:rPr>
                      <w:color w:val="auto"/>
                      <w:kern w:val="0"/>
                      <w:szCs w:val="21"/>
                      <w:highlight w:val="none"/>
                      <w:lang w:bidi="ar"/>
                    </w:rPr>
                    <w:t>（五）加强固体废物系统治理</w:t>
                  </w:r>
                </w:p>
              </w:tc>
              <w:tc>
                <w:tcPr>
                  <w:tcW w:w="2355" w:type="pct"/>
                  <w:tcBorders>
                    <w:tl2br w:val="nil"/>
                    <w:tr2bl w:val="nil"/>
                  </w:tcBorders>
                  <w:vAlign w:val="center"/>
                </w:tcPr>
                <w:p w14:paraId="11326035">
                  <w:pPr>
                    <w:widowControl/>
                    <w:jc w:val="center"/>
                    <w:rPr>
                      <w:b/>
                      <w:bCs/>
                      <w:color w:val="auto"/>
                      <w:szCs w:val="21"/>
                      <w:highlight w:val="none"/>
                    </w:rPr>
                  </w:pPr>
                  <w:r>
                    <w:rPr>
                      <w:color w:val="auto"/>
                      <w:kern w:val="0"/>
                      <w:szCs w:val="21"/>
                      <w:highlight w:val="none"/>
                      <w:lang w:bidi="ar"/>
                    </w:rPr>
                    <w:t>3.加强固体废物利用污染防治。完善固体废物综合利用污染防治制度，推动固体废物综合利用二次污染环境防治工作。强化固体废物产出企业全过程污染环境防治责任，建立固体废物管理台账，记录产生固体废物的种类、数量、流向、贮存、利用、处置等信息，实施固体废物综合利用可追溯、可查询。加快建立行业规范条件和管理办法，对建设项目的规模、工艺技术装备、环境保护措施、能源资源利用等进行规范化管理，依规约束企业在生产经营活动中不符合环境保护标准的各类行为。</w:t>
                  </w:r>
                </w:p>
              </w:tc>
              <w:tc>
                <w:tcPr>
                  <w:tcW w:w="1454" w:type="pct"/>
                  <w:tcBorders>
                    <w:tl2br w:val="nil"/>
                    <w:tr2bl w:val="nil"/>
                  </w:tcBorders>
                  <w:vAlign w:val="center"/>
                </w:tcPr>
                <w:p w14:paraId="14AE37EB">
                  <w:pPr>
                    <w:widowControl/>
                    <w:jc w:val="center"/>
                    <w:rPr>
                      <w:b/>
                      <w:bCs/>
                      <w:color w:val="auto"/>
                      <w:szCs w:val="21"/>
                      <w:highlight w:val="none"/>
                    </w:rPr>
                  </w:pPr>
                  <w:r>
                    <w:rPr>
                      <w:color w:val="auto"/>
                      <w:highlight w:val="none"/>
                    </w:rPr>
                    <w:t>本项目固废均得到合理处置</w:t>
                  </w:r>
                  <w:r>
                    <w:rPr>
                      <w:rFonts w:hint="eastAsia"/>
                      <w:color w:val="auto"/>
                      <w:highlight w:val="none"/>
                    </w:rPr>
                    <w:t>，企业依照相关规定</w:t>
                  </w:r>
                  <w:r>
                    <w:rPr>
                      <w:color w:val="auto"/>
                      <w:kern w:val="0"/>
                      <w:szCs w:val="21"/>
                      <w:highlight w:val="none"/>
                      <w:lang w:bidi="ar"/>
                    </w:rPr>
                    <w:t>建立固体废物管理台账，记录产生固体废物的种类、数量、流向、贮存、利用、处置等信息</w:t>
                  </w:r>
                  <w:r>
                    <w:rPr>
                      <w:rFonts w:hint="eastAsia"/>
                      <w:color w:val="auto"/>
                      <w:kern w:val="0"/>
                      <w:szCs w:val="21"/>
                      <w:highlight w:val="none"/>
                      <w:lang w:bidi="ar"/>
                    </w:rPr>
                    <w:t>。</w:t>
                  </w:r>
                </w:p>
              </w:tc>
              <w:tc>
                <w:tcPr>
                  <w:tcW w:w="541" w:type="pct"/>
                  <w:tcBorders>
                    <w:tl2br w:val="nil"/>
                    <w:tr2bl w:val="nil"/>
                  </w:tcBorders>
                  <w:vAlign w:val="center"/>
                </w:tcPr>
                <w:p w14:paraId="148C8935">
                  <w:pPr>
                    <w:adjustRightInd w:val="0"/>
                    <w:snapToGrid w:val="0"/>
                    <w:spacing w:line="360" w:lineRule="auto"/>
                    <w:jc w:val="center"/>
                    <w:outlineLvl w:val="1"/>
                    <w:rPr>
                      <w:b/>
                      <w:bCs/>
                      <w:color w:val="auto"/>
                      <w:szCs w:val="21"/>
                      <w:highlight w:val="none"/>
                    </w:rPr>
                  </w:pPr>
                </w:p>
              </w:tc>
            </w:tr>
            <w:tr w14:paraId="1F099E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9" w:type="pct"/>
                  <w:vMerge w:val="restart"/>
                  <w:tcBorders>
                    <w:tl2br w:val="nil"/>
                    <w:tr2bl w:val="nil"/>
                  </w:tcBorders>
                  <w:vAlign w:val="center"/>
                </w:tcPr>
                <w:p w14:paraId="0A4AED7A">
                  <w:pPr>
                    <w:widowControl/>
                    <w:jc w:val="center"/>
                    <w:rPr>
                      <w:b/>
                      <w:bCs/>
                      <w:color w:val="auto"/>
                      <w:szCs w:val="21"/>
                      <w:highlight w:val="none"/>
                    </w:rPr>
                  </w:pPr>
                  <w:r>
                    <w:rPr>
                      <w:color w:val="auto"/>
                      <w:kern w:val="0"/>
                      <w:szCs w:val="21"/>
                      <w:highlight w:val="none"/>
                      <w:lang w:bidi="ar"/>
                    </w:rPr>
                    <w:t>（六）加强噪声污染防治</w:t>
                  </w:r>
                </w:p>
              </w:tc>
              <w:tc>
                <w:tcPr>
                  <w:tcW w:w="2355" w:type="pct"/>
                  <w:tcBorders>
                    <w:tl2br w:val="nil"/>
                    <w:tr2bl w:val="nil"/>
                  </w:tcBorders>
                  <w:vAlign w:val="center"/>
                </w:tcPr>
                <w:p w14:paraId="1B5DD03B">
                  <w:pPr>
                    <w:widowControl/>
                    <w:jc w:val="center"/>
                    <w:rPr>
                      <w:b/>
                      <w:bCs/>
                      <w:color w:val="auto"/>
                      <w:szCs w:val="21"/>
                      <w:highlight w:val="none"/>
                    </w:rPr>
                  </w:pPr>
                  <w:r>
                    <w:rPr>
                      <w:color w:val="auto"/>
                      <w:kern w:val="0"/>
                      <w:szCs w:val="21"/>
                      <w:highlight w:val="none"/>
                      <w:lang w:bidi="ar"/>
                    </w:rPr>
                    <w:t>2.加强重点噪声源治理。加大交通、施工、工业、生活4个重点领域污染防治力度:严格实施禁鸣、限行、限速等措施，控制噪声敏感建筑物集中区域道路噪声污染；控制铁路在城市市区内运行的噪声污染。加强施工噪声排放申报管理，严格限制在敏感区内夜间进行产生噪声污染的施工作业。严格管理敏感区内的文体活动和室内娱乐活动，明确限制室内装修作业时间。加大敏感区内噪声排放超标污染源关停力度，加强工业园区噪声污染防治，禁止高噪声污染项目入园区。</w:t>
                  </w:r>
                </w:p>
              </w:tc>
              <w:tc>
                <w:tcPr>
                  <w:tcW w:w="1454" w:type="pct"/>
                  <w:tcBorders>
                    <w:tl2br w:val="nil"/>
                    <w:tr2bl w:val="nil"/>
                  </w:tcBorders>
                  <w:vAlign w:val="center"/>
                </w:tcPr>
                <w:p w14:paraId="2D16204D">
                  <w:pPr>
                    <w:widowControl/>
                    <w:jc w:val="center"/>
                    <w:rPr>
                      <w:b/>
                      <w:bCs/>
                      <w:color w:val="auto"/>
                      <w:szCs w:val="21"/>
                      <w:highlight w:val="none"/>
                    </w:rPr>
                  </w:pPr>
                  <w:r>
                    <w:rPr>
                      <w:color w:val="auto"/>
                      <w:kern w:val="0"/>
                      <w:szCs w:val="21"/>
                      <w:highlight w:val="none"/>
                      <w:lang w:bidi="ar"/>
                    </w:rPr>
                    <w:t>施工过程优先选用低噪声设备，厂界建设临时噪声围挡，远离敏感目标（小寨子村）</w:t>
                  </w:r>
                  <w:r>
                    <w:rPr>
                      <w:rFonts w:hint="eastAsia"/>
                      <w:color w:val="auto"/>
                      <w:kern w:val="0"/>
                      <w:szCs w:val="21"/>
                      <w:highlight w:val="none"/>
                      <w:lang w:bidi="ar"/>
                    </w:rPr>
                    <w:t>，</w:t>
                  </w:r>
                  <w:r>
                    <w:rPr>
                      <w:color w:val="auto"/>
                      <w:kern w:val="0"/>
                      <w:szCs w:val="21"/>
                      <w:highlight w:val="none"/>
                      <w:lang w:bidi="ar"/>
                    </w:rPr>
                    <w:t>合理安排作业进度，</w:t>
                  </w:r>
                  <w:r>
                    <w:rPr>
                      <w:rFonts w:hint="eastAsia"/>
                      <w:color w:val="auto"/>
                      <w:kern w:val="0"/>
                      <w:szCs w:val="21"/>
                      <w:highlight w:val="none"/>
                      <w:lang w:bidi="ar"/>
                    </w:rPr>
                    <w:t>等；运营期</w:t>
                  </w:r>
                  <w:r>
                    <w:rPr>
                      <w:color w:val="auto"/>
                      <w:kern w:val="0"/>
                      <w:szCs w:val="21"/>
                      <w:highlight w:val="none"/>
                      <w:lang w:bidi="ar"/>
                    </w:rPr>
                    <w:t>本项目优先选用低噪声设备，采取合理布局，减振隔声，并定期检修、加强管理等，厂界噪声可满足达标排放。</w:t>
                  </w:r>
                </w:p>
              </w:tc>
              <w:tc>
                <w:tcPr>
                  <w:tcW w:w="541" w:type="pct"/>
                  <w:tcBorders>
                    <w:tl2br w:val="nil"/>
                    <w:tr2bl w:val="nil"/>
                  </w:tcBorders>
                  <w:vAlign w:val="center"/>
                </w:tcPr>
                <w:p w14:paraId="484525DF">
                  <w:pPr>
                    <w:widowControl/>
                    <w:jc w:val="center"/>
                    <w:rPr>
                      <w:color w:val="auto"/>
                      <w:kern w:val="0"/>
                      <w:szCs w:val="21"/>
                      <w:highlight w:val="none"/>
                      <w:lang w:bidi="ar"/>
                    </w:rPr>
                  </w:pPr>
                  <w:r>
                    <w:rPr>
                      <w:color w:val="auto"/>
                      <w:kern w:val="0"/>
                      <w:szCs w:val="21"/>
                      <w:highlight w:val="none"/>
                      <w:lang w:bidi="ar"/>
                    </w:rPr>
                    <w:t>符合</w:t>
                  </w:r>
                </w:p>
              </w:tc>
            </w:tr>
            <w:tr w14:paraId="0312AA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9" w:type="pct"/>
                  <w:vMerge w:val="continue"/>
                  <w:tcBorders>
                    <w:tl2br w:val="nil"/>
                    <w:tr2bl w:val="nil"/>
                  </w:tcBorders>
                  <w:vAlign w:val="center"/>
                </w:tcPr>
                <w:p w14:paraId="394305F8">
                  <w:pPr>
                    <w:adjustRightInd w:val="0"/>
                    <w:snapToGrid w:val="0"/>
                    <w:spacing w:line="360" w:lineRule="auto"/>
                    <w:jc w:val="center"/>
                    <w:outlineLvl w:val="1"/>
                    <w:rPr>
                      <w:b/>
                      <w:bCs/>
                      <w:color w:val="auto"/>
                      <w:szCs w:val="21"/>
                      <w:highlight w:val="none"/>
                    </w:rPr>
                  </w:pPr>
                </w:p>
              </w:tc>
              <w:tc>
                <w:tcPr>
                  <w:tcW w:w="2355" w:type="pct"/>
                  <w:tcBorders>
                    <w:tl2br w:val="nil"/>
                    <w:tr2bl w:val="nil"/>
                  </w:tcBorders>
                  <w:vAlign w:val="center"/>
                </w:tcPr>
                <w:p w14:paraId="33E7E7D6">
                  <w:pPr>
                    <w:widowControl/>
                    <w:jc w:val="center"/>
                    <w:rPr>
                      <w:b/>
                      <w:bCs/>
                      <w:color w:val="auto"/>
                      <w:szCs w:val="21"/>
                      <w:highlight w:val="none"/>
                    </w:rPr>
                  </w:pPr>
                  <w:r>
                    <w:rPr>
                      <w:color w:val="auto"/>
                      <w:kern w:val="0"/>
                      <w:szCs w:val="21"/>
                      <w:highlight w:val="none"/>
                      <w:lang w:bidi="ar"/>
                    </w:rPr>
                    <w:t>五是强化环境风险应急管理</w:t>
                  </w:r>
                </w:p>
              </w:tc>
              <w:tc>
                <w:tcPr>
                  <w:tcW w:w="1454" w:type="pct"/>
                  <w:tcBorders>
                    <w:tl2br w:val="nil"/>
                    <w:tr2bl w:val="nil"/>
                  </w:tcBorders>
                  <w:vAlign w:val="center"/>
                </w:tcPr>
                <w:p w14:paraId="7C67DB8C">
                  <w:pPr>
                    <w:widowControl/>
                    <w:jc w:val="center"/>
                    <w:rPr>
                      <w:b/>
                      <w:bCs/>
                      <w:color w:val="auto"/>
                      <w:szCs w:val="21"/>
                      <w:highlight w:val="none"/>
                    </w:rPr>
                  </w:pPr>
                  <w:r>
                    <w:rPr>
                      <w:color w:val="auto"/>
                      <w:kern w:val="0"/>
                      <w:szCs w:val="21"/>
                      <w:highlight w:val="none"/>
                      <w:lang w:bidi="ar"/>
                    </w:rPr>
                    <w:t>本环评要求企业加强环境风险防范，建立突发环境事件应对机制及处理机制。</w:t>
                  </w:r>
                </w:p>
              </w:tc>
              <w:tc>
                <w:tcPr>
                  <w:tcW w:w="541" w:type="pct"/>
                  <w:tcBorders>
                    <w:tl2br w:val="nil"/>
                    <w:tr2bl w:val="nil"/>
                  </w:tcBorders>
                  <w:vAlign w:val="center"/>
                </w:tcPr>
                <w:p w14:paraId="6988F843">
                  <w:pPr>
                    <w:widowControl/>
                    <w:jc w:val="center"/>
                    <w:rPr>
                      <w:color w:val="auto"/>
                      <w:kern w:val="0"/>
                      <w:szCs w:val="21"/>
                      <w:highlight w:val="none"/>
                      <w:lang w:bidi="ar"/>
                    </w:rPr>
                  </w:pPr>
                  <w:r>
                    <w:rPr>
                      <w:color w:val="auto"/>
                      <w:kern w:val="0"/>
                      <w:szCs w:val="21"/>
                      <w:highlight w:val="none"/>
                      <w:lang w:bidi="ar"/>
                    </w:rPr>
                    <w:t>符合</w:t>
                  </w:r>
                </w:p>
              </w:tc>
            </w:tr>
          </w:tbl>
          <w:p w14:paraId="626E86F2">
            <w:pPr>
              <w:adjustRightInd w:val="0"/>
              <w:snapToGrid w:val="0"/>
              <w:spacing w:line="360" w:lineRule="auto"/>
              <w:outlineLvl w:val="1"/>
              <w:rPr>
                <w:b/>
                <w:bCs/>
                <w:color w:val="auto"/>
                <w:sz w:val="24"/>
                <w:highlight w:val="none"/>
              </w:rPr>
            </w:pPr>
            <w:r>
              <w:rPr>
                <w:rFonts w:hint="eastAsia"/>
                <w:b/>
                <w:bCs/>
                <w:color w:val="auto"/>
                <w:sz w:val="24"/>
                <w:highlight w:val="none"/>
              </w:rPr>
              <w:t>六、</w:t>
            </w:r>
            <w:r>
              <w:rPr>
                <w:b/>
                <w:bCs/>
                <w:color w:val="auto"/>
                <w:sz w:val="24"/>
                <w:highlight w:val="none"/>
              </w:rPr>
              <w:t>与《深入打好污染防治攻坚战实施方案》</w:t>
            </w:r>
            <w:r>
              <w:rPr>
                <w:rFonts w:hint="eastAsia"/>
                <w:b/>
                <w:bCs/>
                <w:color w:val="auto"/>
                <w:sz w:val="24"/>
                <w:highlight w:val="none"/>
              </w:rPr>
              <w:t>符合</w:t>
            </w:r>
            <w:r>
              <w:rPr>
                <w:b/>
                <w:bCs/>
                <w:color w:val="auto"/>
                <w:sz w:val="24"/>
                <w:highlight w:val="none"/>
              </w:rPr>
              <w:t>性分析</w:t>
            </w:r>
            <w:bookmarkEnd w:id="2"/>
          </w:p>
          <w:p w14:paraId="1EAF9341">
            <w:pPr>
              <w:adjustRightInd w:val="0"/>
              <w:snapToGrid w:val="0"/>
              <w:spacing w:line="360" w:lineRule="auto"/>
              <w:ind w:firstLine="480" w:firstLineChars="200"/>
              <w:jc w:val="left"/>
              <w:rPr>
                <w:color w:val="auto"/>
                <w:sz w:val="24"/>
                <w:highlight w:val="none"/>
              </w:rPr>
            </w:pPr>
            <w:r>
              <w:rPr>
                <w:rFonts w:hint="eastAsia"/>
                <w:color w:val="auto"/>
                <w:sz w:val="24"/>
                <w:highlight w:val="none"/>
              </w:rPr>
              <w:t>本项目与</w:t>
            </w:r>
            <w:r>
              <w:rPr>
                <w:color w:val="auto"/>
                <w:sz w:val="24"/>
                <w:highlight w:val="none"/>
              </w:rPr>
              <w:t>《辽宁省深入打好污染防治攻坚战实施方案》（辽委发[2022]8号）、《抚顺市深入打好污染防治攻坚战实施方案》（抚委发[2023]1号）规定</w:t>
            </w:r>
            <w:r>
              <w:rPr>
                <w:rFonts w:hint="eastAsia"/>
                <w:color w:val="auto"/>
                <w:sz w:val="24"/>
                <w:highlight w:val="none"/>
              </w:rPr>
              <w:t>符合性分析详见下表</w:t>
            </w:r>
            <w:r>
              <w:rPr>
                <w:color w:val="auto"/>
                <w:sz w:val="24"/>
                <w:highlight w:val="none"/>
              </w:rPr>
              <w:t>。</w:t>
            </w:r>
          </w:p>
          <w:p w14:paraId="04DE4230">
            <w:pPr>
              <w:pStyle w:val="5"/>
              <w:ind w:left="211" w:hanging="211"/>
              <w:rPr>
                <w:rFonts w:ascii="Times New Roman" w:hAnsi="Times New Roman"/>
                <w:b/>
                <w:bCs/>
                <w:color w:val="auto"/>
                <w:szCs w:val="21"/>
                <w:highlight w:val="none"/>
              </w:rPr>
            </w:pPr>
            <w:r>
              <w:rPr>
                <w:rFonts w:ascii="Times New Roman" w:hAnsi="Times New Roman"/>
                <w:b/>
                <w:bCs/>
                <w:color w:val="auto"/>
                <w:szCs w:val="21"/>
                <w:highlight w:val="none"/>
              </w:rPr>
              <w:t>表1-</w:t>
            </w:r>
            <w:r>
              <w:rPr>
                <w:rFonts w:hint="eastAsia" w:ascii="Times New Roman" w:hAnsi="Times New Roman"/>
                <w:b/>
                <w:bCs/>
                <w:color w:val="auto"/>
                <w:szCs w:val="21"/>
                <w:highlight w:val="none"/>
                <w:lang w:val="en-US" w:eastAsia="zh-CN"/>
              </w:rPr>
              <w:t>8</w:t>
            </w:r>
            <w:r>
              <w:rPr>
                <w:rFonts w:ascii="Times New Roman" w:hAnsi="Times New Roman"/>
                <w:b/>
                <w:bCs/>
                <w:color w:val="auto"/>
                <w:szCs w:val="21"/>
                <w:highlight w:val="none"/>
              </w:rPr>
              <w:t xml:space="preserve"> 与深入打好污染防治攻坚战实施方案符合性分析</w:t>
            </w:r>
          </w:p>
          <w:tbl>
            <w:tblPr>
              <w:tblStyle w:val="18"/>
              <w:tblW w:w="4999"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5112"/>
              <w:gridCol w:w="2131"/>
              <w:gridCol w:w="567"/>
            </w:tblGrid>
            <w:tr w14:paraId="692A93E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273" w:type="pct"/>
                  <w:tcBorders>
                    <w:tl2br w:val="nil"/>
                    <w:tr2bl w:val="nil"/>
                  </w:tcBorders>
                  <w:vAlign w:val="center"/>
                </w:tcPr>
                <w:p w14:paraId="78CB9C33">
                  <w:pPr>
                    <w:pStyle w:val="43"/>
                    <w:rPr>
                      <w:b/>
                      <w:bCs/>
                      <w:color w:val="auto"/>
                      <w:szCs w:val="21"/>
                      <w:highlight w:val="none"/>
                    </w:rPr>
                  </w:pPr>
                  <w:r>
                    <w:rPr>
                      <w:b/>
                      <w:bCs/>
                      <w:color w:val="auto"/>
                      <w:szCs w:val="21"/>
                      <w:highlight w:val="none"/>
                    </w:rPr>
                    <w:t>文件要求</w:t>
                  </w:r>
                </w:p>
              </w:tc>
              <w:tc>
                <w:tcPr>
                  <w:tcW w:w="1364" w:type="pct"/>
                  <w:tcBorders>
                    <w:tl2br w:val="nil"/>
                    <w:tr2bl w:val="nil"/>
                  </w:tcBorders>
                  <w:vAlign w:val="center"/>
                </w:tcPr>
                <w:p w14:paraId="3EC7065B">
                  <w:pPr>
                    <w:pStyle w:val="43"/>
                    <w:rPr>
                      <w:b/>
                      <w:bCs/>
                      <w:color w:val="auto"/>
                      <w:szCs w:val="21"/>
                      <w:highlight w:val="none"/>
                    </w:rPr>
                  </w:pPr>
                  <w:r>
                    <w:rPr>
                      <w:b/>
                      <w:bCs/>
                      <w:color w:val="auto"/>
                      <w:szCs w:val="21"/>
                      <w:highlight w:val="none"/>
                    </w:rPr>
                    <w:t>本项目情况</w:t>
                  </w:r>
                </w:p>
              </w:tc>
              <w:tc>
                <w:tcPr>
                  <w:tcW w:w="361" w:type="pct"/>
                  <w:tcBorders>
                    <w:tl2br w:val="nil"/>
                    <w:tr2bl w:val="nil"/>
                  </w:tcBorders>
                  <w:vAlign w:val="center"/>
                </w:tcPr>
                <w:p w14:paraId="10CA34FF">
                  <w:pPr>
                    <w:pStyle w:val="43"/>
                    <w:rPr>
                      <w:b/>
                      <w:bCs/>
                      <w:color w:val="auto"/>
                      <w:szCs w:val="21"/>
                      <w:highlight w:val="none"/>
                    </w:rPr>
                  </w:pPr>
                  <w:r>
                    <w:rPr>
                      <w:b/>
                      <w:bCs/>
                      <w:color w:val="auto"/>
                      <w:szCs w:val="21"/>
                      <w:highlight w:val="none"/>
                    </w:rPr>
                    <w:t>符合性</w:t>
                  </w:r>
                </w:p>
              </w:tc>
            </w:tr>
            <w:tr w14:paraId="6439132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000" w:type="pct"/>
                  <w:gridSpan w:val="3"/>
                  <w:tcBorders>
                    <w:tl2br w:val="nil"/>
                    <w:tr2bl w:val="nil"/>
                  </w:tcBorders>
                  <w:vAlign w:val="center"/>
                </w:tcPr>
                <w:p w14:paraId="25327947">
                  <w:pPr>
                    <w:pStyle w:val="43"/>
                    <w:rPr>
                      <w:color w:val="auto"/>
                      <w:szCs w:val="21"/>
                      <w:highlight w:val="none"/>
                    </w:rPr>
                  </w:pPr>
                  <w:r>
                    <w:rPr>
                      <w:b/>
                      <w:bCs/>
                      <w:color w:val="auto"/>
                      <w:szCs w:val="21"/>
                      <w:highlight w:val="none"/>
                    </w:rPr>
                    <w:t>《辽宁省深入打好污染防治攻坚战实施方案》</w:t>
                  </w:r>
                </w:p>
              </w:tc>
            </w:tr>
            <w:tr w14:paraId="3385C01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273" w:type="pct"/>
                  <w:tcBorders>
                    <w:tl2br w:val="nil"/>
                    <w:tr2bl w:val="nil"/>
                  </w:tcBorders>
                  <w:vAlign w:val="center"/>
                </w:tcPr>
                <w:p w14:paraId="5AFC0B2C">
                  <w:pPr>
                    <w:pStyle w:val="43"/>
                    <w:rPr>
                      <w:color w:val="auto"/>
                      <w:szCs w:val="21"/>
                      <w:highlight w:val="none"/>
                    </w:rPr>
                  </w:pPr>
                  <w:r>
                    <w:rPr>
                      <w:color w:val="auto"/>
                      <w:szCs w:val="21"/>
                      <w:highlight w:val="none"/>
                    </w:rPr>
                    <w:t>坚决遏制高耗能高排放项目盲目发展。严格把好增量关，新建、扩建钢铁、水泥、平板玻璃、电解铝等高耗能高排放项目严格落实产能等量或减量置换。符合要求特别是生产国内短缺重要产品、有利于碳达峰碳中和目标实现的有关项目，加大支持力度。稳妥做好存量“两高”项目管理，合理设置政策过渡期，积极推进有节能减排潜力的项目改造升级，对违规上马项目依法依规责令整改。</w:t>
                  </w:r>
                </w:p>
              </w:tc>
              <w:tc>
                <w:tcPr>
                  <w:tcW w:w="1364" w:type="pct"/>
                  <w:tcBorders>
                    <w:tl2br w:val="nil"/>
                    <w:tr2bl w:val="nil"/>
                  </w:tcBorders>
                  <w:vAlign w:val="center"/>
                </w:tcPr>
                <w:p w14:paraId="10095922">
                  <w:pPr>
                    <w:pStyle w:val="43"/>
                    <w:rPr>
                      <w:color w:val="auto"/>
                      <w:szCs w:val="21"/>
                      <w:highlight w:val="none"/>
                    </w:rPr>
                  </w:pPr>
                  <w:r>
                    <w:rPr>
                      <w:rFonts w:hint="eastAsia"/>
                      <w:color w:val="auto"/>
                      <w:szCs w:val="21"/>
                      <w:highlight w:val="none"/>
                    </w:rPr>
                    <w:t>本项目属于</w:t>
                  </w:r>
                  <w:r>
                    <w:rPr>
                      <w:color w:val="auto"/>
                      <w:szCs w:val="21"/>
                      <w:highlight w:val="none"/>
                    </w:rPr>
                    <w:t>C3039 其他建筑材料制造。不属于高能耗高排放项目</w:t>
                  </w:r>
                </w:p>
              </w:tc>
              <w:tc>
                <w:tcPr>
                  <w:tcW w:w="361" w:type="pct"/>
                  <w:tcBorders>
                    <w:tl2br w:val="nil"/>
                    <w:tr2bl w:val="nil"/>
                  </w:tcBorders>
                  <w:vAlign w:val="center"/>
                </w:tcPr>
                <w:p w14:paraId="4E320998">
                  <w:pPr>
                    <w:pStyle w:val="43"/>
                    <w:rPr>
                      <w:color w:val="auto"/>
                      <w:szCs w:val="21"/>
                      <w:highlight w:val="none"/>
                    </w:rPr>
                  </w:pPr>
                  <w:r>
                    <w:rPr>
                      <w:color w:val="auto"/>
                      <w:szCs w:val="21"/>
                      <w:highlight w:val="none"/>
                    </w:rPr>
                    <w:t>符合</w:t>
                  </w:r>
                </w:p>
              </w:tc>
            </w:tr>
            <w:tr w14:paraId="3D50058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273" w:type="pct"/>
                  <w:tcBorders>
                    <w:tl2br w:val="nil"/>
                    <w:tr2bl w:val="nil"/>
                  </w:tcBorders>
                  <w:vAlign w:val="center"/>
                </w:tcPr>
                <w:p w14:paraId="170386FE">
                  <w:pPr>
                    <w:pStyle w:val="43"/>
                    <w:rPr>
                      <w:color w:val="auto"/>
                      <w:szCs w:val="21"/>
                      <w:highlight w:val="none"/>
                    </w:rPr>
                  </w:pPr>
                  <w:r>
                    <w:rPr>
                      <w:color w:val="auto"/>
                      <w:szCs w:val="21"/>
                      <w:highlight w:val="none"/>
                    </w:rPr>
                    <w:t>加强生态环境分区管控。围绕形成“一圈一带两区”区域发展格局，衔接国土空间规划分区和用途管制要求，深入实施主体功能区战略，推进城市化地区高效集聚发展，促进农产品主产区规模化发展，推动重点生态功能区转型发展，形成主体功能明显、优势互补、高质量发展的国土空间开发保护格局。在政策制定、环境准入、园区管理、执法监管等方面，严格落实“三线一单”生态环境分区管控意见，优化区域生产力布局。健全以环评制度为主体的源头预防体系，严格规划环评审查和建设项目环评准入，努力从源头上减少污染物排放。开展重大经济技术政策的生态环境影响分析和重大生态环境政策和社会经济影响评估。</w:t>
                  </w:r>
                </w:p>
              </w:tc>
              <w:tc>
                <w:tcPr>
                  <w:tcW w:w="1364" w:type="pct"/>
                  <w:tcBorders>
                    <w:tl2br w:val="nil"/>
                    <w:tr2bl w:val="nil"/>
                  </w:tcBorders>
                  <w:vAlign w:val="center"/>
                </w:tcPr>
                <w:p w14:paraId="46C6EEB5">
                  <w:pPr>
                    <w:pStyle w:val="43"/>
                    <w:rPr>
                      <w:color w:val="auto"/>
                      <w:szCs w:val="21"/>
                      <w:highlight w:val="none"/>
                    </w:rPr>
                  </w:pPr>
                  <w:r>
                    <w:rPr>
                      <w:color w:val="auto"/>
                      <w:szCs w:val="21"/>
                      <w:highlight w:val="none"/>
                    </w:rPr>
                    <w:t>本项目位于辽宁省</w:t>
                  </w:r>
                  <w:r>
                    <w:rPr>
                      <w:rFonts w:hint="eastAsia"/>
                      <w:color w:val="auto"/>
                      <w:szCs w:val="21"/>
                      <w:highlight w:val="none"/>
                    </w:rPr>
                    <w:t>抚顺市东洲区哈达镇小寨子村</w:t>
                  </w:r>
                  <w:r>
                    <w:rPr>
                      <w:color w:val="auto"/>
                      <w:szCs w:val="21"/>
                      <w:highlight w:val="none"/>
                    </w:rPr>
                    <w:t>，环境管控单元编码：</w:t>
                  </w:r>
                  <w:r>
                    <w:rPr>
                      <w:rFonts w:hint="eastAsia"/>
                      <w:color w:val="auto"/>
                      <w:szCs w:val="21"/>
                      <w:highlight w:val="none"/>
                    </w:rPr>
                    <w:t>ZH21040330001，</w:t>
                  </w:r>
                  <w:r>
                    <w:rPr>
                      <w:color w:val="auto"/>
                      <w:szCs w:val="21"/>
                      <w:highlight w:val="none"/>
                    </w:rPr>
                    <w:t>符合抚顺市</w:t>
                  </w:r>
                  <w:r>
                    <w:rPr>
                      <w:rFonts w:hint="eastAsia"/>
                      <w:color w:val="auto"/>
                      <w:szCs w:val="21"/>
                      <w:highlight w:val="none"/>
                    </w:rPr>
                    <w:t>抚顺县</w:t>
                  </w:r>
                  <w:r>
                    <w:rPr>
                      <w:color w:val="auto"/>
                      <w:szCs w:val="21"/>
                      <w:highlight w:val="none"/>
                    </w:rPr>
                    <w:t>环境管控单元准入清单</w:t>
                  </w:r>
                  <w:r>
                    <w:rPr>
                      <w:rFonts w:hint="eastAsia"/>
                      <w:color w:val="auto"/>
                      <w:szCs w:val="21"/>
                      <w:highlight w:val="none"/>
                    </w:rPr>
                    <w:t>；</w:t>
                  </w:r>
                  <w:r>
                    <w:rPr>
                      <w:color w:val="auto"/>
                      <w:szCs w:val="21"/>
                      <w:highlight w:val="none"/>
                    </w:rPr>
                    <w:t>符合“三线一单”相关要求</w:t>
                  </w:r>
                </w:p>
              </w:tc>
              <w:tc>
                <w:tcPr>
                  <w:tcW w:w="361" w:type="pct"/>
                  <w:tcBorders>
                    <w:tl2br w:val="nil"/>
                    <w:tr2bl w:val="nil"/>
                  </w:tcBorders>
                  <w:vAlign w:val="center"/>
                </w:tcPr>
                <w:p w14:paraId="3D184119">
                  <w:pPr>
                    <w:pStyle w:val="43"/>
                    <w:rPr>
                      <w:color w:val="auto"/>
                      <w:szCs w:val="21"/>
                      <w:highlight w:val="none"/>
                    </w:rPr>
                  </w:pPr>
                  <w:r>
                    <w:rPr>
                      <w:color w:val="auto"/>
                      <w:szCs w:val="21"/>
                      <w:highlight w:val="none"/>
                    </w:rPr>
                    <w:t>符合</w:t>
                  </w:r>
                </w:p>
              </w:tc>
            </w:tr>
            <w:tr w14:paraId="4DAB45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273" w:type="pct"/>
                  <w:tcBorders>
                    <w:tl2br w:val="nil"/>
                    <w:tr2bl w:val="nil"/>
                  </w:tcBorders>
                  <w:vAlign w:val="center"/>
                </w:tcPr>
                <w:p w14:paraId="5A9B40EF">
                  <w:pPr>
                    <w:widowControl/>
                    <w:jc w:val="center"/>
                    <w:rPr>
                      <w:color w:val="auto"/>
                      <w:szCs w:val="21"/>
                      <w:highlight w:val="none"/>
                    </w:rPr>
                  </w:pPr>
                  <w:r>
                    <w:rPr>
                      <w:color w:val="auto"/>
                      <w:kern w:val="0"/>
                      <w:szCs w:val="21"/>
                      <w:highlight w:val="none"/>
                      <w:lang w:bidi="ar"/>
                    </w:rPr>
                    <w:t>着力打好重污染天气消除攻坚战。聚焦PM</w:t>
                  </w:r>
                  <w:r>
                    <w:rPr>
                      <w:color w:val="auto"/>
                      <w:kern w:val="0"/>
                      <w:szCs w:val="21"/>
                      <w:highlight w:val="none"/>
                      <w:vertAlign w:val="subscript"/>
                      <w:lang w:bidi="ar"/>
                    </w:rPr>
                    <w:t>2.5</w:t>
                  </w:r>
                  <w:r>
                    <w:rPr>
                      <w:color w:val="auto"/>
                      <w:kern w:val="0"/>
                      <w:szCs w:val="21"/>
                      <w:highlight w:val="none"/>
                      <w:lang w:bidi="ar"/>
                    </w:rPr>
                    <w:t>污染，以秋冬季（10月</w:t>
                  </w:r>
                  <w:r>
                    <w:rPr>
                      <w:rFonts w:hint="eastAsia"/>
                      <w:color w:val="auto"/>
                      <w:kern w:val="0"/>
                      <w:szCs w:val="21"/>
                      <w:highlight w:val="none"/>
                      <w:lang w:bidi="ar"/>
                    </w:rPr>
                    <w:t>-</w:t>
                  </w:r>
                  <w:r>
                    <w:rPr>
                      <w:color w:val="auto"/>
                      <w:kern w:val="0"/>
                      <w:szCs w:val="21"/>
                      <w:highlight w:val="none"/>
                      <w:lang w:bidi="ar"/>
                    </w:rPr>
                    <w:t>次年3月）为重点时段，实施“四大行动”，进</w:t>
                  </w:r>
                  <w:r>
                    <w:rPr>
                      <w:rFonts w:hint="eastAsia"/>
                      <w:color w:val="auto"/>
                      <w:kern w:val="0"/>
                      <w:szCs w:val="21"/>
                      <w:highlight w:val="none"/>
                      <w:lang w:bidi="ar"/>
                    </w:rPr>
                    <w:t>一</w:t>
                  </w:r>
                  <w:r>
                    <w:rPr>
                      <w:color w:val="auto"/>
                      <w:kern w:val="0"/>
                      <w:szCs w:val="21"/>
                      <w:highlight w:val="none"/>
                      <w:lang w:bidi="ar"/>
                    </w:rPr>
                    <w:t>步强化区域协作机制，完善重污染天气应对和重点行业绩效分级管理体系，有效应对重污染天气。到2025年，全省重度及以上污染天数比率控制在0.7%以内。</w:t>
                  </w:r>
                </w:p>
              </w:tc>
              <w:tc>
                <w:tcPr>
                  <w:tcW w:w="1364" w:type="pct"/>
                  <w:tcBorders>
                    <w:tl2br w:val="nil"/>
                    <w:tr2bl w:val="nil"/>
                  </w:tcBorders>
                  <w:vAlign w:val="center"/>
                </w:tcPr>
                <w:p w14:paraId="3E3D15CA">
                  <w:pPr>
                    <w:widowControl/>
                    <w:jc w:val="center"/>
                    <w:rPr>
                      <w:color w:val="auto"/>
                      <w:szCs w:val="21"/>
                      <w:highlight w:val="none"/>
                    </w:rPr>
                  </w:pPr>
                  <w:r>
                    <w:rPr>
                      <w:color w:val="auto"/>
                      <w:kern w:val="0"/>
                      <w:szCs w:val="21"/>
                      <w:highlight w:val="none"/>
                      <w:lang w:bidi="ar"/>
                    </w:rPr>
                    <w:t>本项目运营期排放颗粒物经</w:t>
                  </w:r>
                  <w:r>
                    <w:rPr>
                      <w:rFonts w:hint="eastAsia"/>
                      <w:color w:val="auto"/>
                      <w:kern w:val="0"/>
                      <w:szCs w:val="21"/>
                      <w:highlight w:val="none"/>
                      <w:lang w:bidi="ar"/>
                    </w:rPr>
                    <w:t>袋式除尘器</w:t>
                  </w:r>
                  <w:r>
                    <w:rPr>
                      <w:color w:val="auto"/>
                      <w:kern w:val="0"/>
                      <w:szCs w:val="21"/>
                      <w:highlight w:val="none"/>
                      <w:lang w:bidi="ar"/>
                    </w:rPr>
                    <w:t>处理</w:t>
                  </w:r>
                  <w:r>
                    <w:rPr>
                      <w:rFonts w:hint="eastAsia"/>
                      <w:color w:val="auto"/>
                      <w:kern w:val="0"/>
                      <w:szCs w:val="21"/>
                      <w:highlight w:val="none"/>
                      <w:lang w:bidi="ar"/>
                    </w:rPr>
                    <w:t>达标</w:t>
                  </w:r>
                  <w:r>
                    <w:rPr>
                      <w:color w:val="auto"/>
                      <w:kern w:val="0"/>
                      <w:szCs w:val="21"/>
                      <w:highlight w:val="none"/>
                      <w:lang w:bidi="ar"/>
                    </w:rPr>
                    <w:t>后通过排气筒有组织排放，对环境影响较小</w:t>
                  </w:r>
                </w:p>
              </w:tc>
              <w:tc>
                <w:tcPr>
                  <w:tcW w:w="361" w:type="pct"/>
                  <w:tcBorders>
                    <w:tl2br w:val="nil"/>
                    <w:tr2bl w:val="nil"/>
                  </w:tcBorders>
                  <w:vAlign w:val="center"/>
                </w:tcPr>
                <w:p w14:paraId="0C8DB870">
                  <w:pPr>
                    <w:pStyle w:val="43"/>
                    <w:rPr>
                      <w:color w:val="auto"/>
                      <w:szCs w:val="21"/>
                      <w:highlight w:val="none"/>
                    </w:rPr>
                  </w:pPr>
                  <w:r>
                    <w:rPr>
                      <w:rFonts w:hint="eastAsia"/>
                      <w:color w:val="auto"/>
                      <w:szCs w:val="21"/>
                      <w:highlight w:val="none"/>
                    </w:rPr>
                    <w:t>符合</w:t>
                  </w:r>
                </w:p>
              </w:tc>
            </w:tr>
            <w:tr w14:paraId="1418D44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273" w:type="pct"/>
                  <w:tcBorders>
                    <w:tl2br w:val="nil"/>
                    <w:tr2bl w:val="nil"/>
                  </w:tcBorders>
                  <w:vAlign w:val="center"/>
                </w:tcPr>
                <w:p w14:paraId="721AA164">
                  <w:pPr>
                    <w:widowControl/>
                    <w:jc w:val="center"/>
                    <w:rPr>
                      <w:color w:val="auto"/>
                      <w:szCs w:val="21"/>
                      <w:highlight w:val="none"/>
                    </w:rPr>
                  </w:pPr>
                  <w:r>
                    <w:rPr>
                      <w:color w:val="auto"/>
                      <w:kern w:val="0"/>
                      <w:szCs w:val="21"/>
                      <w:highlight w:val="none"/>
                      <w:lang w:bidi="ar"/>
                    </w:rPr>
                    <w:t>强化地下水污染协同防治。加强地表水与地下水污染、土壤与地下水污染、区域与场地地下水污染协同防治。以省级化工园区、垃圾填埋场、危险废物处置场为重点，持续开展地下水环境状况调查评估。划定地下水型饮用水水源补给区，分类制定保护方案。划定地下水污染防治重点区，强化污染风险管控。</w:t>
                  </w:r>
                </w:p>
              </w:tc>
              <w:tc>
                <w:tcPr>
                  <w:tcW w:w="1364" w:type="pct"/>
                  <w:tcBorders>
                    <w:tl2br w:val="nil"/>
                    <w:tr2bl w:val="nil"/>
                  </w:tcBorders>
                  <w:vAlign w:val="center"/>
                </w:tcPr>
                <w:p w14:paraId="0145C82C">
                  <w:pPr>
                    <w:widowControl/>
                    <w:jc w:val="center"/>
                    <w:rPr>
                      <w:color w:val="auto"/>
                      <w:szCs w:val="21"/>
                      <w:highlight w:val="none"/>
                    </w:rPr>
                  </w:pPr>
                  <w:r>
                    <w:rPr>
                      <w:color w:val="auto"/>
                      <w:kern w:val="0"/>
                      <w:szCs w:val="21"/>
                      <w:highlight w:val="none"/>
                      <w:lang w:bidi="ar"/>
                    </w:rPr>
                    <w:t>本项目采取分区防渗措施，严防对地下水和土壤环境造成污染。</w:t>
                  </w:r>
                </w:p>
              </w:tc>
              <w:tc>
                <w:tcPr>
                  <w:tcW w:w="361" w:type="pct"/>
                  <w:tcBorders>
                    <w:tl2br w:val="nil"/>
                    <w:tr2bl w:val="nil"/>
                  </w:tcBorders>
                  <w:vAlign w:val="center"/>
                </w:tcPr>
                <w:p w14:paraId="4CC6172C">
                  <w:pPr>
                    <w:pStyle w:val="43"/>
                    <w:rPr>
                      <w:color w:val="auto"/>
                      <w:szCs w:val="21"/>
                      <w:highlight w:val="none"/>
                    </w:rPr>
                  </w:pPr>
                  <w:r>
                    <w:rPr>
                      <w:rFonts w:hint="eastAsia"/>
                      <w:color w:val="auto"/>
                      <w:szCs w:val="21"/>
                      <w:highlight w:val="none"/>
                    </w:rPr>
                    <w:t>符合</w:t>
                  </w:r>
                </w:p>
              </w:tc>
            </w:tr>
            <w:tr w14:paraId="7894DF0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5000" w:type="pct"/>
                  <w:gridSpan w:val="3"/>
                  <w:tcBorders>
                    <w:tl2br w:val="nil"/>
                    <w:tr2bl w:val="nil"/>
                  </w:tcBorders>
                  <w:vAlign w:val="center"/>
                </w:tcPr>
                <w:p w14:paraId="4BD694D1">
                  <w:pPr>
                    <w:pStyle w:val="43"/>
                    <w:rPr>
                      <w:color w:val="auto"/>
                      <w:szCs w:val="21"/>
                      <w:highlight w:val="none"/>
                    </w:rPr>
                  </w:pPr>
                  <w:r>
                    <w:rPr>
                      <w:b/>
                      <w:bCs/>
                      <w:color w:val="auto"/>
                      <w:szCs w:val="21"/>
                      <w:highlight w:val="none"/>
                    </w:rPr>
                    <w:t>《抚顺市深入打好污染防治攻坚战实施方案》</w:t>
                  </w:r>
                </w:p>
              </w:tc>
            </w:tr>
            <w:tr w14:paraId="79958C4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273" w:type="pct"/>
                  <w:tcBorders>
                    <w:tl2br w:val="nil"/>
                    <w:tr2bl w:val="nil"/>
                  </w:tcBorders>
                  <w:vAlign w:val="center"/>
                </w:tcPr>
                <w:p w14:paraId="4CD813CC">
                  <w:pPr>
                    <w:pStyle w:val="43"/>
                    <w:rPr>
                      <w:color w:val="auto"/>
                      <w:szCs w:val="21"/>
                      <w:highlight w:val="none"/>
                    </w:rPr>
                  </w:pPr>
                  <w:r>
                    <w:rPr>
                      <w:color w:val="auto"/>
                      <w:szCs w:val="21"/>
                      <w:highlight w:val="none"/>
                    </w:rPr>
                    <w:t>坚决遏制高耗能高排放项目盲目发展。严格把好增量关，新建、扩建钢铁、水泥、平板玻璃、电解铝等高耗能高排放项目准入关。加强节能监督力度。支持符合规定特别是生产国内短缺重要产品、有利于碳达峰碳中和目标实现的项目发展。稳妥做好存量“两高”项目管理，合理设置政策过渡期，积极推进有节能减排潜力的项目改造升级。强化常态化监管，坚决停批停建不符合规定的“两高”项目。</w:t>
                  </w:r>
                </w:p>
              </w:tc>
              <w:tc>
                <w:tcPr>
                  <w:tcW w:w="1364" w:type="pct"/>
                  <w:tcBorders>
                    <w:tl2br w:val="nil"/>
                    <w:tr2bl w:val="nil"/>
                  </w:tcBorders>
                  <w:vAlign w:val="center"/>
                </w:tcPr>
                <w:p w14:paraId="749D00AE">
                  <w:pPr>
                    <w:pStyle w:val="43"/>
                    <w:rPr>
                      <w:color w:val="auto"/>
                      <w:szCs w:val="21"/>
                      <w:highlight w:val="none"/>
                    </w:rPr>
                  </w:pPr>
                  <w:r>
                    <w:rPr>
                      <w:color w:val="auto"/>
                      <w:szCs w:val="21"/>
                      <w:highlight w:val="none"/>
                    </w:rPr>
                    <w:t>本项目</w:t>
                  </w:r>
                  <w:r>
                    <w:rPr>
                      <w:rFonts w:hint="eastAsia"/>
                      <w:color w:val="auto"/>
                      <w:szCs w:val="21"/>
                      <w:highlight w:val="none"/>
                    </w:rPr>
                    <w:t>属于</w:t>
                  </w:r>
                  <w:r>
                    <w:rPr>
                      <w:color w:val="auto"/>
                      <w:szCs w:val="21"/>
                      <w:highlight w:val="none"/>
                    </w:rPr>
                    <w:t>C3039 其他建筑材料制造。不属于高能耗高排放项目</w:t>
                  </w:r>
                </w:p>
              </w:tc>
              <w:tc>
                <w:tcPr>
                  <w:tcW w:w="361" w:type="pct"/>
                  <w:tcBorders>
                    <w:tl2br w:val="nil"/>
                    <w:tr2bl w:val="nil"/>
                  </w:tcBorders>
                  <w:vAlign w:val="center"/>
                </w:tcPr>
                <w:p w14:paraId="490999AD">
                  <w:pPr>
                    <w:pStyle w:val="43"/>
                    <w:rPr>
                      <w:color w:val="auto"/>
                      <w:szCs w:val="21"/>
                      <w:highlight w:val="none"/>
                    </w:rPr>
                  </w:pPr>
                  <w:r>
                    <w:rPr>
                      <w:color w:val="auto"/>
                      <w:szCs w:val="21"/>
                      <w:highlight w:val="none"/>
                    </w:rPr>
                    <w:t>符合</w:t>
                  </w:r>
                </w:p>
              </w:tc>
            </w:tr>
            <w:tr w14:paraId="0713E20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23" w:hRule="atLeast"/>
              </w:trPr>
              <w:tc>
                <w:tcPr>
                  <w:tcW w:w="3273" w:type="pct"/>
                  <w:tcBorders>
                    <w:tl2br w:val="nil"/>
                    <w:tr2bl w:val="nil"/>
                  </w:tcBorders>
                  <w:vAlign w:val="center"/>
                </w:tcPr>
                <w:p w14:paraId="6E85C2FB">
                  <w:pPr>
                    <w:pStyle w:val="43"/>
                    <w:rPr>
                      <w:color w:val="auto"/>
                      <w:szCs w:val="21"/>
                      <w:highlight w:val="none"/>
                    </w:rPr>
                  </w:pPr>
                  <w:r>
                    <w:rPr>
                      <w:color w:val="auto"/>
                      <w:szCs w:val="21"/>
                      <w:highlight w:val="none"/>
                    </w:rPr>
                    <w:t>加强生态环境分区管控。围绕形成“一圈一带两区”区域发展格局，衔接国土空间规划分区和用途管制要求，推进城市化地区高效集聚发展，促进农产品主产区规模化发展，推动重点生态功能区转型发展，形成主体功能明显、优势互补、高质量发展的国土空间开发保护格局。加强生态环境分区管控。严格落实“三线一单”生态环境分区管控要求，优化区域生产力布局，开展常态化“三线一单”业务查询服务。严格规划环评审查和建设项目环评准入。</w:t>
                  </w:r>
                </w:p>
              </w:tc>
              <w:tc>
                <w:tcPr>
                  <w:tcW w:w="1364" w:type="pct"/>
                  <w:tcBorders>
                    <w:tl2br w:val="nil"/>
                    <w:tr2bl w:val="nil"/>
                  </w:tcBorders>
                  <w:vAlign w:val="center"/>
                </w:tcPr>
                <w:p w14:paraId="7A1B48A1">
                  <w:pPr>
                    <w:pStyle w:val="43"/>
                    <w:rPr>
                      <w:color w:val="auto"/>
                      <w:szCs w:val="21"/>
                      <w:highlight w:val="none"/>
                    </w:rPr>
                  </w:pPr>
                  <w:r>
                    <w:rPr>
                      <w:color w:val="auto"/>
                      <w:szCs w:val="21"/>
                      <w:highlight w:val="none"/>
                    </w:rPr>
                    <w:t>本项目位于辽宁省</w:t>
                  </w:r>
                  <w:r>
                    <w:rPr>
                      <w:rFonts w:hint="eastAsia"/>
                      <w:color w:val="auto"/>
                      <w:szCs w:val="21"/>
                      <w:highlight w:val="none"/>
                    </w:rPr>
                    <w:t>抚顺市东洲区哈达镇小寨子村</w:t>
                  </w:r>
                  <w:r>
                    <w:rPr>
                      <w:color w:val="auto"/>
                      <w:szCs w:val="21"/>
                      <w:highlight w:val="none"/>
                    </w:rPr>
                    <w:t>，环境管控单元编码：</w:t>
                  </w:r>
                  <w:r>
                    <w:rPr>
                      <w:rFonts w:hint="eastAsia"/>
                      <w:color w:val="auto"/>
                      <w:szCs w:val="21"/>
                      <w:highlight w:val="none"/>
                    </w:rPr>
                    <w:t>ZH21040330001，</w:t>
                  </w:r>
                  <w:r>
                    <w:rPr>
                      <w:color w:val="auto"/>
                      <w:szCs w:val="21"/>
                      <w:highlight w:val="none"/>
                    </w:rPr>
                    <w:t>符合抚顺市新抚区环境管控单元准入清单</w:t>
                  </w:r>
                  <w:r>
                    <w:rPr>
                      <w:rFonts w:hint="eastAsia"/>
                      <w:color w:val="auto"/>
                      <w:szCs w:val="21"/>
                      <w:highlight w:val="none"/>
                    </w:rPr>
                    <w:t>；</w:t>
                  </w:r>
                  <w:r>
                    <w:rPr>
                      <w:color w:val="auto"/>
                      <w:szCs w:val="21"/>
                      <w:highlight w:val="none"/>
                    </w:rPr>
                    <w:t>符合“三线一单”相关要求</w:t>
                  </w:r>
                </w:p>
              </w:tc>
              <w:tc>
                <w:tcPr>
                  <w:tcW w:w="361" w:type="pct"/>
                  <w:tcBorders>
                    <w:tl2br w:val="nil"/>
                    <w:tr2bl w:val="nil"/>
                  </w:tcBorders>
                  <w:vAlign w:val="center"/>
                </w:tcPr>
                <w:p w14:paraId="7CDAA749">
                  <w:pPr>
                    <w:pStyle w:val="43"/>
                    <w:rPr>
                      <w:color w:val="auto"/>
                      <w:szCs w:val="21"/>
                      <w:highlight w:val="none"/>
                    </w:rPr>
                  </w:pPr>
                  <w:r>
                    <w:rPr>
                      <w:color w:val="auto"/>
                      <w:szCs w:val="21"/>
                      <w:highlight w:val="none"/>
                    </w:rPr>
                    <w:t>符合</w:t>
                  </w:r>
                </w:p>
              </w:tc>
            </w:tr>
          </w:tbl>
          <w:p w14:paraId="11F32963">
            <w:pPr>
              <w:adjustRightInd w:val="0"/>
              <w:snapToGrid w:val="0"/>
              <w:spacing w:line="360" w:lineRule="auto"/>
              <w:outlineLvl w:val="1"/>
              <w:rPr>
                <w:b/>
                <w:bCs/>
                <w:color w:val="auto"/>
                <w:sz w:val="24"/>
                <w:highlight w:val="none"/>
              </w:rPr>
            </w:pPr>
            <w:r>
              <w:rPr>
                <w:rFonts w:hint="eastAsia"/>
                <w:b/>
                <w:bCs/>
                <w:color w:val="auto"/>
                <w:sz w:val="24"/>
                <w:highlight w:val="none"/>
              </w:rPr>
              <w:t>七、</w:t>
            </w:r>
            <w:r>
              <w:rPr>
                <w:b/>
                <w:bCs/>
                <w:color w:val="auto"/>
                <w:sz w:val="24"/>
                <w:highlight w:val="none"/>
              </w:rPr>
              <w:t>与《</w:t>
            </w:r>
            <w:r>
              <w:rPr>
                <w:rFonts w:hint="eastAsia"/>
                <w:b/>
                <w:bCs/>
                <w:color w:val="auto"/>
                <w:sz w:val="24"/>
                <w:highlight w:val="none"/>
              </w:rPr>
              <w:t>“</w:t>
            </w:r>
            <w:r>
              <w:rPr>
                <w:b/>
                <w:bCs/>
                <w:color w:val="auto"/>
                <w:sz w:val="24"/>
                <w:highlight w:val="none"/>
              </w:rPr>
              <w:t>十四五</w:t>
            </w:r>
            <w:r>
              <w:rPr>
                <w:rFonts w:hint="eastAsia"/>
                <w:b/>
                <w:bCs/>
                <w:color w:val="auto"/>
                <w:sz w:val="24"/>
                <w:highlight w:val="none"/>
              </w:rPr>
              <w:t>”</w:t>
            </w:r>
            <w:r>
              <w:rPr>
                <w:b/>
                <w:bCs/>
                <w:color w:val="auto"/>
                <w:sz w:val="24"/>
                <w:highlight w:val="none"/>
              </w:rPr>
              <w:t>噪声污染防治行动计划》</w:t>
            </w:r>
            <w:r>
              <w:rPr>
                <w:rFonts w:hint="eastAsia"/>
                <w:b/>
                <w:bCs/>
                <w:color w:val="auto"/>
                <w:sz w:val="24"/>
                <w:highlight w:val="none"/>
              </w:rPr>
              <w:t>符合</w:t>
            </w:r>
            <w:r>
              <w:rPr>
                <w:b/>
                <w:bCs/>
                <w:color w:val="auto"/>
                <w:sz w:val="24"/>
                <w:highlight w:val="none"/>
              </w:rPr>
              <w:t>性分析</w:t>
            </w:r>
          </w:p>
          <w:p w14:paraId="1DF0C7EA">
            <w:pPr>
              <w:widowControl/>
              <w:spacing w:line="360" w:lineRule="auto"/>
              <w:ind w:firstLine="480" w:firstLineChars="200"/>
              <w:jc w:val="left"/>
              <w:rPr>
                <w:color w:val="auto"/>
                <w:sz w:val="24"/>
                <w:highlight w:val="none"/>
              </w:rPr>
            </w:pPr>
            <w:r>
              <w:rPr>
                <w:rFonts w:hint="eastAsia" w:ascii="宋体" w:hAnsi="宋体" w:cs="宋体"/>
                <w:color w:val="auto"/>
                <w:kern w:val="0"/>
                <w:sz w:val="24"/>
                <w:highlight w:val="none"/>
                <w:lang w:bidi="ar"/>
              </w:rPr>
              <w:t>本项目与《</w:t>
            </w:r>
            <w:r>
              <w:rPr>
                <w:rFonts w:hint="eastAsia"/>
                <w:b/>
                <w:bCs/>
                <w:color w:val="auto"/>
                <w:sz w:val="24"/>
                <w:highlight w:val="none"/>
              </w:rPr>
              <w:t>“</w:t>
            </w:r>
            <w:r>
              <w:rPr>
                <w:rFonts w:hint="eastAsia" w:ascii="宋体" w:hAnsi="宋体" w:cs="宋体"/>
                <w:color w:val="auto"/>
                <w:kern w:val="0"/>
                <w:sz w:val="24"/>
                <w:highlight w:val="none"/>
                <w:lang w:bidi="ar"/>
              </w:rPr>
              <w:t>十四五</w:t>
            </w:r>
            <w:r>
              <w:rPr>
                <w:color w:val="auto"/>
                <w:kern w:val="0"/>
                <w:sz w:val="24"/>
                <w:highlight w:val="none"/>
                <w:lang w:bidi="ar"/>
              </w:rPr>
              <w:t>”</w:t>
            </w:r>
            <w:r>
              <w:rPr>
                <w:rFonts w:hint="eastAsia" w:ascii="宋体" w:hAnsi="宋体" w:cs="宋体"/>
                <w:color w:val="auto"/>
                <w:kern w:val="0"/>
                <w:sz w:val="24"/>
                <w:highlight w:val="none"/>
                <w:lang w:bidi="ar"/>
              </w:rPr>
              <w:t>噪声污染防治行动计划》相符性分析详见下表。</w:t>
            </w:r>
          </w:p>
          <w:p w14:paraId="75888CBA">
            <w:pPr>
              <w:widowControl/>
              <w:jc w:val="center"/>
              <w:rPr>
                <w:b/>
                <w:bCs/>
                <w:color w:val="auto"/>
                <w:kern w:val="0"/>
                <w:szCs w:val="21"/>
                <w:highlight w:val="none"/>
                <w:lang w:bidi="ar"/>
              </w:rPr>
            </w:pPr>
            <w:r>
              <w:rPr>
                <w:b/>
                <w:bCs/>
                <w:color w:val="auto"/>
                <w:kern w:val="0"/>
                <w:szCs w:val="21"/>
                <w:highlight w:val="none"/>
                <w:lang w:bidi="ar"/>
              </w:rPr>
              <w:t>表1-</w:t>
            </w:r>
            <w:r>
              <w:rPr>
                <w:rFonts w:hint="eastAsia"/>
                <w:b/>
                <w:bCs/>
                <w:color w:val="auto"/>
                <w:kern w:val="0"/>
                <w:szCs w:val="21"/>
                <w:highlight w:val="none"/>
                <w:lang w:val="en-US" w:eastAsia="zh-CN" w:bidi="ar"/>
              </w:rPr>
              <w:t>9</w:t>
            </w:r>
            <w:r>
              <w:rPr>
                <w:b/>
                <w:bCs/>
                <w:color w:val="auto"/>
                <w:kern w:val="0"/>
                <w:szCs w:val="21"/>
                <w:highlight w:val="none"/>
                <w:lang w:bidi="ar"/>
              </w:rPr>
              <w:t xml:space="preserve"> 本项目与《“十四五”噪声污染防治行动计划》符合性分析一览表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05"/>
              <w:gridCol w:w="1951"/>
              <w:gridCol w:w="1053"/>
            </w:tblGrid>
            <w:tr w14:paraId="6A9246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76" w:type="pct"/>
                  <w:tcBorders>
                    <w:tl2br w:val="nil"/>
                    <w:tr2bl w:val="nil"/>
                  </w:tcBorders>
                  <w:vAlign w:val="center"/>
                </w:tcPr>
                <w:p w14:paraId="5E092DDE">
                  <w:pPr>
                    <w:pStyle w:val="13"/>
                    <w:jc w:val="center"/>
                    <w:rPr>
                      <w:b/>
                      <w:bCs/>
                      <w:color w:val="auto"/>
                      <w:sz w:val="21"/>
                      <w:szCs w:val="21"/>
                      <w:highlight w:val="none"/>
                    </w:rPr>
                  </w:pPr>
                  <w:r>
                    <w:rPr>
                      <w:b/>
                      <w:bCs/>
                      <w:color w:val="auto"/>
                      <w:sz w:val="21"/>
                      <w:szCs w:val="21"/>
                      <w:highlight w:val="none"/>
                    </w:rPr>
                    <w:t>相关要求</w:t>
                  </w:r>
                </w:p>
              </w:tc>
              <w:tc>
                <w:tcPr>
                  <w:tcW w:w="1249" w:type="pct"/>
                  <w:tcBorders>
                    <w:tl2br w:val="nil"/>
                    <w:tr2bl w:val="nil"/>
                  </w:tcBorders>
                  <w:vAlign w:val="center"/>
                </w:tcPr>
                <w:p w14:paraId="22236DC7">
                  <w:pPr>
                    <w:pStyle w:val="13"/>
                    <w:jc w:val="center"/>
                    <w:rPr>
                      <w:b/>
                      <w:bCs/>
                      <w:color w:val="auto"/>
                      <w:sz w:val="21"/>
                      <w:szCs w:val="21"/>
                      <w:highlight w:val="none"/>
                    </w:rPr>
                  </w:pPr>
                  <w:r>
                    <w:rPr>
                      <w:b/>
                      <w:bCs/>
                      <w:color w:val="auto"/>
                      <w:sz w:val="21"/>
                      <w:szCs w:val="21"/>
                      <w:highlight w:val="none"/>
                    </w:rPr>
                    <w:t>项目情况</w:t>
                  </w:r>
                </w:p>
              </w:tc>
              <w:tc>
                <w:tcPr>
                  <w:tcW w:w="674" w:type="pct"/>
                  <w:tcBorders>
                    <w:tl2br w:val="nil"/>
                    <w:tr2bl w:val="nil"/>
                  </w:tcBorders>
                  <w:vAlign w:val="center"/>
                </w:tcPr>
                <w:p w14:paraId="62FD5330">
                  <w:pPr>
                    <w:pStyle w:val="13"/>
                    <w:jc w:val="center"/>
                    <w:rPr>
                      <w:b/>
                      <w:bCs/>
                      <w:color w:val="auto"/>
                      <w:sz w:val="21"/>
                      <w:szCs w:val="21"/>
                      <w:highlight w:val="none"/>
                    </w:rPr>
                  </w:pPr>
                  <w:r>
                    <w:rPr>
                      <w:b/>
                      <w:bCs/>
                      <w:color w:val="auto"/>
                      <w:sz w:val="21"/>
                      <w:szCs w:val="21"/>
                      <w:highlight w:val="none"/>
                    </w:rPr>
                    <w:t>符合性</w:t>
                  </w:r>
                </w:p>
              </w:tc>
            </w:tr>
            <w:tr w14:paraId="4BEFA7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76" w:type="pct"/>
                  <w:tcBorders>
                    <w:tl2br w:val="nil"/>
                    <w:tr2bl w:val="nil"/>
                  </w:tcBorders>
                  <w:vAlign w:val="center"/>
                </w:tcPr>
                <w:p w14:paraId="4C7A00E8">
                  <w:pPr>
                    <w:widowControl/>
                    <w:jc w:val="center"/>
                    <w:rPr>
                      <w:color w:val="auto"/>
                      <w:szCs w:val="21"/>
                      <w:highlight w:val="none"/>
                    </w:rPr>
                  </w:pPr>
                  <w:r>
                    <w:rPr>
                      <w:color w:val="auto"/>
                      <w:kern w:val="0"/>
                      <w:szCs w:val="21"/>
                      <w:highlight w:val="none"/>
                      <w:lang w:bidi="ar"/>
                    </w:rPr>
                    <w:t>树立工业噪声污染治理标杆。排放噪声的工业企业应切实采取减振降噪措施，加强厂区内固定设备、运输工具、货物装卸等噪声源管理，同时避免突发噪声扰民。鼓励企业采用先进治理技术，打造行业噪声污染治理示范典型。中央企业要主动承担社会责任，切实发挥模范带头和引领示范作用，创建一批行业标杆。</w:t>
                  </w:r>
                </w:p>
              </w:tc>
              <w:tc>
                <w:tcPr>
                  <w:tcW w:w="1249" w:type="pct"/>
                  <w:tcBorders>
                    <w:tl2br w:val="nil"/>
                    <w:tr2bl w:val="nil"/>
                  </w:tcBorders>
                  <w:vAlign w:val="center"/>
                </w:tcPr>
                <w:p w14:paraId="1378A9DE">
                  <w:pPr>
                    <w:widowControl/>
                    <w:jc w:val="center"/>
                    <w:rPr>
                      <w:color w:val="auto"/>
                      <w:szCs w:val="21"/>
                      <w:highlight w:val="none"/>
                    </w:rPr>
                  </w:pPr>
                  <w:r>
                    <w:rPr>
                      <w:color w:val="auto"/>
                      <w:kern w:val="0"/>
                      <w:szCs w:val="21"/>
                      <w:highlight w:val="none"/>
                      <w:lang w:bidi="ar"/>
                    </w:rPr>
                    <w:t>本项目噪声经采取选购低噪声设备、进行基础减振，利用厂房隔声以及距离缩减等措施后厂界噪声可以满足标准要求。</w:t>
                  </w:r>
                </w:p>
              </w:tc>
              <w:tc>
                <w:tcPr>
                  <w:tcW w:w="674" w:type="pct"/>
                  <w:tcBorders>
                    <w:tl2br w:val="nil"/>
                    <w:tr2bl w:val="nil"/>
                  </w:tcBorders>
                  <w:vAlign w:val="center"/>
                </w:tcPr>
                <w:p w14:paraId="15B71002">
                  <w:pPr>
                    <w:pStyle w:val="13"/>
                    <w:jc w:val="center"/>
                    <w:rPr>
                      <w:color w:val="auto"/>
                      <w:sz w:val="21"/>
                      <w:szCs w:val="21"/>
                      <w:highlight w:val="none"/>
                    </w:rPr>
                  </w:pPr>
                  <w:r>
                    <w:rPr>
                      <w:rFonts w:hint="eastAsia"/>
                      <w:color w:val="auto"/>
                      <w:sz w:val="21"/>
                      <w:szCs w:val="21"/>
                      <w:highlight w:val="none"/>
                    </w:rPr>
                    <w:t>符合</w:t>
                  </w:r>
                </w:p>
              </w:tc>
            </w:tr>
            <w:tr w14:paraId="7D648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76" w:type="pct"/>
                  <w:tcBorders>
                    <w:tl2br w:val="nil"/>
                    <w:tr2bl w:val="nil"/>
                  </w:tcBorders>
                  <w:vAlign w:val="center"/>
                </w:tcPr>
                <w:p w14:paraId="40581221">
                  <w:pPr>
                    <w:widowControl/>
                    <w:jc w:val="center"/>
                    <w:rPr>
                      <w:color w:val="auto"/>
                      <w:szCs w:val="21"/>
                      <w:highlight w:val="none"/>
                    </w:rPr>
                  </w:pPr>
                  <w:r>
                    <w:rPr>
                      <w:color w:val="auto"/>
                      <w:kern w:val="0"/>
                      <w:szCs w:val="21"/>
                      <w:highlight w:val="none"/>
                      <w:lang w:bidi="ar"/>
                    </w:rPr>
                    <w:t>推进工业噪声实施排污许可和重点排污单位管理。发布工业噪声排污许可证申请与核发技术规范，依法核发排污许可证或进行排污登记，并加强监管；实行排污许可管理的单位依证排污，按照规定开展自行监测并向社会公开。依据《环境监管重点单位名录管理办法》，推进设区的市级以上生态环境主管部门编制本行政区域噪声重点排污单位名录，并按要求发布和更新；噪声重点排污单位应依法开展噪声自动监测，并及时与生态环境主管部门的监控设备联网。</w:t>
                  </w:r>
                </w:p>
              </w:tc>
              <w:tc>
                <w:tcPr>
                  <w:tcW w:w="1249" w:type="pct"/>
                  <w:tcBorders>
                    <w:tl2br w:val="nil"/>
                    <w:tr2bl w:val="nil"/>
                  </w:tcBorders>
                  <w:vAlign w:val="center"/>
                </w:tcPr>
                <w:p w14:paraId="09229680">
                  <w:pPr>
                    <w:widowControl/>
                    <w:jc w:val="center"/>
                    <w:rPr>
                      <w:color w:val="auto"/>
                      <w:kern w:val="0"/>
                      <w:szCs w:val="21"/>
                      <w:highlight w:val="none"/>
                    </w:rPr>
                  </w:pPr>
                  <w:r>
                    <w:rPr>
                      <w:color w:val="auto"/>
                      <w:kern w:val="0"/>
                      <w:szCs w:val="21"/>
                      <w:highlight w:val="none"/>
                      <w:lang w:bidi="ar"/>
                    </w:rPr>
                    <w:t>项目完成后企业将根据要求填报排污许可并制定相应的自行监测计划。</w:t>
                  </w:r>
                </w:p>
              </w:tc>
              <w:tc>
                <w:tcPr>
                  <w:tcW w:w="674" w:type="pct"/>
                  <w:tcBorders>
                    <w:tl2br w:val="nil"/>
                    <w:tr2bl w:val="nil"/>
                  </w:tcBorders>
                  <w:vAlign w:val="center"/>
                </w:tcPr>
                <w:p w14:paraId="23226B78">
                  <w:pPr>
                    <w:pStyle w:val="13"/>
                    <w:jc w:val="center"/>
                    <w:rPr>
                      <w:color w:val="auto"/>
                      <w:sz w:val="21"/>
                      <w:szCs w:val="21"/>
                      <w:highlight w:val="none"/>
                    </w:rPr>
                  </w:pPr>
                  <w:r>
                    <w:rPr>
                      <w:rFonts w:hint="eastAsia"/>
                      <w:color w:val="auto"/>
                      <w:sz w:val="21"/>
                      <w:szCs w:val="21"/>
                      <w:highlight w:val="none"/>
                    </w:rPr>
                    <w:t>符合</w:t>
                  </w:r>
                </w:p>
              </w:tc>
            </w:tr>
          </w:tbl>
          <w:p w14:paraId="65C9FADD">
            <w:pPr>
              <w:adjustRightInd w:val="0"/>
              <w:snapToGrid w:val="0"/>
              <w:spacing w:line="360" w:lineRule="auto"/>
              <w:outlineLvl w:val="1"/>
              <w:rPr>
                <w:b/>
                <w:bCs/>
                <w:color w:val="auto"/>
                <w:sz w:val="24"/>
                <w:highlight w:val="none"/>
              </w:rPr>
            </w:pPr>
            <w:r>
              <w:rPr>
                <w:rFonts w:hint="eastAsia"/>
                <w:b/>
                <w:bCs/>
                <w:color w:val="auto"/>
                <w:sz w:val="24"/>
                <w:highlight w:val="none"/>
              </w:rPr>
              <w:t>八、</w:t>
            </w:r>
            <w:r>
              <w:rPr>
                <w:b/>
                <w:bCs/>
                <w:color w:val="auto"/>
                <w:sz w:val="24"/>
                <w:highlight w:val="none"/>
              </w:rPr>
              <w:t>与《环境空气细颗粒物污染综合防治技术政策》（公告2013年第59号）相符性分析</w:t>
            </w:r>
          </w:p>
          <w:p w14:paraId="234AAF1E">
            <w:pPr>
              <w:spacing w:line="360" w:lineRule="auto"/>
              <w:ind w:firstLine="480" w:firstLineChars="200"/>
              <w:rPr>
                <w:iCs/>
                <w:color w:val="auto"/>
                <w:sz w:val="24"/>
                <w:highlight w:val="none"/>
              </w:rPr>
            </w:pPr>
            <w:r>
              <w:rPr>
                <w:rFonts w:hint="eastAsia"/>
                <w:color w:val="auto"/>
                <w:sz w:val="24"/>
                <w:highlight w:val="none"/>
              </w:rPr>
              <w:t>本项目</w:t>
            </w:r>
            <w:r>
              <w:rPr>
                <w:color w:val="auto"/>
                <w:sz w:val="24"/>
                <w:highlight w:val="none"/>
              </w:rPr>
              <w:t>与</w:t>
            </w:r>
            <w:r>
              <w:rPr>
                <w:iCs/>
                <w:color w:val="auto"/>
                <w:sz w:val="24"/>
                <w:highlight w:val="none"/>
              </w:rPr>
              <w:t>《环境空气细颗粒物污染综合防治技术政策》（公告2013年第59号）相符性分析</w:t>
            </w:r>
            <w:r>
              <w:rPr>
                <w:rFonts w:hint="eastAsia"/>
                <w:iCs/>
                <w:color w:val="auto"/>
                <w:sz w:val="24"/>
                <w:highlight w:val="none"/>
              </w:rPr>
              <w:t>详见下表。</w:t>
            </w:r>
          </w:p>
          <w:p w14:paraId="493F589E">
            <w:pPr>
              <w:pStyle w:val="23"/>
              <w:ind w:left="0"/>
              <w:jc w:val="center"/>
              <w:rPr>
                <w:rFonts w:hint="eastAsia" w:ascii="Times New Roman" w:hAnsi="Times New Roman"/>
                <w:b/>
                <w:bCs/>
                <w:iCs/>
                <w:color w:val="auto"/>
                <w:szCs w:val="21"/>
                <w:highlight w:val="none"/>
              </w:rPr>
            </w:pPr>
            <w:r>
              <w:rPr>
                <w:rFonts w:hint="eastAsia" w:ascii="Times New Roman" w:hAnsi="Times New Roman"/>
                <w:b/>
                <w:bCs/>
                <w:iCs/>
                <w:color w:val="auto"/>
                <w:szCs w:val="21"/>
                <w:highlight w:val="none"/>
              </w:rPr>
              <w:t>表1-</w:t>
            </w:r>
            <w:r>
              <w:rPr>
                <w:rFonts w:hint="eastAsia" w:ascii="Times New Roman" w:hAnsi="Times New Roman"/>
                <w:b/>
                <w:bCs/>
                <w:iCs/>
                <w:color w:val="auto"/>
                <w:szCs w:val="21"/>
                <w:highlight w:val="none"/>
                <w:lang w:val="en-US" w:eastAsia="zh-CN"/>
              </w:rPr>
              <w:t>10</w:t>
            </w:r>
            <w:r>
              <w:rPr>
                <w:rFonts w:hint="eastAsia" w:ascii="Times New Roman" w:hAnsi="Times New Roman"/>
                <w:b/>
                <w:bCs/>
                <w:iCs/>
                <w:color w:val="auto"/>
                <w:szCs w:val="21"/>
                <w:highlight w:val="none"/>
              </w:rPr>
              <w:t xml:space="preserve"> </w:t>
            </w:r>
            <w:r>
              <w:rPr>
                <w:rFonts w:ascii="Times New Roman" w:hAnsi="Times New Roman"/>
                <w:b/>
                <w:bCs/>
                <w:color w:val="auto"/>
                <w:szCs w:val="21"/>
                <w:highlight w:val="none"/>
              </w:rPr>
              <w:t>与</w:t>
            </w:r>
            <w:r>
              <w:rPr>
                <w:rFonts w:ascii="Times New Roman" w:hAnsi="Times New Roman"/>
                <w:b/>
                <w:bCs/>
                <w:iCs/>
                <w:color w:val="auto"/>
                <w:szCs w:val="21"/>
                <w:highlight w:val="none"/>
              </w:rPr>
              <w:t>《环境空气细颗粒物污染综合防治技术政策》相符性分析</w:t>
            </w:r>
            <w:r>
              <w:rPr>
                <w:rFonts w:hint="eastAsia" w:ascii="Times New Roman" w:hAnsi="Times New Roman"/>
                <w:b/>
                <w:bCs/>
                <w:iCs/>
                <w:color w:val="auto"/>
                <w:szCs w:val="21"/>
                <w:highlight w:val="none"/>
              </w:rPr>
              <w:t>一览表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555"/>
              <w:gridCol w:w="3236"/>
              <w:gridCol w:w="1018"/>
            </w:tblGrid>
            <w:tr w14:paraId="0B7212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76" w:type="pct"/>
                  <w:tcBorders>
                    <w:tl2br w:val="nil"/>
                    <w:tr2bl w:val="nil"/>
                  </w:tcBorders>
                  <w:vAlign w:val="center"/>
                </w:tcPr>
                <w:p w14:paraId="54D6B24F">
                  <w:pPr>
                    <w:pStyle w:val="13"/>
                    <w:jc w:val="center"/>
                    <w:rPr>
                      <w:b/>
                      <w:bCs/>
                      <w:color w:val="auto"/>
                      <w:sz w:val="21"/>
                      <w:szCs w:val="21"/>
                      <w:highlight w:val="none"/>
                    </w:rPr>
                  </w:pPr>
                  <w:r>
                    <w:rPr>
                      <w:b/>
                      <w:bCs/>
                      <w:color w:val="auto"/>
                      <w:sz w:val="21"/>
                      <w:szCs w:val="21"/>
                      <w:highlight w:val="none"/>
                    </w:rPr>
                    <w:t>相关要求</w:t>
                  </w:r>
                </w:p>
              </w:tc>
              <w:tc>
                <w:tcPr>
                  <w:tcW w:w="2072" w:type="pct"/>
                  <w:tcBorders>
                    <w:tl2br w:val="nil"/>
                    <w:tr2bl w:val="nil"/>
                  </w:tcBorders>
                  <w:vAlign w:val="center"/>
                </w:tcPr>
                <w:p w14:paraId="232F07B6">
                  <w:pPr>
                    <w:pStyle w:val="13"/>
                    <w:jc w:val="center"/>
                    <w:rPr>
                      <w:b/>
                      <w:bCs/>
                      <w:color w:val="auto"/>
                      <w:sz w:val="21"/>
                      <w:szCs w:val="21"/>
                      <w:highlight w:val="none"/>
                    </w:rPr>
                  </w:pPr>
                  <w:r>
                    <w:rPr>
                      <w:b/>
                      <w:bCs/>
                      <w:color w:val="auto"/>
                      <w:sz w:val="21"/>
                      <w:szCs w:val="21"/>
                      <w:highlight w:val="none"/>
                    </w:rPr>
                    <w:t>项目情况</w:t>
                  </w:r>
                </w:p>
              </w:tc>
              <w:tc>
                <w:tcPr>
                  <w:tcW w:w="651" w:type="pct"/>
                  <w:tcBorders>
                    <w:tl2br w:val="nil"/>
                    <w:tr2bl w:val="nil"/>
                  </w:tcBorders>
                  <w:vAlign w:val="center"/>
                </w:tcPr>
                <w:p w14:paraId="61F613B2">
                  <w:pPr>
                    <w:pStyle w:val="13"/>
                    <w:jc w:val="center"/>
                    <w:rPr>
                      <w:b/>
                      <w:bCs/>
                      <w:color w:val="auto"/>
                      <w:sz w:val="21"/>
                      <w:szCs w:val="21"/>
                      <w:highlight w:val="none"/>
                    </w:rPr>
                  </w:pPr>
                  <w:r>
                    <w:rPr>
                      <w:b/>
                      <w:bCs/>
                      <w:color w:val="auto"/>
                      <w:sz w:val="21"/>
                      <w:szCs w:val="21"/>
                      <w:highlight w:val="none"/>
                    </w:rPr>
                    <w:t>符合性</w:t>
                  </w:r>
                </w:p>
              </w:tc>
            </w:tr>
            <w:tr w14:paraId="28B05E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3"/>
                  <w:tcBorders>
                    <w:tl2br w:val="nil"/>
                    <w:tr2bl w:val="nil"/>
                  </w:tcBorders>
                  <w:vAlign w:val="center"/>
                </w:tcPr>
                <w:p w14:paraId="01E9CDD6">
                  <w:pPr>
                    <w:pStyle w:val="11"/>
                    <w:spacing w:after="0" w:line="240" w:lineRule="auto"/>
                    <w:ind w:left="0" w:leftChars="0"/>
                    <w:jc w:val="center"/>
                    <w:rPr>
                      <w:color w:val="auto"/>
                      <w:szCs w:val="21"/>
                      <w:highlight w:val="none"/>
                    </w:rPr>
                  </w:pPr>
                  <w:r>
                    <w:rPr>
                      <w:rFonts w:hint="eastAsia"/>
                      <w:color w:val="auto"/>
                      <w:szCs w:val="21"/>
                      <w:highlight w:val="none"/>
                    </w:rPr>
                    <w:t>二、综合防治</w:t>
                  </w:r>
                </w:p>
              </w:tc>
            </w:tr>
            <w:tr w14:paraId="21BDAF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76" w:type="pct"/>
                  <w:tcBorders>
                    <w:tl2br w:val="nil"/>
                    <w:tr2bl w:val="nil"/>
                  </w:tcBorders>
                  <w:vAlign w:val="center"/>
                </w:tcPr>
                <w:p w14:paraId="3F805547">
                  <w:pPr>
                    <w:pStyle w:val="11"/>
                    <w:spacing w:after="0" w:line="240" w:lineRule="auto"/>
                    <w:ind w:left="0" w:leftChars="0"/>
                    <w:jc w:val="center"/>
                    <w:rPr>
                      <w:color w:val="auto"/>
                      <w:szCs w:val="21"/>
                      <w:highlight w:val="none"/>
                    </w:rPr>
                  </w:pPr>
                  <w:r>
                    <w:rPr>
                      <w:rFonts w:hint="eastAsia"/>
                      <w:color w:val="auto"/>
                      <w:szCs w:val="21"/>
                      <w:highlight w:val="none"/>
                    </w:rPr>
                    <w:t>（六）应将能源合理开发利用作为防治细颗粒物污染的优先领域，实行煤炭消费总量控制，大力发展清洁能源。天然气等清洁能源应优先供应居民日常生活使用。在大型城市应不断减少煤炭在能源供应中的比重。限制高硫份或高灰份煤炭的开采、使用和进口，提高煤炭洗选比例，研究推广煤炭清洁化利用技术，减少燃烧煤炭造成的污染物排放。</w:t>
                  </w:r>
                </w:p>
              </w:tc>
              <w:tc>
                <w:tcPr>
                  <w:tcW w:w="2072" w:type="pct"/>
                  <w:tcBorders>
                    <w:tl2br w:val="nil"/>
                    <w:tr2bl w:val="nil"/>
                  </w:tcBorders>
                  <w:vAlign w:val="center"/>
                </w:tcPr>
                <w:p w14:paraId="3D6778E2">
                  <w:pPr>
                    <w:pStyle w:val="11"/>
                    <w:spacing w:after="0" w:line="240" w:lineRule="auto"/>
                    <w:ind w:left="0" w:leftChars="0"/>
                    <w:jc w:val="center"/>
                    <w:rPr>
                      <w:color w:val="auto"/>
                      <w:szCs w:val="21"/>
                      <w:highlight w:val="none"/>
                    </w:rPr>
                  </w:pPr>
                  <w:r>
                    <w:rPr>
                      <w:rFonts w:hint="eastAsia"/>
                      <w:color w:val="auto"/>
                      <w:szCs w:val="21"/>
                      <w:highlight w:val="none"/>
                    </w:rPr>
                    <w:t>本项目不涉及煤炭使用。</w:t>
                  </w:r>
                </w:p>
              </w:tc>
              <w:tc>
                <w:tcPr>
                  <w:tcW w:w="651" w:type="pct"/>
                  <w:tcBorders>
                    <w:tl2br w:val="nil"/>
                    <w:tr2bl w:val="nil"/>
                  </w:tcBorders>
                  <w:vAlign w:val="center"/>
                </w:tcPr>
                <w:p w14:paraId="5BC49970">
                  <w:pPr>
                    <w:pStyle w:val="11"/>
                    <w:spacing w:after="0" w:line="240" w:lineRule="auto"/>
                    <w:ind w:left="0" w:leftChars="0"/>
                    <w:jc w:val="center"/>
                    <w:rPr>
                      <w:color w:val="auto"/>
                      <w:szCs w:val="21"/>
                      <w:highlight w:val="none"/>
                    </w:rPr>
                  </w:pPr>
                  <w:r>
                    <w:rPr>
                      <w:rFonts w:hint="eastAsia"/>
                      <w:color w:val="auto"/>
                      <w:szCs w:val="21"/>
                      <w:highlight w:val="none"/>
                    </w:rPr>
                    <w:t>符合</w:t>
                  </w:r>
                </w:p>
              </w:tc>
            </w:tr>
            <w:tr w14:paraId="33D932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76" w:type="pct"/>
                  <w:tcBorders>
                    <w:tl2br w:val="nil"/>
                    <w:tr2bl w:val="nil"/>
                  </w:tcBorders>
                  <w:vAlign w:val="center"/>
                </w:tcPr>
                <w:p w14:paraId="706897F1">
                  <w:pPr>
                    <w:pStyle w:val="11"/>
                    <w:spacing w:after="0" w:line="240" w:lineRule="auto"/>
                    <w:ind w:left="0" w:leftChars="0"/>
                    <w:jc w:val="center"/>
                    <w:rPr>
                      <w:color w:val="auto"/>
                      <w:szCs w:val="21"/>
                      <w:highlight w:val="none"/>
                    </w:rPr>
                  </w:pPr>
                  <w:r>
                    <w:rPr>
                      <w:rFonts w:hint="eastAsia"/>
                      <w:color w:val="auto"/>
                      <w:szCs w:val="21"/>
                      <w:highlight w:val="none"/>
                    </w:rPr>
                    <w:t>（七）应将防治细颗粒物污染作为制定和实施城市建设规划的目的之一，优化城市功能布局，开展城市生态建设，不断提高环境承载力，适当控制城市规模，大力发展公共交通系统。</w:t>
                  </w:r>
                </w:p>
              </w:tc>
              <w:tc>
                <w:tcPr>
                  <w:tcW w:w="2072" w:type="pct"/>
                  <w:tcBorders>
                    <w:tl2br w:val="nil"/>
                    <w:tr2bl w:val="nil"/>
                  </w:tcBorders>
                  <w:vAlign w:val="center"/>
                </w:tcPr>
                <w:p w14:paraId="3007D4C8">
                  <w:pPr>
                    <w:pStyle w:val="11"/>
                    <w:spacing w:after="0" w:line="240" w:lineRule="auto"/>
                    <w:ind w:left="0" w:leftChars="0"/>
                    <w:jc w:val="center"/>
                    <w:rPr>
                      <w:color w:val="auto"/>
                      <w:szCs w:val="21"/>
                      <w:highlight w:val="none"/>
                    </w:rPr>
                  </w:pPr>
                  <w:r>
                    <w:rPr>
                      <w:rFonts w:hint="eastAsia"/>
                      <w:color w:val="auto"/>
                      <w:szCs w:val="21"/>
                      <w:highlight w:val="none"/>
                    </w:rPr>
                    <w:t>本项目有组织颗粒物经集气罩收集、袋式除尘器处理；无组织颗粒物采用生产车间、皮带廊、成品库全封闭，</w:t>
                  </w:r>
                  <w:r>
                    <w:rPr>
                      <w:rFonts w:hint="eastAsia"/>
                      <w:color w:val="auto"/>
                      <w:szCs w:val="21"/>
                      <w:highlight w:val="none"/>
                      <w:lang w:val="en-US" w:eastAsia="zh-CN"/>
                    </w:rPr>
                    <w:t>定期</w:t>
                  </w:r>
                  <w:r>
                    <w:rPr>
                      <w:rFonts w:hint="eastAsia"/>
                      <w:color w:val="auto"/>
                      <w:szCs w:val="21"/>
                      <w:highlight w:val="none"/>
                    </w:rPr>
                    <w:t>洒水抑尘，运输产品及原料的车辆加盖苫布，厂区内地面进行硬化，项目产生的颗粒物均得到有效处理。</w:t>
                  </w:r>
                </w:p>
              </w:tc>
              <w:tc>
                <w:tcPr>
                  <w:tcW w:w="651" w:type="pct"/>
                  <w:tcBorders>
                    <w:tl2br w:val="nil"/>
                    <w:tr2bl w:val="nil"/>
                  </w:tcBorders>
                  <w:vAlign w:val="center"/>
                </w:tcPr>
                <w:p w14:paraId="6CC982EC">
                  <w:pPr>
                    <w:pStyle w:val="11"/>
                    <w:spacing w:after="0" w:line="240" w:lineRule="auto"/>
                    <w:ind w:left="0" w:leftChars="0"/>
                    <w:jc w:val="center"/>
                    <w:rPr>
                      <w:color w:val="auto"/>
                      <w:szCs w:val="21"/>
                      <w:highlight w:val="none"/>
                    </w:rPr>
                  </w:pPr>
                  <w:r>
                    <w:rPr>
                      <w:rFonts w:hint="eastAsia"/>
                      <w:color w:val="auto"/>
                      <w:szCs w:val="21"/>
                      <w:highlight w:val="none"/>
                    </w:rPr>
                    <w:t>符合</w:t>
                  </w:r>
                </w:p>
              </w:tc>
            </w:tr>
            <w:tr w14:paraId="6A389D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00" w:type="pct"/>
                  <w:gridSpan w:val="3"/>
                  <w:tcBorders>
                    <w:tl2br w:val="nil"/>
                    <w:tr2bl w:val="nil"/>
                  </w:tcBorders>
                  <w:vAlign w:val="center"/>
                </w:tcPr>
                <w:p w14:paraId="15E4042F">
                  <w:pPr>
                    <w:pStyle w:val="11"/>
                    <w:spacing w:after="0" w:line="240" w:lineRule="auto"/>
                    <w:ind w:left="0" w:leftChars="0"/>
                    <w:jc w:val="center"/>
                    <w:rPr>
                      <w:color w:val="auto"/>
                      <w:szCs w:val="21"/>
                      <w:highlight w:val="none"/>
                    </w:rPr>
                  </w:pPr>
                  <w:r>
                    <w:rPr>
                      <w:rFonts w:hint="eastAsia"/>
                      <w:color w:val="auto"/>
                      <w:szCs w:val="21"/>
                      <w:highlight w:val="none"/>
                    </w:rPr>
                    <w:t>三、防治工业污染</w:t>
                  </w:r>
                </w:p>
              </w:tc>
            </w:tr>
            <w:tr w14:paraId="1DFE35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76" w:type="pct"/>
                  <w:tcBorders>
                    <w:tl2br w:val="nil"/>
                    <w:tr2bl w:val="nil"/>
                  </w:tcBorders>
                  <w:vAlign w:val="center"/>
                </w:tcPr>
                <w:p w14:paraId="379C8319">
                  <w:pPr>
                    <w:pStyle w:val="11"/>
                    <w:spacing w:after="0" w:line="240" w:lineRule="auto"/>
                    <w:ind w:left="0" w:leftChars="0"/>
                    <w:jc w:val="center"/>
                    <w:rPr>
                      <w:color w:val="auto"/>
                      <w:szCs w:val="21"/>
                      <w:highlight w:val="none"/>
                    </w:rPr>
                  </w:pPr>
                  <w:r>
                    <w:rPr>
                      <w:rFonts w:hint="eastAsia"/>
                      <w:color w:val="auto"/>
                      <w:szCs w:val="21"/>
                      <w:highlight w:val="none"/>
                    </w:rPr>
                    <w:t>（十三）对于排放细颗粒物的工业污染源，应按照生产工艺、排放方式和烟（废）气组成的特点，选取适用的污染防治技术。工业污染源有组织排放的颗粒物，宜采取袋除尘、电除尘、电袋除尘等高效除尘技术，鼓励火电机组和大型燃煤锅炉采用湿式电除尘等新技术。</w:t>
                  </w:r>
                </w:p>
              </w:tc>
              <w:tc>
                <w:tcPr>
                  <w:tcW w:w="2072" w:type="pct"/>
                  <w:tcBorders>
                    <w:tl2br w:val="nil"/>
                    <w:tr2bl w:val="nil"/>
                  </w:tcBorders>
                  <w:vAlign w:val="center"/>
                </w:tcPr>
                <w:p w14:paraId="479C5EE5">
                  <w:pPr>
                    <w:pStyle w:val="11"/>
                    <w:spacing w:after="0" w:line="240" w:lineRule="auto"/>
                    <w:ind w:left="0" w:leftChars="0"/>
                    <w:jc w:val="center"/>
                    <w:rPr>
                      <w:color w:val="auto"/>
                      <w:szCs w:val="21"/>
                      <w:highlight w:val="none"/>
                    </w:rPr>
                  </w:pPr>
                  <w:r>
                    <w:rPr>
                      <w:rFonts w:hint="eastAsia"/>
                      <w:color w:val="auto"/>
                      <w:szCs w:val="21"/>
                      <w:highlight w:val="none"/>
                    </w:rPr>
                    <w:t>本项目有组织颗粒物经集气罩收集、袋式除尘器处理，属于可行技术。</w:t>
                  </w:r>
                </w:p>
              </w:tc>
              <w:tc>
                <w:tcPr>
                  <w:tcW w:w="651" w:type="pct"/>
                  <w:tcBorders>
                    <w:tl2br w:val="nil"/>
                    <w:tr2bl w:val="nil"/>
                  </w:tcBorders>
                  <w:vAlign w:val="center"/>
                </w:tcPr>
                <w:p w14:paraId="5CA9A9C8">
                  <w:pPr>
                    <w:pStyle w:val="11"/>
                    <w:spacing w:after="0" w:line="240" w:lineRule="auto"/>
                    <w:ind w:left="0" w:leftChars="0"/>
                    <w:jc w:val="center"/>
                    <w:rPr>
                      <w:color w:val="auto"/>
                      <w:szCs w:val="21"/>
                      <w:highlight w:val="none"/>
                    </w:rPr>
                  </w:pPr>
                  <w:r>
                    <w:rPr>
                      <w:rFonts w:hint="eastAsia"/>
                      <w:color w:val="auto"/>
                      <w:szCs w:val="21"/>
                      <w:highlight w:val="none"/>
                    </w:rPr>
                    <w:t>符合</w:t>
                  </w:r>
                </w:p>
              </w:tc>
            </w:tr>
            <w:tr w14:paraId="6AA1F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76" w:type="pct"/>
                  <w:tcBorders>
                    <w:tl2br w:val="nil"/>
                    <w:tr2bl w:val="nil"/>
                  </w:tcBorders>
                  <w:vAlign w:val="center"/>
                </w:tcPr>
                <w:p w14:paraId="0191C342">
                  <w:pPr>
                    <w:pStyle w:val="11"/>
                    <w:spacing w:after="0" w:line="240" w:lineRule="auto"/>
                    <w:ind w:left="0" w:leftChars="0"/>
                    <w:jc w:val="center"/>
                    <w:rPr>
                      <w:color w:val="auto"/>
                      <w:szCs w:val="21"/>
                      <w:highlight w:val="none"/>
                    </w:rPr>
                  </w:pPr>
                  <w:r>
                    <w:rPr>
                      <w:rFonts w:hint="eastAsia"/>
                      <w:color w:val="auto"/>
                      <w:szCs w:val="21"/>
                      <w:highlight w:val="none"/>
                    </w:rPr>
                    <w:t>（十五）产生大气颗粒物及其前体物污染物的生产活动应尽量采用密闭装置，避免无组织排放；无法完全密闭的，应安装集气装置收集逸散的污染物，经净化后排放。</w:t>
                  </w:r>
                </w:p>
              </w:tc>
              <w:tc>
                <w:tcPr>
                  <w:tcW w:w="2072" w:type="pct"/>
                  <w:tcBorders>
                    <w:tl2br w:val="nil"/>
                    <w:tr2bl w:val="nil"/>
                  </w:tcBorders>
                  <w:vAlign w:val="center"/>
                </w:tcPr>
                <w:p w14:paraId="4E3E7E6F">
                  <w:pPr>
                    <w:pStyle w:val="11"/>
                    <w:spacing w:after="0" w:line="240" w:lineRule="auto"/>
                    <w:ind w:left="0" w:leftChars="0"/>
                    <w:jc w:val="center"/>
                    <w:rPr>
                      <w:color w:val="auto"/>
                      <w:szCs w:val="21"/>
                      <w:highlight w:val="none"/>
                    </w:rPr>
                  </w:pPr>
                  <w:r>
                    <w:rPr>
                      <w:rFonts w:hint="eastAsia"/>
                      <w:color w:val="auto"/>
                      <w:szCs w:val="21"/>
                      <w:highlight w:val="none"/>
                    </w:rPr>
                    <w:t>本项目有组织颗粒物经集气罩收集、袋式除尘器处理；无组织颗粒物采用</w:t>
                  </w:r>
                  <w:r>
                    <w:rPr>
                      <w:rFonts w:hint="eastAsia"/>
                      <w:color w:val="auto"/>
                      <w:szCs w:val="21"/>
                      <w:highlight w:val="none"/>
                      <w:lang w:val="en-US" w:eastAsia="zh-CN"/>
                    </w:rPr>
                    <w:t>原料区设置顶棚、四周设置5m高围挡、围挡与顶棚连接采取防尘网、</w:t>
                  </w:r>
                  <w:r>
                    <w:rPr>
                      <w:rFonts w:hint="eastAsia"/>
                      <w:color w:val="auto"/>
                      <w:szCs w:val="21"/>
                      <w:highlight w:val="none"/>
                    </w:rPr>
                    <w:t>采取地面硬化</w:t>
                  </w:r>
                  <w:r>
                    <w:rPr>
                      <w:rFonts w:hint="eastAsia"/>
                      <w:color w:val="auto"/>
                      <w:szCs w:val="21"/>
                      <w:highlight w:val="none"/>
                      <w:lang w:eastAsia="zh-CN"/>
                    </w:rPr>
                    <w:t>，</w:t>
                  </w:r>
                  <w:r>
                    <w:rPr>
                      <w:rFonts w:hint="eastAsia"/>
                      <w:color w:val="auto"/>
                      <w:szCs w:val="21"/>
                      <w:highlight w:val="none"/>
                    </w:rPr>
                    <w:t>生产车间、皮带廊、成品库全封闭，</w:t>
                  </w:r>
                  <w:r>
                    <w:rPr>
                      <w:rFonts w:hint="eastAsia"/>
                      <w:color w:val="auto"/>
                      <w:szCs w:val="21"/>
                      <w:highlight w:val="none"/>
                      <w:lang w:val="en-US" w:eastAsia="zh-CN"/>
                    </w:rPr>
                    <w:t>定期洒水</w:t>
                  </w:r>
                  <w:r>
                    <w:rPr>
                      <w:rFonts w:hint="eastAsia"/>
                      <w:color w:val="auto"/>
                      <w:szCs w:val="21"/>
                      <w:highlight w:val="none"/>
                    </w:rPr>
                    <w:t>抑尘，运输产品及原料的车辆加盖苫布，厂区内地面进行硬化，项目产生的颗粒物均得到有效处理，可达标排放</w:t>
                  </w:r>
                </w:p>
              </w:tc>
              <w:tc>
                <w:tcPr>
                  <w:tcW w:w="651" w:type="pct"/>
                  <w:tcBorders>
                    <w:tl2br w:val="nil"/>
                    <w:tr2bl w:val="nil"/>
                  </w:tcBorders>
                  <w:vAlign w:val="center"/>
                </w:tcPr>
                <w:p w14:paraId="4F5B0CFB">
                  <w:pPr>
                    <w:pStyle w:val="11"/>
                    <w:spacing w:after="0" w:line="240" w:lineRule="auto"/>
                    <w:ind w:left="0" w:leftChars="0"/>
                    <w:jc w:val="center"/>
                    <w:rPr>
                      <w:color w:val="auto"/>
                      <w:szCs w:val="21"/>
                      <w:highlight w:val="none"/>
                    </w:rPr>
                  </w:pPr>
                  <w:r>
                    <w:rPr>
                      <w:rFonts w:hint="eastAsia"/>
                      <w:color w:val="auto"/>
                      <w:szCs w:val="21"/>
                      <w:highlight w:val="none"/>
                    </w:rPr>
                    <w:t>符合</w:t>
                  </w:r>
                </w:p>
              </w:tc>
            </w:tr>
          </w:tbl>
          <w:p w14:paraId="08C4B451">
            <w:pPr>
              <w:rPr>
                <w:color w:val="auto"/>
                <w:highlight w:val="none"/>
              </w:rPr>
            </w:pPr>
          </w:p>
          <w:p w14:paraId="1AF6843A">
            <w:pPr>
              <w:adjustRightInd w:val="0"/>
              <w:snapToGrid w:val="0"/>
              <w:spacing w:line="360" w:lineRule="auto"/>
              <w:outlineLvl w:val="1"/>
              <w:rPr>
                <w:b/>
                <w:bCs/>
                <w:color w:val="auto"/>
                <w:sz w:val="24"/>
                <w:highlight w:val="none"/>
              </w:rPr>
            </w:pPr>
            <w:r>
              <w:rPr>
                <w:rFonts w:hint="eastAsia"/>
                <w:b/>
                <w:bCs/>
                <w:color w:val="auto"/>
                <w:sz w:val="24"/>
                <w:highlight w:val="none"/>
              </w:rPr>
              <w:t>九、</w:t>
            </w:r>
            <w:r>
              <w:rPr>
                <w:b/>
                <w:bCs/>
                <w:color w:val="auto"/>
                <w:sz w:val="24"/>
                <w:highlight w:val="none"/>
              </w:rPr>
              <w:t>与《关于推进机制砂石行业高质量发展的若干意见》（工信部联原〔2019〕239号）相符性分析</w:t>
            </w:r>
          </w:p>
          <w:p w14:paraId="124F6303">
            <w:pPr>
              <w:widowControl/>
              <w:spacing w:line="360" w:lineRule="auto"/>
              <w:ind w:firstLine="480" w:firstLineChars="200"/>
              <w:jc w:val="left"/>
              <w:rPr>
                <w:color w:val="auto"/>
                <w:sz w:val="24"/>
                <w:highlight w:val="none"/>
              </w:rPr>
            </w:pPr>
            <w:r>
              <w:rPr>
                <w:rFonts w:hint="eastAsia" w:ascii="宋体" w:hAnsi="宋体" w:cs="宋体"/>
                <w:color w:val="auto"/>
                <w:kern w:val="0"/>
                <w:sz w:val="24"/>
                <w:highlight w:val="none"/>
                <w:lang w:bidi="ar"/>
              </w:rPr>
              <w:t>本项目与《关于推进机制砂石行业高质量发展的若干意见》（工信部联原</w:t>
            </w:r>
            <w:r>
              <w:rPr>
                <w:color w:val="auto"/>
                <w:kern w:val="0"/>
                <w:sz w:val="24"/>
                <w:highlight w:val="none"/>
                <w:lang w:bidi="ar"/>
              </w:rPr>
              <w:t>〔2019〕239号）</w:t>
            </w:r>
            <w:r>
              <w:rPr>
                <w:rFonts w:hint="eastAsia" w:ascii="宋体" w:hAnsi="宋体" w:cs="宋体"/>
                <w:color w:val="auto"/>
                <w:kern w:val="0"/>
                <w:sz w:val="24"/>
                <w:highlight w:val="none"/>
                <w:lang w:bidi="ar"/>
              </w:rPr>
              <w:t>相符性分析详见下表。</w:t>
            </w:r>
          </w:p>
          <w:p w14:paraId="3D2953A9">
            <w:pPr>
              <w:widowControl/>
              <w:jc w:val="center"/>
              <w:rPr>
                <w:b/>
                <w:bCs/>
                <w:color w:val="auto"/>
                <w:kern w:val="0"/>
                <w:szCs w:val="21"/>
                <w:highlight w:val="none"/>
                <w:lang w:bidi="ar"/>
              </w:rPr>
            </w:pPr>
            <w:r>
              <w:rPr>
                <w:b/>
                <w:bCs/>
                <w:color w:val="auto"/>
                <w:kern w:val="0"/>
                <w:szCs w:val="21"/>
                <w:highlight w:val="none"/>
                <w:lang w:bidi="ar"/>
              </w:rPr>
              <w:t>表1-</w:t>
            </w:r>
            <w:r>
              <w:rPr>
                <w:rFonts w:hint="eastAsia"/>
                <w:b/>
                <w:bCs/>
                <w:color w:val="auto"/>
                <w:kern w:val="0"/>
                <w:szCs w:val="21"/>
                <w:highlight w:val="none"/>
                <w:lang w:bidi="ar"/>
              </w:rPr>
              <w:t>1</w:t>
            </w:r>
            <w:r>
              <w:rPr>
                <w:rFonts w:hint="eastAsia"/>
                <w:b/>
                <w:bCs/>
                <w:color w:val="auto"/>
                <w:kern w:val="0"/>
                <w:szCs w:val="21"/>
                <w:highlight w:val="none"/>
                <w:lang w:val="en-US" w:eastAsia="zh-CN" w:bidi="ar"/>
              </w:rPr>
              <w:t>1</w:t>
            </w:r>
            <w:r>
              <w:rPr>
                <w:b/>
                <w:bCs/>
                <w:color w:val="auto"/>
                <w:kern w:val="0"/>
                <w:szCs w:val="21"/>
                <w:highlight w:val="none"/>
                <w:lang w:bidi="ar"/>
              </w:rPr>
              <w:t xml:space="preserve"> 本项目与《关于推进机制砂石行业高质量发展的若干意见》符合性分析一览表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805"/>
              <w:gridCol w:w="1951"/>
              <w:gridCol w:w="1053"/>
            </w:tblGrid>
            <w:tr w14:paraId="10F942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76" w:type="pct"/>
                  <w:tcBorders>
                    <w:tl2br w:val="nil"/>
                    <w:tr2bl w:val="nil"/>
                  </w:tcBorders>
                  <w:vAlign w:val="center"/>
                </w:tcPr>
                <w:p w14:paraId="62F64A1E">
                  <w:pPr>
                    <w:pStyle w:val="13"/>
                    <w:jc w:val="center"/>
                    <w:rPr>
                      <w:b/>
                      <w:bCs/>
                      <w:color w:val="auto"/>
                      <w:sz w:val="21"/>
                      <w:szCs w:val="21"/>
                      <w:highlight w:val="none"/>
                    </w:rPr>
                  </w:pPr>
                  <w:r>
                    <w:rPr>
                      <w:b/>
                      <w:bCs/>
                      <w:color w:val="auto"/>
                      <w:sz w:val="21"/>
                      <w:szCs w:val="21"/>
                      <w:highlight w:val="none"/>
                    </w:rPr>
                    <w:t>相关要求</w:t>
                  </w:r>
                </w:p>
              </w:tc>
              <w:tc>
                <w:tcPr>
                  <w:tcW w:w="1249" w:type="pct"/>
                  <w:tcBorders>
                    <w:tl2br w:val="nil"/>
                    <w:tr2bl w:val="nil"/>
                  </w:tcBorders>
                  <w:vAlign w:val="center"/>
                </w:tcPr>
                <w:p w14:paraId="0A523E67">
                  <w:pPr>
                    <w:pStyle w:val="13"/>
                    <w:jc w:val="center"/>
                    <w:rPr>
                      <w:b/>
                      <w:bCs/>
                      <w:color w:val="auto"/>
                      <w:sz w:val="21"/>
                      <w:szCs w:val="21"/>
                      <w:highlight w:val="none"/>
                    </w:rPr>
                  </w:pPr>
                  <w:r>
                    <w:rPr>
                      <w:b/>
                      <w:bCs/>
                      <w:color w:val="auto"/>
                      <w:sz w:val="21"/>
                      <w:szCs w:val="21"/>
                      <w:highlight w:val="none"/>
                    </w:rPr>
                    <w:t>项目情况</w:t>
                  </w:r>
                </w:p>
              </w:tc>
              <w:tc>
                <w:tcPr>
                  <w:tcW w:w="674" w:type="pct"/>
                  <w:tcBorders>
                    <w:tl2br w:val="nil"/>
                    <w:tr2bl w:val="nil"/>
                  </w:tcBorders>
                  <w:vAlign w:val="center"/>
                </w:tcPr>
                <w:p w14:paraId="4971BB21">
                  <w:pPr>
                    <w:pStyle w:val="13"/>
                    <w:jc w:val="center"/>
                    <w:rPr>
                      <w:b/>
                      <w:bCs/>
                      <w:color w:val="auto"/>
                      <w:sz w:val="21"/>
                      <w:szCs w:val="21"/>
                      <w:highlight w:val="none"/>
                    </w:rPr>
                  </w:pPr>
                  <w:r>
                    <w:rPr>
                      <w:b/>
                      <w:bCs/>
                      <w:color w:val="auto"/>
                      <w:sz w:val="21"/>
                      <w:szCs w:val="21"/>
                      <w:highlight w:val="none"/>
                    </w:rPr>
                    <w:t>符合性</w:t>
                  </w:r>
                </w:p>
              </w:tc>
            </w:tr>
            <w:tr w14:paraId="4D5870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76" w:type="pct"/>
                  <w:tcBorders>
                    <w:tl2br w:val="nil"/>
                    <w:tr2bl w:val="nil"/>
                  </w:tcBorders>
                  <w:vAlign w:val="center"/>
                </w:tcPr>
                <w:p w14:paraId="6F4E2BC9">
                  <w:pPr>
                    <w:widowControl/>
                    <w:rPr>
                      <w:color w:val="auto"/>
                      <w:szCs w:val="21"/>
                      <w:highlight w:val="none"/>
                    </w:rPr>
                  </w:pPr>
                  <w:r>
                    <w:rPr>
                      <w:rFonts w:hint="eastAsia"/>
                      <w:color w:val="auto"/>
                      <w:kern w:val="0"/>
                      <w:szCs w:val="21"/>
                      <w:highlight w:val="none"/>
                      <w:lang w:bidi="ar"/>
                    </w:rPr>
                    <w:t>发展目标。</w:t>
                  </w:r>
                  <w:r>
                    <w:rPr>
                      <w:color w:val="auto"/>
                      <w:kern w:val="0"/>
                      <w:szCs w:val="21"/>
                      <w:highlight w:val="none"/>
                      <w:lang w:bidi="ar"/>
                    </w:rPr>
                    <w:t>到2025年形成较为完善合理的机制砂石供应保障体系，产品质量符合 GB/T14684《建设用砂》等有关要求，以I类产品为代表的高品质机制砂石比例大幅提升，利用尾矿、废石、建筑垃圾等生产的机制砂石占比明显提高，矿山建设、生产要符合 DZ/T0316《砂石行业绿色矿山建设规范》。</w:t>
                  </w:r>
                </w:p>
              </w:tc>
              <w:tc>
                <w:tcPr>
                  <w:tcW w:w="1249" w:type="pct"/>
                  <w:tcBorders>
                    <w:tl2br w:val="nil"/>
                    <w:tr2bl w:val="nil"/>
                  </w:tcBorders>
                  <w:vAlign w:val="center"/>
                </w:tcPr>
                <w:p w14:paraId="1554ABA5">
                  <w:pPr>
                    <w:widowControl/>
                    <w:jc w:val="center"/>
                    <w:rPr>
                      <w:rFonts w:hint="eastAsia" w:eastAsia="宋体"/>
                      <w:color w:val="auto"/>
                      <w:szCs w:val="21"/>
                      <w:highlight w:val="none"/>
                      <w:lang w:eastAsia="zh-CN"/>
                    </w:rPr>
                  </w:pPr>
                  <w:r>
                    <w:rPr>
                      <w:color w:val="auto"/>
                      <w:kern w:val="0"/>
                      <w:szCs w:val="21"/>
                      <w:highlight w:val="none"/>
                      <w:lang w:bidi="ar"/>
                    </w:rPr>
                    <w:t>本项目</w:t>
                  </w:r>
                  <w:r>
                    <w:rPr>
                      <w:rFonts w:hint="eastAsia"/>
                      <w:color w:val="auto"/>
                      <w:kern w:val="0"/>
                      <w:szCs w:val="21"/>
                      <w:highlight w:val="none"/>
                      <w:lang w:bidi="ar"/>
                    </w:rPr>
                    <w:t>为</w:t>
                  </w:r>
                  <w:r>
                    <w:rPr>
                      <w:rFonts w:hint="eastAsia"/>
                      <w:color w:val="auto"/>
                      <w:kern w:val="0"/>
                      <w:szCs w:val="21"/>
                      <w:highlight w:val="none"/>
                      <w:lang w:val="en-US" w:eastAsia="zh-CN" w:bidi="ar"/>
                    </w:rPr>
                    <w:t>建筑用石加工</w:t>
                  </w:r>
                  <w:r>
                    <w:rPr>
                      <w:rFonts w:hint="eastAsia"/>
                      <w:color w:val="auto"/>
                      <w:kern w:val="0"/>
                      <w:szCs w:val="21"/>
                      <w:highlight w:val="none"/>
                      <w:lang w:bidi="ar"/>
                    </w:rPr>
                    <w:t>项目，</w:t>
                  </w:r>
                  <w:r>
                    <w:rPr>
                      <w:rFonts w:hint="eastAsia"/>
                      <w:color w:val="auto"/>
                      <w:kern w:val="0"/>
                      <w:szCs w:val="21"/>
                      <w:highlight w:val="none"/>
                      <w:lang w:val="en-US" w:eastAsia="zh-CN" w:bidi="ar"/>
                    </w:rPr>
                    <w:t>采用外购花岗岩进行加工，</w:t>
                  </w:r>
                  <w:r>
                    <w:rPr>
                      <w:color w:val="auto"/>
                      <w:kern w:val="0"/>
                      <w:szCs w:val="21"/>
                      <w:highlight w:val="none"/>
                      <w:lang w:bidi="ar"/>
                    </w:rPr>
                    <w:t>产品质量符合</w:t>
                  </w:r>
                  <w:r>
                    <w:rPr>
                      <w:rFonts w:hint="default" w:ascii="Times New Roman" w:hAnsi="Times New Roman" w:eastAsia="宋体" w:cs="Times New Roman"/>
                      <w:color w:val="auto"/>
                      <w:kern w:val="0"/>
                      <w:sz w:val="21"/>
                      <w:szCs w:val="21"/>
                      <w:highlight w:val="none"/>
                      <w:lang w:val="en-US" w:eastAsia="zh-CN" w:bidi="ar"/>
                    </w:rPr>
                    <w:t>GB/T</w:t>
                  </w:r>
                  <w:r>
                    <w:rPr>
                      <w:rFonts w:hint="eastAsia" w:ascii="Times New Roman" w:hAnsi="Times New Roman" w:eastAsia="宋体" w:cs="Times New Roman"/>
                      <w:color w:val="auto"/>
                      <w:kern w:val="0"/>
                      <w:sz w:val="21"/>
                      <w:szCs w:val="21"/>
                      <w:highlight w:val="none"/>
                      <w:lang w:val="en-US" w:eastAsia="zh-CN" w:bidi="ar"/>
                    </w:rPr>
                    <w:t xml:space="preserve"> </w:t>
                  </w:r>
                  <w:r>
                    <w:rPr>
                      <w:rFonts w:hint="default" w:ascii="Times New Roman" w:hAnsi="Times New Roman" w:eastAsia="宋体" w:cs="Times New Roman"/>
                      <w:color w:val="auto"/>
                      <w:kern w:val="0"/>
                      <w:sz w:val="21"/>
                      <w:szCs w:val="21"/>
                      <w:highlight w:val="none"/>
                      <w:lang w:val="en-US" w:eastAsia="zh-CN" w:bidi="ar"/>
                    </w:rPr>
                    <w:t>14685-</w:t>
                  </w:r>
                  <w:r>
                    <w:rPr>
                      <w:rFonts w:hint="eastAsia" w:ascii="Times New Roman" w:hAnsi="Times New Roman" w:eastAsia="宋体" w:cs="Times New Roman"/>
                      <w:color w:val="auto"/>
                      <w:kern w:val="0"/>
                      <w:sz w:val="21"/>
                      <w:szCs w:val="21"/>
                      <w:highlight w:val="none"/>
                      <w:lang w:val="en-US" w:eastAsia="zh-CN" w:bidi="ar"/>
                    </w:rPr>
                    <w:t xml:space="preserve"> </w:t>
                  </w:r>
                  <w:r>
                    <w:rPr>
                      <w:rFonts w:hint="default" w:ascii="Times New Roman" w:hAnsi="Times New Roman" w:eastAsia="宋体" w:cs="Times New Roman"/>
                      <w:color w:val="auto"/>
                      <w:kern w:val="0"/>
                      <w:sz w:val="21"/>
                      <w:szCs w:val="21"/>
                      <w:highlight w:val="none"/>
                      <w:lang w:val="en-US" w:eastAsia="zh-CN" w:bidi="ar"/>
                    </w:rPr>
                    <w:t>2011</w:t>
                  </w:r>
                  <w:r>
                    <w:rPr>
                      <w:rFonts w:hint="eastAsia" w:ascii="Times New Roman" w:hAnsi="Times New Roman" w:eastAsia="宋体" w:cs="Times New Roman"/>
                      <w:color w:val="auto"/>
                      <w:kern w:val="0"/>
                      <w:sz w:val="21"/>
                      <w:szCs w:val="21"/>
                      <w:highlight w:val="none"/>
                      <w:lang w:val="en-US" w:eastAsia="zh-CN" w:bidi="ar"/>
                    </w:rPr>
                    <w:t>《建筑用卵石、碎石》、</w:t>
                  </w:r>
                  <w:r>
                    <w:rPr>
                      <w:color w:val="auto"/>
                      <w:kern w:val="0"/>
                      <w:szCs w:val="21"/>
                      <w:highlight w:val="none"/>
                      <w:lang w:bidi="ar"/>
                    </w:rPr>
                    <w:t>GB/T</w:t>
                  </w:r>
                  <w:r>
                    <w:rPr>
                      <w:rFonts w:hint="eastAsia"/>
                      <w:color w:val="auto"/>
                      <w:kern w:val="0"/>
                      <w:szCs w:val="21"/>
                      <w:highlight w:val="none"/>
                      <w:lang w:bidi="ar"/>
                    </w:rPr>
                    <w:t xml:space="preserve"> </w:t>
                  </w:r>
                  <w:r>
                    <w:rPr>
                      <w:color w:val="auto"/>
                      <w:kern w:val="0"/>
                      <w:szCs w:val="21"/>
                      <w:highlight w:val="none"/>
                      <w:lang w:bidi="ar"/>
                    </w:rPr>
                    <w:t>14684《建设用砂》等有关要求</w:t>
                  </w:r>
                  <w:r>
                    <w:rPr>
                      <w:rFonts w:hint="eastAsia"/>
                      <w:color w:val="auto"/>
                      <w:kern w:val="0"/>
                      <w:szCs w:val="21"/>
                      <w:highlight w:val="none"/>
                      <w:lang w:eastAsia="zh-CN" w:bidi="ar"/>
                    </w:rPr>
                    <w:t>。</w:t>
                  </w:r>
                </w:p>
              </w:tc>
              <w:tc>
                <w:tcPr>
                  <w:tcW w:w="674" w:type="pct"/>
                  <w:tcBorders>
                    <w:tl2br w:val="nil"/>
                    <w:tr2bl w:val="nil"/>
                  </w:tcBorders>
                  <w:vAlign w:val="center"/>
                </w:tcPr>
                <w:p w14:paraId="3E81F0C2">
                  <w:pPr>
                    <w:pStyle w:val="13"/>
                    <w:jc w:val="center"/>
                    <w:rPr>
                      <w:color w:val="auto"/>
                      <w:sz w:val="21"/>
                      <w:szCs w:val="21"/>
                      <w:highlight w:val="none"/>
                    </w:rPr>
                  </w:pPr>
                  <w:r>
                    <w:rPr>
                      <w:rFonts w:hint="eastAsia"/>
                      <w:color w:val="auto"/>
                      <w:sz w:val="21"/>
                      <w:szCs w:val="21"/>
                      <w:highlight w:val="none"/>
                    </w:rPr>
                    <w:t>符合</w:t>
                  </w:r>
                </w:p>
              </w:tc>
            </w:tr>
            <w:tr w14:paraId="21AD17C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076" w:type="pct"/>
                  <w:tcBorders>
                    <w:tl2br w:val="nil"/>
                    <w:tr2bl w:val="nil"/>
                  </w:tcBorders>
                  <w:vAlign w:val="center"/>
                </w:tcPr>
                <w:p w14:paraId="2B548785">
                  <w:pPr>
                    <w:widowControl/>
                    <w:jc w:val="center"/>
                    <w:rPr>
                      <w:color w:val="auto"/>
                      <w:kern w:val="0"/>
                      <w:szCs w:val="21"/>
                      <w:highlight w:val="none"/>
                      <w:lang w:bidi="ar"/>
                    </w:rPr>
                  </w:pPr>
                  <w:r>
                    <w:rPr>
                      <w:color w:val="auto"/>
                      <w:kern w:val="0"/>
                      <w:szCs w:val="21"/>
                      <w:highlight w:val="none"/>
                      <w:lang w:bidi="ar"/>
                    </w:rPr>
                    <w:t>发展绿色制造。机制砂石企业要坚持绿色低碳循环发展，按照相关规范要求建设绿色矿山。生产线配套建设抑尘收尘、水处理和降噪等污染防治以及水土保持设施。对设备、产品采取棚化密封或其他有效覆盖措施，推进清洁生产，严控无组织排放，满足达标排放等环保要求。</w:t>
                  </w:r>
                </w:p>
              </w:tc>
              <w:tc>
                <w:tcPr>
                  <w:tcW w:w="1249" w:type="pct"/>
                  <w:tcBorders>
                    <w:tl2br w:val="nil"/>
                    <w:tr2bl w:val="nil"/>
                  </w:tcBorders>
                  <w:vAlign w:val="center"/>
                </w:tcPr>
                <w:p w14:paraId="7D9ABC02">
                  <w:pPr>
                    <w:widowControl/>
                    <w:jc w:val="center"/>
                    <w:rPr>
                      <w:color w:val="auto"/>
                      <w:kern w:val="0"/>
                      <w:szCs w:val="21"/>
                      <w:highlight w:val="none"/>
                      <w:lang w:bidi="ar"/>
                    </w:rPr>
                  </w:pPr>
                  <w:r>
                    <w:rPr>
                      <w:rFonts w:hint="eastAsia"/>
                      <w:color w:val="auto"/>
                      <w:kern w:val="0"/>
                      <w:szCs w:val="21"/>
                      <w:highlight w:val="none"/>
                      <w:lang w:bidi="ar"/>
                    </w:rPr>
                    <w:t>本项目为</w:t>
                  </w:r>
                  <w:r>
                    <w:rPr>
                      <w:rFonts w:hint="eastAsia"/>
                      <w:color w:val="auto"/>
                      <w:kern w:val="0"/>
                      <w:szCs w:val="21"/>
                      <w:highlight w:val="none"/>
                      <w:lang w:val="en-US" w:eastAsia="zh-CN" w:bidi="ar"/>
                    </w:rPr>
                    <w:t>建筑用石加工</w:t>
                  </w:r>
                  <w:r>
                    <w:rPr>
                      <w:rFonts w:hint="eastAsia"/>
                      <w:color w:val="auto"/>
                      <w:kern w:val="0"/>
                      <w:szCs w:val="21"/>
                      <w:highlight w:val="none"/>
                      <w:lang w:bidi="ar"/>
                    </w:rPr>
                    <w:t>项目，生产线配套建设抑尘收尘降噪污染防治措施。原料</w:t>
                  </w:r>
                  <w:r>
                    <w:rPr>
                      <w:rFonts w:hint="eastAsia"/>
                      <w:color w:val="auto"/>
                      <w:kern w:val="0"/>
                      <w:szCs w:val="21"/>
                      <w:highlight w:val="none"/>
                      <w:lang w:eastAsia="zh-CN" w:bidi="ar"/>
                    </w:rPr>
                    <w:t>区</w:t>
                  </w:r>
                  <w:r>
                    <w:rPr>
                      <w:rFonts w:hint="eastAsia"/>
                      <w:color w:val="auto"/>
                      <w:kern w:val="0"/>
                      <w:szCs w:val="21"/>
                      <w:highlight w:val="none"/>
                      <w:lang w:bidi="ar"/>
                    </w:rPr>
                    <w:t>采用</w:t>
                  </w:r>
                  <w:r>
                    <w:rPr>
                      <w:rFonts w:hint="eastAsia"/>
                      <w:color w:val="auto"/>
                      <w:kern w:val="0"/>
                      <w:szCs w:val="21"/>
                      <w:highlight w:val="none"/>
                      <w:lang w:eastAsia="zh-CN" w:bidi="ar"/>
                    </w:rPr>
                    <w:t>顶棚和</w:t>
                  </w:r>
                  <w:r>
                    <w:rPr>
                      <w:rFonts w:hint="eastAsia"/>
                      <w:color w:val="auto"/>
                      <w:kern w:val="0"/>
                      <w:szCs w:val="21"/>
                      <w:highlight w:val="none"/>
                      <w:lang w:val="en-US" w:eastAsia="zh-CN" w:bidi="ar"/>
                    </w:rPr>
                    <w:t>围挡</w:t>
                  </w:r>
                  <w:r>
                    <w:rPr>
                      <w:rFonts w:hint="eastAsia"/>
                      <w:color w:val="auto"/>
                      <w:kern w:val="0"/>
                      <w:szCs w:val="21"/>
                      <w:highlight w:val="none"/>
                      <w:lang w:bidi="ar"/>
                    </w:rPr>
                    <w:t>、生产设备、产品采取全封闭车间，控制无组织颗粒物排放。</w:t>
                  </w:r>
                </w:p>
              </w:tc>
              <w:tc>
                <w:tcPr>
                  <w:tcW w:w="674" w:type="pct"/>
                  <w:tcBorders>
                    <w:tl2br w:val="nil"/>
                    <w:tr2bl w:val="nil"/>
                  </w:tcBorders>
                  <w:vAlign w:val="center"/>
                </w:tcPr>
                <w:p w14:paraId="6537CC54">
                  <w:pPr>
                    <w:jc w:val="center"/>
                    <w:rPr>
                      <w:color w:val="auto"/>
                      <w:szCs w:val="21"/>
                      <w:highlight w:val="none"/>
                    </w:rPr>
                  </w:pPr>
                  <w:r>
                    <w:rPr>
                      <w:rFonts w:hint="eastAsia"/>
                      <w:color w:val="auto"/>
                      <w:szCs w:val="21"/>
                      <w:highlight w:val="none"/>
                    </w:rPr>
                    <w:t>符合</w:t>
                  </w:r>
                </w:p>
              </w:tc>
            </w:tr>
          </w:tbl>
          <w:p w14:paraId="40B2AA28">
            <w:pPr>
              <w:pStyle w:val="11"/>
              <w:ind w:left="0" w:leftChars="0"/>
              <w:rPr>
                <w:color w:val="auto"/>
                <w:highlight w:val="none"/>
              </w:rPr>
            </w:pPr>
          </w:p>
        </w:tc>
      </w:tr>
    </w:tbl>
    <w:p w14:paraId="5DF02FED">
      <w:pPr>
        <w:spacing w:line="360" w:lineRule="auto"/>
        <w:outlineLvl w:val="0"/>
        <w:rPr>
          <w:rFonts w:eastAsia="黑体"/>
          <w:color w:val="000000" w:themeColor="text1"/>
          <w:sz w:val="30"/>
          <w:highlight w:val="none"/>
          <w14:textFill>
            <w14:solidFill>
              <w14:schemeClr w14:val="tx1"/>
            </w14:solidFill>
          </w14:textFill>
        </w:rPr>
        <w:sectPr>
          <w:footerReference r:id="rId8" w:type="default"/>
          <w:pgSz w:w="11906" w:h="16838"/>
          <w:pgMar w:top="1701" w:right="1531" w:bottom="1701" w:left="1531" w:header="851" w:footer="1077" w:gutter="0"/>
          <w:pgNumType w:fmt="decimal" w:start="1"/>
          <w:cols w:space="720" w:num="1"/>
          <w:docGrid w:linePitch="312" w:charSpace="0"/>
        </w:sectPr>
      </w:pPr>
    </w:p>
    <w:p w14:paraId="2F64367A">
      <w:pPr>
        <w:pStyle w:val="16"/>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二、建设项目工程分析</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23"/>
        <w:gridCol w:w="8196"/>
      </w:tblGrid>
      <w:tr w14:paraId="2C074ED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41" w:hRule="atLeast"/>
          <w:jc w:val="center"/>
        </w:trPr>
        <w:tc>
          <w:tcPr>
            <w:tcW w:w="823" w:type="dxa"/>
            <w:vAlign w:val="center"/>
          </w:tcPr>
          <w:p w14:paraId="5C98C7FE">
            <w:pPr>
              <w:pStyle w:val="16"/>
              <w:adjustRightInd w:val="0"/>
              <w:snapToGrid w:val="0"/>
              <w:spacing w:before="0" w:beforeAutospacing="0" w:after="0" w:afterAutospacing="0"/>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建设内容</w:t>
            </w:r>
          </w:p>
        </w:tc>
        <w:tc>
          <w:tcPr>
            <w:tcW w:w="8161" w:type="dxa"/>
            <w:vAlign w:val="center"/>
          </w:tcPr>
          <w:p w14:paraId="50FFFE0D">
            <w:pPr>
              <w:widowControl/>
              <w:spacing w:line="360" w:lineRule="auto"/>
              <w:jc w:val="left"/>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1</w:t>
            </w:r>
            <w:r>
              <w:rPr>
                <w:b/>
                <w:bCs/>
                <w:color w:val="000000" w:themeColor="text1"/>
                <w:sz w:val="24"/>
                <w:highlight w:val="none"/>
                <w14:textFill>
                  <w14:solidFill>
                    <w14:schemeClr w14:val="tx1"/>
                  </w14:solidFill>
                </w14:textFill>
              </w:rPr>
              <w:t>、</w:t>
            </w:r>
            <w:r>
              <w:rPr>
                <w:rFonts w:hint="eastAsia"/>
                <w:b/>
                <w:bCs/>
                <w:color w:val="000000" w:themeColor="text1"/>
                <w:sz w:val="24"/>
                <w:highlight w:val="none"/>
                <w14:textFill>
                  <w14:solidFill>
                    <w14:schemeClr w14:val="tx1"/>
                  </w14:solidFill>
                </w14:textFill>
              </w:rPr>
              <w:t>建设项目基本情况</w:t>
            </w:r>
          </w:p>
          <w:p w14:paraId="74A59DE4">
            <w:pPr>
              <w:spacing w:line="360" w:lineRule="auto"/>
              <w:ind w:firstLine="480" w:firstLineChars="200"/>
              <w:rPr>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sz w:val="24"/>
                <w:highlight w:val="none"/>
                <w14:textFill>
                  <w14:solidFill>
                    <w14:schemeClr w14:val="tx1"/>
                  </w14:solidFill>
                </w14:textFill>
              </w:rPr>
              <w:t>随着城市的发展，建筑砂石材料的需求量越来越大。为满足抚顺市</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东洲区</w:t>
            </w:r>
            <w:r>
              <w:rPr>
                <w:rFonts w:hint="eastAsia" w:ascii="Times New Roman" w:hAnsi="Times New Roman" w:eastAsia="宋体" w:cs="Times New Roman"/>
                <w:color w:val="000000" w:themeColor="text1"/>
                <w:sz w:val="24"/>
                <w:highlight w:val="none"/>
                <w14:textFill>
                  <w14:solidFill>
                    <w14:schemeClr w14:val="tx1"/>
                  </w14:solidFill>
                </w14:textFill>
              </w:rPr>
              <w:t>及周边地区建筑用石的市场需求，</w:t>
            </w:r>
            <w:r>
              <w:rPr>
                <w:rFonts w:hint="eastAsia"/>
                <w:color w:val="000000" w:themeColor="text1"/>
                <w:sz w:val="24"/>
                <w:highlight w:val="none"/>
                <w:lang w:eastAsia="zh-CN"/>
                <w14:textFill>
                  <w14:solidFill>
                    <w14:schemeClr w14:val="tx1"/>
                  </w14:solidFill>
                </w14:textFill>
              </w:rPr>
              <w:t>抚顺禹烽建筑石材有限公司</w:t>
            </w:r>
            <w:r>
              <w:rPr>
                <w:rFonts w:hint="eastAsia"/>
                <w:color w:val="000000" w:themeColor="text1"/>
                <w:sz w:val="24"/>
                <w:highlight w:val="none"/>
                <w14:textFill>
                  <w14:solidFill>
                    <w14:schemeClr w14:val="tx1"/>
                  </w14:solidFill>
                </w14:textFill>
              </w:rPr>
              <w:t>拟建设“</w:t>
            </w:r>
            <w:r>
              <w:rPr>
                <w:rFonts w:hint="eastAsia" w:ascii="宋体" w:hAnsi="宋体" w:cs="宋体"/>
                <w:color w:val="000000" w:themeColor="text1"/>
                <w:sz w:val="24"/>
                <w:highlight w:val="none"/>
                <w:lang w:eastAsia="zh-CN"/>
                <w14:textFill>
                  <w14:solidFill>
                    <w14:schemeClr w14:val="tx1"/>
                  </w14:solidFill>
                </w14:textFill>
              </w:rPr>
              <w:t>抚顺禹烽建筑石材有限公司碎石加工项目</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项目位于辽宁省抚顺市东洲区哈达镇小寨子村，</w:t>
            </w:r>
            <w:r>
              <w:rPr>
                <w:color w:val="000000" w:themeColor="text1"/>
                <w:sz w:val="24"/>
                <w:highlight w:val="none"/>
                <w14:textFill>
                  <w14:solidFill>
                    <w14:schemeClr w14:val="tx1"/>
                  </w14:solidFill>
                </w14:textFill>
              </w:rPr>
              <w:t>项目中心坐标为东经</w:t>
            </w:r>
            <w:r>
              <w:rPr>
                <w:rFonts w:hint="eastAsia"/>
                <w:color w:val="000000" w:themeColor="text1"/>
                <w:sz w:val="24"/>
                <w:highlight w:val="none"/>
                <w14:textFill>
                  <w14:solidFill>
                    <w14:schemeClr w14:val="tx1"/>
                  </w14:solidFill>
                </w14:textFill>
              </w:rPr>
              <w:t>124度</w:t>
            </w:r>
            <w:r>
              <w:rPr>
                <w:rFonts w:hint="eastAsia"/>
                <w:color w:val="000000" w:themeColor="text1"/>
                <w:sz w:val="24"/>
                <w:highlight w:val="none"/>
                <w:lang w:val="en-US" w:eastAsia="zh-CN"/>
                <w14:textFill>
                  <w14:solidFill>
                    <w14:schemeClr w14:val="tx1"/>
                  </w14:solidFill>
                </w14:textFill>
              </w:rPr>
              <w:t>4</w:t>
            </w:r>
            <w:r>
              <w:rPr>
                <w:rFonts w:hint="eastAsia"/>
                <w:color w:val="000000" w:themeColor="text1"/>
                <w:sz w:val="24"/>
                <w:highlight w:val="none"/>
                <w14:textFill>
                  <w14:solidFill>
                    <w14:schemeClr w14:val="tx1"/>
                  </w14:solidFill>
                </w14:textFill>
              </w:rPr>
              <w:t>分48.77</w:t>
            </w:r>
            <w:r>
              <w:rPr>
                <w:rFonts w:hint="eastAsia"/>
                <w:color w:val="000000" w:themeColor="text1"/>
                <w:sz w:val="24"/>
                <w:highlight w:val="none"/>
                <w:lang w:val="en-US" w:eastAsia="zh-CN"/>
                <w14:textFill>
                  <w14:solidFill>
                    <w14:schemeClr w14:val="tx1"/>
                  </w14:solidFill>
                </w14:textFill>
              </w:rPr>
              <w:t>7</w:t>
            </w:r>
            <w:r>
              <w:rPr>
                <w:rFonts w:hint="eastAsia"/>
                <w:color w:val="000000" w:themeColor="text1"/>
                <w:sz w:val="24"/>
                <w:highlight w:val="none"/>
                <w14:textFill>
                  <w14:solidFill>
                    <w14:schemeClr w14:val="tx1"/>
                  </w14:solidFill>
                </w14:textFill>
              </w:rPr>
              <w:t>秒</w:t>
            </w:r>
            <w:r>
              <w:rPr>
                <w:color w:val="000000" w:themeColor="text1"/>
                <w:sz w:val="24"/>
                <w:highlight w:val="none"/>
                <w14:textFill>
                  <w14:solidFill>
                    <w14:schemeClr w14:val="tx1"/>
                  </w14:solidFill>
                </w14:textFill>
              </w:rPr>
              <w:t>，北纬</w:t>
            </w:r>
            <w:r>
              <w:rPr>
                <w:rFonts w:hint="eastAsia"/>
                <w:color w:val="000000" w:themeColor="text1"/>
                <w:sz w:val="24"/>
                <w:highlight w:val="none"/>
                <w14:textFill>
                  <w14:solidFill>
                    <w14:schemeClr w14:val="tx1"/>
                  </w14:solidFill>
                </w14:textFill>
              </w:rPr>
              <w:t>42度2分20.72</w:t>
            </w:r>
            <w:r>
              <w:rPr>
                <w:rFonts w:hint="eastAsia"/>
                <w:color w:val="000000" w:themeColor="text1"/>
                <w:sz w:val="24"/>
                <w:highlight w:val="none"/>
                <w:lang w:val="en-US" w:eastAsia="zh-CN"/>
                <w14:textFill>
                  <w14:solidFill>
                    <w14:schemeClr w14:val="tx1"/>
                  </w14:solidFill>
                </w14:textFill>
              </w:rPr>
              <w:t>3</w:t>
            </w:r>
            <w:r>
              <w:rPr>
                <w:rFonts w:hint="eastAsia"/>
                <w:color w:val="000000" w:themeColor="text1"/>
                <w:sz w:val="24"/>
                <w:highlight w:val="none"/>
                <w14:textFill>
                  <w14:solidFill>
                    <w14:schemeClr w14:val="tx1"/>
                  </w14:solidFill>
                </w14:textFill>
              </w:rPr>
              <w:t>秒</w:t>
            </w:r>
            <w:r>
              <w:rPr>
                <w:rFonts w:hint="eastAsia"/>
                <w:color w:val="000000" w:themeColor="text1"/>
                <w:sz w:val="24"/>
                <w:highlight w:val="none"/>
                <w:lang w:eastAsia="zh-CN"/>
                <w14:textFill>
                  <w14:solidFill>
                    <w14:schemeClr w14:val="tx1"/>
                  </w14:solidFill>
                </w14:textFill>
              </w:rPr>
              <w:t>，</w:t>
            </w:r>
            <w:r>
              <w:rPr>
                <w:color w:val="000000" w:themeColor="text1"/>
                <w:sz w:val="24"/>
                <w:highlight w:val="none"/>
                <w14:textFill>
                  <w14:solidFill>
                    <w14:schemeClr w14:val="tx1"/>
                  </w14:solidFill>
                </w14:textFill>
              </w:rPr>
              <w:t>地理位置详见附图1。</w:t>
            </w:r>
          </w:p>
          <w:p w14:paraId="64080AF3">
            <w:pPr>
              <w:spacing w:line="360" w:lineRule="auto"/>
              <w:ind w:firstLine="480" w:firstLineChars="200"/>
              <w:rPr>
                <w:color w:val="FF0000"/>
                <w:sz w:val="24"/>
                <w:highlight w:val="none"/>
              </w:rPr>
            </w:pPr>
            <w:r>
              <w:rPr>
                <w:rFonts w:hint="eastAsia"/>
                <w:color w:val="FF0000"/>
                <w:sz w:val="24"/>
                <w:highlight w:val="none"/>
              </w:rPr>
              <w:t>抚顺禹烽建筑石材有限公司</w:t>
            </w:r>
            <w:r>
              <w:rPr>
                <w:rFonts w:hint="eastAsia"/>
                <w:color w:val="FF0000"/>
                <w:sz w:val="24"/>
                <w:highlight w:val="none"/>
                <w:lang w:val="en-US" w:eastAsia="zh-CN"/>
              </w:rPr>
              <w:t>与</w:t>
            </w:r>
            <w:r>
              <w:rPr>
                <w:rFonts w:ascii="Times New Roman" w:hAnsi="Times New Roman" w:eastAsia="宋体" w:cs="Times New Roman"/>
                <w:color w:val="FF0000"/>
                <w:sz w:val="24"/>
                <w:szCs w:val="24"/>
                <w:highlight w:val="none"/>
              </w:rPr>
              <w:t>抚顺东方镁业有限责任公司</w:t>
            </w:r>
            <w:r>
              <w:rPr>
                <w:rFonts w:hint="eastAsia" w:cs="Times New Roman"/>
                <w:color w:val="FF0000"/>
                <w:sz w:val="24"/>
                <w:szCs w:val="24"/>
                <w:highlight w:val="none"/>
                <w:lang w:eastAsia="zh-CN"/>
              </w:rPr>
              <w:t>（</w:t>
            </w:r>
            <w:r>
              <w:rPr>
                <w:rFonts w:hint="eastAsia" w:ascii="Times New Roman" w:hAnsi="Times New Roman" w:eastAsia="宋体" w:cs="Times New Roman"/>
                <w:color w:val="FF0000"/>
                <w:sz w:val="24"/>
                <w:highlight w:val="none"/>
                <w:lang w:val="en-US" w:eastAsia="zh-CN"/>
              </w:rPr>
              <w:t>抚顺鑫兴镁业有限公司（菱镁矿）项目</w:t>
            </w:r>
            <w:r>
              <w:rPr>
                <w:rFonts w:hint="eastAsia" w:cs="Times New Roman"/>
                <w:color w:val="FF0000"/>
                <w:sz w:val="24"/>
                <w:highlight w:val="none"/>
                <w:lang w:val="en-US" w:eastAsia="zh-CN"/>
              </w:rPr>
              <w:t>四采区</w:t>
            </w:r>
            <w:r>
              <w:rPr>
                <w:rFonts w:hint="eastAsia" w:cs="Times New Roman"/>
                <w:color w:val="FF0000"/>
                <w:sz w:val="24"/>
                <w:szCs w:val="24"/>
                <w:highlight w:val="none"/>
                <w:lang w:eastAsia="zh-CN"/>
              </w:rPr>
              <w:t>）</w:t>
            </w:r>
            <w:r>
              <w:rPr>
                <w:rFonts w:hint="eastAsia"/>
                <w:color w:val="FF0000"/>
                <w:sz w:val="24"/>
                <w:highlight w:val="none"/>
                <w:lang w:val="en-US" w:eastAsia="zh-CN"/>
              </w:rPr>
              <w:t>的</w:t>
            </w:r>
            <w:r>
              <w:rPr>
                <w:color w:val="FF0000"/>
                <w:sz w:val="24"/>
                <w:highlight w:val="none"/>
              </w:rPr>
              <w:t>闲置场地进行建设，总占地面积</w:t>
            </w:r>
            <w:r>
              <w:rPr>
                <w:rFonts w:hint="eastAsia"/>
                <w:color w:val="FF0000"/>
                <w:sz w:val="24"/>
                <w:highlight w:val="none"/>
                <w:lang w:val="en-US" w:eastAsia="zh-CN"/>
              </w:rPr>
              <w:t>约250</w:t>
            </w:r>
            <w:r>
              <w:rPr>
                <w:rFonts w:hint="eastAsia"/>
                <w:color w:val="FF0000"/>
                <w:sz w:val="24"/>
                <w:highlight w:val="none"/>
              </w:rPr>
              <w:t>0</w:t>
            </w:r>
            <w:r>
              <w:rPr>
                <w:color w:val="FF0000"/>
                <w:sz w:val="24"/>
                <w:highlight w:val="none"/>
              </w:rPr>
              <w:t>m</w:t>
            </w:r>
            <w:r>
              <w:rPr>
                <w:color w:val="FF0000"/>
                <w:sz w:val="24"/>
                <w:highlight w:val="none"/>
                <w:vertAlign w:val="superscript"/>
              </w:rPr>
              <w:t>2</w:t>
            </w:r>
            <w:r>
              <w:rPr>
                <w:color w:val="FF0000"/>
                <w:sz w:val="24"/>
                <w:highlight w:val="none"/>
              </w:rPr>
              <w:t>，拟投资</w:t>
            </w:r>
            <w:r>
              <w:rPr>
                <w:rFonts w:hint="eastAsia"/>
                <w:color w:val="FF0000"/>
                <w:sz w:val="24"/>
                <w:highlight w:val="none"/>
                <w:lang w:val="en-US" w:eastAsia="zh-CN"/>
              </w:rPr>
              <w:t>200</w:t>
            </w:r>
            <w:r>
              <w:rPr>
                <w:color w:val="FF0000"/>
                <w:sz w:val="24"/>
                <w:highlight w:val="none"/>
              </w:rPr>
              <w:t>万元，新建</w:t>
            </w:r>
            <w:r>
              <w:rPr>
                <w:rFonts w:hint="eastAsia"/>
                <w:color w:val="FF0000"/>
                <w:sz w:val="24"/>
                <w:highlight w:val="none"/>
              </w:rPr>
              <w:t>一条机制砂</w:t>
            </w:r>
            <w:r>
              <w:rPr>
                <w:color w:val="FF0000"/>
                <w:sz w:val="24"/>
                <w:highlight w:val="none"/>
              </w:rPr>
              <w:t>加工线，以外购</w:t>
            </w:r>
            <w:r>
              <w:rPr>
                <w:rFonts w:hint="eastAsia"/>
                <w:color w:val="FF0000"/>
                <w:sz w:val="24"/>
                <w:highlight w:val="none"/>
                <w:lang w:val="en-US" w:eastAsia="zh-CN"/>
              </w:rPr>
              <w:t>花岗岩</w:t>
            </w:r>
            <w:r>
              <w:rPr>
                <w:color w:val="FF0000"/>
                <w:sz w:val="24"/>
                <w:highlight w:val="none"/>
              </w:rPr>
              <w:t>为原料，</w:t>
            </w:r>
            <w:r>
              <w:rPr>
                <w:rFonts w:hint="eastAsia"/>
                <w:color w:val="FF0000"/>
                <w:sz w:val="24"/>
                <w:highlight w:val="none"/>
                <w:lang w:val="en-US" w:eastAsia="zh-CN"/>
              </w:rPr>
              <w:t>总计加工碎石26万吨，</w:t>
            </w:r>
            <w:r>
              <w:rPr>
                <w:rFonts w:hint="eastAsia"/>
                <w:color w:val="FF0000"/>
                <w:sz w:val="24"/>
                <w:highlight w:val="none"/>
              </w:rPr>
              <w:t>年产建筑用</w:t>
            </w:r>
            <w:r>
              <w:rPr>
                <w:rFonts w:hint="eastAsia"/>
                <w:color w:val="FF0000"/>
                <w:sz w:val="24"/>
                <w:highlight w:val="none"/>
                <w:lang w:val="en-US" w:eastAsia="zh-CN"/>
              </w:rPr>
              <w:t>花岗岩碎石16</w:t>
            </w:r>
            <w:r>
              <w:rPr>
                <w:rFonts w:hint="eastAsia"/>
                <w:color w:val="FF0000"/>
                <w:sz w:val="24"/>
                <w:highlight w:val="none"/>
              </w:rPr>
              <w:t>万吨、</w:t>
            </w:r>
            <w:r>
              <w:rPr>
                <w:rFonts w:hint="eastAsia"/>
                <w:color w:val="FF0000"/>
                <w:sz w:val="24"/>
                <w:highlight w:val="none"/>
                <w:lang w:val="en-US" w:eastAsia="zh-CN"/>
              </w:rPr>
              <w:t>花岗岩石粉10</w:t>
            </w:r>
            <w:r>
              <w:rPr>
                <w:rFonts w:hint="eastAsia"/>
                <w:color w:val="FF0000"/>
                <w:sz w:val="24"/>
                <w:highlight w:val="none"/>
              </w:rPr>
              <w:t>万吨</w:t>
            </w:r>
            <w:r>
              <w:rPr>
                <w:color w:val="FF0000"/>
                <w:sz w:val="24"/>
                <w:highlight w:val="none"/>
              </w:rPr>
              <w:t>。本项目仅进行</w:t>
            </w:r>
            <w:r>
              <w:rPr>
                <w:rFonts w:hint="eastAsia"/>
                <w:color w:val="FF0000"/>
                <w:sz w:val="24"/>
                <w:highlight w:val="none"/>
              </w:rPr>
              <w:t>碎石加工</w:t>
            </w:r>
            <w:r>
              <w:rPr>
                <w:color w:val="FF0000"/>
                <w:sz w:val="24"/>
                <w:highlight w:val="none"/>
              </w:rPr>
              <w:t>，不涉及采砂、采石</w:t>
            </w:r>
            <w:r>
              <w:rPr>
                <w:rFonts w:hint="eastAsia"/>
                <w:color w:val="FF0000"/>
                <w:sz w:val="24"/>
                <w:highlight w:val="none"/>
              </w:rPr>
              <w:t>和制砂</w:t>
            </w:r>
            <w:r>
              <w:rPr>
                <w:color w:val="FF0000"/>
                <w:sz w:val="24"/>
                <w:highlight w:val="none"/>
              </w:rPr>
              <w:t>。</w:t>
            </w:r>
          </w:p>
          <w:p w14:paraId="3137ED36">
            <w:pPr>
              <w:spacing w:line="360" w:lineRule="auto"/>
              <w:ind w:firstLine="480" w:firstLineChars="200"/>
              <w:rPr>
                <w:color w:val="000000" w:themeColor="text1"/>
                <w:highlight w:val="none"/>
                <w14:textFill>
                  <w14:solidFill>
                    <w14:schemeClr w14:val="tx1"/>
                  </w14:solidFill>
                </w14:textFill>
              </w:rPr>
            </w:pPr>
            <w:r>
              <w:rPr>
                <w:color w:val="000000" w:themeColor="text1"/>
                <w:sz w:val="24"/>
                <w:highlight w:val="none"/>
                <w14:textFill>
                  <w14:solidFill>
                    <w14:schemeClr w14:val="tx1"/>
                  </w14:solidFill>
                </w14:textFill>
              </w:rPr>
              <w:t>根据《中华人民共和国环境保护法》、《中华人民共和国环境影响评价法》、《建设项目环境保护管理条例》等环保法律法规的要求，本项目应进行环境影响评价</w:t>
            </w:r>
            <w:r>
              <w:rPr>
                <w:rFonts w:hint="eastAsia"/>
                <w:color w:val="000000" w:themeColor="text1"/>
                <w:sz w:val="24"/>
                <w:highlight w:val="none"/>
                <w14:textFill>
                  <w14:solidFill>
                    <w14:schemeClr w14:val="tx1"/>
                  </w14:solidFill>
                </w14:textFill>
              </w:rPr>
              <w:t>。根据</w:t>
            </w:r>
            <w:r>
              <w:rPr>
                <w:color w:val="000000" w:themeColor="text1"/>
                <w:sz w:val="24"/>
                <w:highlight w:val="none"/>
                <w14:textFill>
                  <w14:solidFill>
                    <w14:schemeClr w14:val="tx1"/>
                  </w14:solidFill>
                </w14:textFill>
              </w:rPr>
              <w:t>《建设项目环境影响评价分类管理名录（2021年版）》</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本项目属于</w:t>
            </w:r>
            <w:r>
              <w:rPr>
                <w:rFonts w:hint="eastAsia" w:ascii="宋体" w:hAnsi="宋体" w:cs="宋体"/>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二十七、非金属矿物制品业60</w:t>
            </w:r>
            <w:r>
              <w:rPr>
                <w:rFonts w:hint="eastAsia"/>
                <w:color w:val="000000" w:themeColor="text1"/>
                <w:sz w:val="24"/>
                <w:highlight w:val="none"/>
                <w14:textFill>
                  <w14:solidFill>
                    <w14:schemeClr w14:val="tx1"/>
                  </w14:solidFill>
                </w14:textFill>
              </w:rPr>
              <w:t xml:space="preserve"> </w:t>
            </w:r>
            <w:r>
              <w:rPr>
                <w:color w:val="000000" w:themeColor="text1"/>
                <w:sz w:val="24"/>
                <w:highlight w:val="none"/>
                <w14:textFill>
                  <w14:solidFill>
                    <w14:schemeClr w14:val="tx1"/>
                  </w14:solidFill>
                </w14:textFill>
              </w:rPr>
              <w:t>石墨及其他非金属矿物制品制造309</w:t>
            </w:r>
            <w:r>
              <w:rPr>
                <w:rFonts w:hint="eastAsia" w:ascii="宋体" w:hAnsi="宋体" w:cs="宋体"/>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，应编写环境影响报告表。据此，</w:t>
            </w:r>
            <w:r>
              <w:rPr>
                <w:rFonts w:hint="eastAsia"/>
                <w:color w:val="000000" w:themeColor="text1"/>
                <w:sz w:val="24"/>
                <w:highlight w:val="none"/>
                <w:lang w:eastAsia="zh-CN"/>
                <w14:textFill>
                  <w14:solidFill>
                    <w14:schemeClr w14:val="tx1"/>
                  </w14:solidFill>
                </w14:textFill>
              </w:rPr>
              <w:t>抚顺禹烽建筑石材有限公司</w:t>
            </w:r>
            <w:r>
              <w:rPr>
                <w:color w:val="000000" w:themeColor="text1"/>
                <w:sz w:val="24"/>
                <w:highlight w:val="none"/>
                <w14:textFill>
                  <w14:solidFill>
                    <w14:schemeClr w14:val="tx1"/>
                  </w14:solidFill>
                </w14:textFill>
              </w:rPr>
              <w:t>委托我单位对该项目进行环境影响评价工作。接受委托后，我单位赴现场进行实地踏勘，并收集了相关资料，对</w:t>
            </w:r>
            <w:r>
              <w:rPr>
                <w:rFonts w:hint="eastAsia"/>
                <w:color w:val="000000" w:themeColor="text1"/>
                <w:sz w:val="24"/>
                <w:highlight w:val="none"/>
                <w:lang w:val="en-US" w:eastAsia="zh-CN"/>
                <w14:textFill>
                  <w14:solidFill>
                    <w14:schemeClr w14:val="tx1"/>
                  </w14:solidFill>
                </w14:textFill>
              </w:rPr>
              <w:t>产</w:t>
            </w:r>
            <w:r>
              <w:rPr>
                <w:color w:val="000000" w:themeColor="text1"/>
                <w:sz w:val="24"/>
                <w:highlight w:val="none"/>
                <w14:textFill>
                  <w14:solidFill>
                    <w14:schemeClr w14:val="tx1"/>
                  </w14:solidFill>
                </w14:textFill>
              </w:rPr>
              <w:t>排污环节进行了初步的分析，按照有关标准和规范，编制了本报告表。环评委托书见附件1</w:t>
            </w:r>
            <w:r>
              <w:rPr>
                <w:color w:val="000000" w:themeColor="text1"/>
                <w:highlight w:val="none"/>
                <w14:textFill>
                  <w14:solidFill>
                    <w14:schemeClr w14:val="tx1"/>
                  </w14:solidFill>
                </w14:textFill>
              </w:rPr>
              <w:t>。</w:t>
            </w:r>
          </w:p>
          <w:p w14:paraId="55D5381C">
            <w:pPr>
              <w:spacing w:line="360" w:lineRule="auto"/>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2</w:t>
            </w:r>
            <w:r>
              <w:rPr>
                <w:rFonts w:hint="eastAsia"/>
                <w:b/>
                <w:bCs/>
                <w:color w:val="000000" w:themeColor="text1"/>
                <w:sz w:val="24"/>
                <w:highlight w:val="none"/>
                <w14:textFill>
                  <w14:solidFill>
                    <w14:schemeClr w14:val="tx1"/>
                  </w14:solidFill>
                </w14:textFill>
              </w:rPr>
              <w:t>、</w:t>
            </w:r>
            <w:r>
              <w:rPr>
                <w:b/>
                <w:bCs/>
                <w:color w:val="000000" w:themeColor="text1"/>
                <w:sz w:val="24"/>
                <w:highlight w:val="none"/>
                <w14:textFill>
                  <w14:solidFill>
                    <w14:schemeClr w14:val="tx1"/>
                  </w14:solidFill>
                </w14:textFill>
              </w:rPr>
              <w:t>项目组成</w:t>
            </w:r>
          </w:p>
          <w:p w14:paraId="74D8B04D">
            <w:pPr>
              <w:pStyle w:val="4"/>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厂区内不设置办公区，依托</w:t>
            </w:r>
            <w:r>
              <w:rPr>
                <w:rFonts w:hint="eastAsia"/>
                <w:color w:val="000000" w:themeColor="text1"/>
                <w:sz w:val="24"/>
                <w:highlight w:val="none"/>
                <w14:textFill>
                  <w14:solidFill>
                    <w14:schemeClr w14:val="tx1"/>
                  </w14:solidFill>
                </w14:textFill>
              </w:rPr>
              <w:t>抚顺县哈达林场III号采矿场</w:t>
            </w:r>
            <w:r>
              <w:rPr>
                <w:rFonts w:hint="eastAsia"/>
                <w:color w:val="000000" w:themeColor="text1"/>
                <w:sz w:val="24"/>
                <w:highlight w:val="none"/>
                <w:lang w:val="en-US" w:eastAsia="zh-CN"/>
                <w14:textFill>
                  <w14:solidFill>
                    <w14:schemeClr w14:val="tx1"/>
                  </w14:solidFill>
                </w14:textFill>
              </w:rPr>
              <w:t>内的办公区进行办公，不计入本次评价。本项目</w:t>
            </w:r>
            <w:r>
              <w:rPr>
                <w:rFonts w:hint="eastAsia"/>
                <w:color w:val="000000" w:themeColor="text1"/>
                <w:sz w:val="24"/>
                <w:highlight w:val="none"/>
                <w14:textFill>
                  <w14:solidFill>
                    <w14:schemeClr w14:val="tx1"/>
                  </w14:solidFill>
                </w14:textFill>
              </w:rPr>
              <w:t>由主体工程、辅助工程、公用工程、储运工程和环保工程等组成，具体组成情况详见下表。</w:t>
            </w:r>
          </w:p>
          <w:p w14:paraId="7DEB6884">
            <w:pPr>
              <w:widowControl/>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表2-1 本项目组成一览表</w:t>
            </w:r>
          </w:p>
          <w:tbl>
            <w:tblPr>
              <w:tblStyle w:val="18"/>
              <w:tblpPr w:leftFromText="180" w:rightFromText="180" w:vertAnchor="text" w:horzAnchor="page" w:tblpX="102" w:tblpY="40"/>
              <w:tblOverlap w:val="never"/>
              <w:tblW w:w="7935" w:type="dxa"/>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3"/>
              <w:gridCol w:w="493"/>
              <w:gridCol w:w="737"/>
              <w:gridCol w:w="5010"/>
              <w:gridCol w:w="912"/>
            </w:tblGrid>
            <w:tr w14:paraId="38A2DA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tcBorders>
                    <w:tl2br w:val="nil"/>
                    <w:tr2bl w:val="nil"/>
                  </w:tcBorders>
                  <w:vAlign w:val="center"/>
                </w:tcPr>
                <w:p w14:paraId="7EC73938">
                  <w:pPr>
                    <w:adjustRightInd w:val="0"/>
                    <w:snapToGrid w:val="0"/>
                    <w:jc w:val="center"/>
                    <w:rPr>
                      <w:b/>
                      <w:bCs/>
                      <w:color w:val="auto"/>
                      <w:szCs w:val="21"/>
                      <w:highlight w:val="none"/>
                    </w:rPr>
                  </w:pPr>
                  <w:r>
                    <w:rPr>
                      <w:b/>
                      <w:bCs/>
                      <w:color w:val="auto"/>
                      <w:szCs w:val="21"/>
                      <w:highlight w:val="none"/>
                    </w:rPr>
                    <w:t>类型</w:t>
                  </w:r>
                </w:p>
              </w:tc>
              <w:tc>
                <w:tcPr>
                  <w:tcW w:w="1230" w:type="dxa"/>
                  <w:gridSpan w:val="2"/>
                  <w:tcBorders>
                    <w:tl2br w:val="nil"/>
                    <w:tr2bl w:val="nil"/>
                  </w:tcBorders>
                  <w:vAlign w:val="center"/>
                </w:tcPr>
                <w:p w14:paraId="5C7802B5">
                  <w:pPr>
                    <w:adjustRightInd w:val="0"/>
                    <w:snapToGrid w:val="0"/>
                    <w:jc w:val="center"/>
                    <w:rPr>
                      <w:b/>
                      <w:bCs/>
                      <w:color w:val="auto"/>
                      <w:szCs w:val="21"/>
                      <w:highlight w:val="none"/>
                    </w:rPr>
                  </w:pPr>
                  <w:r>
                    <w:rPr>
                      <w:b/>
                      <w:bCs/>
                      <w:color w:val="auto"/>
                      <w:szCs w:val="21"/>
                      <w:highlight w:val="none"/>
                    </w:rPr>
                    <w:t>名称</w:t>
                  </w:r>
                </w:p>
              </w:tc>
              <w:tc>
                <w:tcPr>
                  <w:tcW w:w="5010" w:type="dxa"/>
                  <w:tcBorders>
                    <w:tl2br w:val="nil"/>
                    <w:tr2bl w:val="nil"/>
                  </w:tcBorders>
                  <w:vAlign w:val="center"/>
                </w:tcPr>
                <w:p w14:paraId="670A610D">
                  <w:pPr>
                    <w:adjustRightInd w:val="0"/>
                    <w:snapToGrid w:val="0"/>
                    <w:jc w:val="center"/>
                    <w:rPr>
                      <w:b/>
                      <w:bCs/>
                      <w:color w:val="auto"/>
                      <w:szCs w:val="21"/>
                      <w:highlight w:val="none"/>
                    </w:rPr>
                  </w:pPr>
                  <w:r>
                    <w:rPr>
                      <w:b/>
                      <w:bCs/>
                      <w:color w:val="auto"/>
                      <w:szCs w:val="21"/>
                      <w:highlight w:val="none"/>
                    </w:rPr>
                    <w:t>主要建设内容</w:t>
                  </w:r>
                </w:p>
              </w:tc>
              <w:tc>
                <w:tcPr>
                  <w:tcW w:w="912" w:type="dxa"/>
                  <w:tcBorders>
                    <w:tl2br w:val="nil"/>
                    <w:tr2bl w:val="nil"/>
                  </w:tcBorders>
                  <w:vAlign w:val="center"/>
                </w:tcPr>
                <w:p w14:paraId="79DE49E2">
                  <w:pPr>
                    <w:adjustRightInd w:val="0"/>
                    <w:snapToGrid w:val="0"/>
                    <w:jc w:val="center"/>
                    <w:rPr>
                      <w:b/>
                      <w:bCs/>
                      <w:color w:val="auto"/>
                      <w:szCs w:val="21"/>
                      <w:highlight w:val="none"/>
                    </w:rPr>
                  </w:pPr>
                  <w:r>
                    <w:rPr>
                      <w:b/>
                      <w:bCs/>
                      <w:color w:val="auto"/>
                      <w:szCs w:val="21"/>
                      <w:highlight w:val="none"/>
                    </w:rPr>
                    <w:t>备注</w:t>
                  </w:r>
                </w:p>
              </w:tc>
            </w:tr>
            <w:tr w14:paraId="75F8AA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tcBorders>
                    <w:tl2br w:val="nil"/>
                    <w:tr2bl w:val="nil"/>
                  </w:tcBorders>
                  <w:vAlign w:val="center"/>
                </w:tcPr>
                <w:p w14:paraId="5963D546">
                  <w:pPr>
                    <w:adjustRightInd w:val="0"/>
                    <w:snapToGrid w:val="0"/>
                    <w:jc w:val="center"/>
                    <w:rPr>
                      <w:color w:val="auto"/>
                      <w:szCs w:val="21"/>
                      <w:highlight w:val="none"/>
                    </w:rPr>
                  </w:pPr>
                  <w:r>
                    <w:rPr>
                      <w:color w:val="auto"/>
                      <w:szCs w:val="21"/>
                      <w:highlight w:val="none"/>
                    </w:rPr>
                    <w:t>主体工程</w:t>
                  </w:r>
                </w:p>
              </w:tc>
              <w:tc>
                <w:tcPr>
                  <w:tcW w:w="1230" w:type="dxa"/>
                  <w:gridSpan w:val="2"/>
                  <w:tcBorders>
                    <w:tl2br w:val="nil"/>
                    <w:tr2bl w:val="nil"/>
                  </w:tcBorders>
                  <w:vAlign w:val="center"/>
                </w:tcPr>
                <w:p w14:paraId="35B5D1F0">
                  <w:pPr>
                    <w:adjustRightInd w:val="0"/>
                    <w:snapToGrid w:val="0"/>
                    <w:jc w:val="center"/>
                    <w:rPr>
                      <w:color w:val="auto"/>
                      <w:szCs w:val="21"/>
                      <w:highlight w:val="none"/>
                    </w:rPr>
                  </w:pPr>
                  <w:r>
                    <w:rPr>
                      <w:color w:val="auto"/>
                      <w:szCs w:val="21"/>
                      <w:highlight w:val="none"/>
                    </w:rPr>
                    <w:t>碎石车间</w:t>
                  </w:r>
                </w:p>
              </w:tc>
              <w:tc>
                <w:tcPr>
                  <w:tcW w:w="5010" w:type="dxa"/>
                  <w:tcBorders>
                    <w:tl2br w:val="nil"/>
                    <w:tr2bl w:val="nil"/>
                  </w:tcBorders>
                  <w:vAlign w:val="center"/>
                </w:tcPr>
                <w:p w14:paraId="6EE1D713">
                  <w:pPr>
                    <w:widowControl/>
                    <w:rPr>
                      <w:rFonts w:hint="eastAsia" w:eastAsia="宋体"/>
                      <w:color w:val="auto"/>
                      <w:szCs w:val="21"/>
                      <w:highlight w:val="none"/>
                      <w:lang w:eastAsia="zh-CN"/>
                    </w:rPr>
                  </w:pPr>
                  <w:r>
                    <w:rPr>
                      <w:color w:val="auto"/>
                      <w:szCs w:val="21"/>
                      <w:highlight w:val="none"/>
                    </w:rPr>
                    <w:t>一层，</w:t>
                  </w:r>
                  <w:r>
                    <w:rPr>
                      <w:rFonts w:hint="eastAsia"/>
                      <w:color w:val="auto"/>
                      <w:szCs w:val="21"/>
                      <w:highlight w:val="none"/>
                    </w:rPr>
                    <w:t>层高</w:t>
                  </w:r>
                  <w:r>
                    <w:rPr>
                      <w:rFonts w:hint="eastAsia"/>
                      <w:color w:val="auto"/>
                      <w:szCs w:val="21"/>
                      <w:highlight w:val="none"/>
                      <w:lang w:val="en-US" w:eastAsia="zh-CN"/>
                    </w:rPr>
                    <w:t>5</w:t>
                  </w:r>
                  <w:r>
                    <w:rPr>
                      <w:rFonts w:hint="eastAsia"/>
                      <w:color w:val="auto"/>
                      <w:szCs w:val="21"/>
                      <w:highlight w:val="none"/>
                    </w:rPr>
                    <w:t>m，建筑</w:t>
                  </w:r>
                  <w:r>
                    <w:rPr>
                      <w:color w:val="auto"/>
                      <w:szCs w:val="21"/>
                      <w:highlight w:val="none"/>
                    </w:rPr>
                    <w:t>面积</w:t>
                  </w:r>
                  <w:r>
                    <w:rPr>
                      <w:rFonts w:hint="eastAsia"/>
                      <w:color w:val="auto"/>
                      <w:szCs w:val="21"/>
                      <w:highlight w:val="none"/>
                      <w:lang w:val="en-US" w:eastAsia="zh-CN"/>
                    </w:rPr>
                    <w:t>300</w:t>
                  </w:r>
                  <w:r>
                    <w:rPr>
                      <w:rFonts w:hint="eastAsia"/>
                      <w:color w:val="auto"/>
                      <w:szCs w:val="21"/>
                      <w:highlight w:val="none"/>
                    </w:rPr>
                    <w:t>m</w:t>
                  </w:r>
                  <w:r>
                    <w:rPr>
                      <w:rFonts w:hint="eastAsia"/>
                      <w:color w:val="auto"/>
                      <w:szCs w:val="21"/>
                      <w:highlight w:val="none"/>
                      <w:vertAlign w:val="superscript"/>
                    </w:rPr>
                    <w:t>2</w:t>
                  </w:r>
                  <w:r>
                    <w:rPr>
                      <w:color w:val="auto"/>
                      <w:szCs w:val="21"/>
                      <w:highlight w:val="none"/>
                    </w:rPr>
                    <w:t>，分为一级</w:t>
                  </w:r>
                  <w:r>
                    <w:rPr>
                      <w:rFonts w:hint="eastAsia"/>
                      <w:color w:val="auto"/>
                      <w:szCs w:val="21"/>
                      <w:highlight w:val="none"/>
                    </w:rPr>
                    <w:t>破碎</w:t>
                  </w:r>
                  <w:r>
                    <w:rPr>
                      <w:color w:val="auto"/>
                      <w:szCs w:val="21"/>
                      <w:highlight w:val="none"/>
                    </w:rPr>
                    <w:t>、二级破碎筛分工序并配套</w:t>
                  </w:r>
                  <w:r>
                    <w:rPr>
                      <w:rFonts w:hint="eastAsia"/>
                      <w:color w:val="auto"/>
                      <w:szCs w:val="21"/>
                      <w:highlight w:val="none"/>
                    </w:rPr>
                    <w:t>全封闭</w:t>
                  </w:r>
                  <w:r>
                    <w:rPr>
                      <w:color w:val="auto"/>
                      <w:szCs w:val="21"/>
                      <w:highlight w:val="none"/>
                    </w:rPr>
                    <w:t>式皮带廊</w:t>
                  </w:r>
                  <w:r>
                    <w:rPr>
                      <w:rFonts w:hint="eastAsia"/>
                      <w:color w:val="auto"/>
                      <w:szCs w:val="21"/>
                      <w:highlight w:val="none"/>
                    </w:rPr>
                    <w:t>6</w:t>
                  </w:r>
                  <w:r>
                    <w:rPr>
                      <w:color w:val="auto"/>
                      <w:szCs w:val="21"/>
                      <w:highlight w:val="none"/>
                    </w:rPr>
                    <w:t>条，</w:t>
                  </w:r>
                  <w:r>
                    <w:rPr>
                      <w:rFonts w:hint="eastAsia"/>
                      <w:color w:val="auto"/>
                      <w:szCs w:val="21"/>
                      <w:highlight w:val="none"/>
                    </w:rPr>
                    <w:t>砖混</w:t>
                  </w:r>
                  <w:r>
                    <w:rPr>
                      <w:color w:val="auto"/>
                      <w:szCs w:val="21"/>
                      <w:highlight w:val="none"/>
                    </w:rPr>
                    <w:t>结构</w:t>
                  </w:r>
                  <w:r>
                    <w:rPr>
                      <w:rFonts w:hint="eastAsia"/>
                      <w:color w:val="auto"/>
                      <w:szCs w:val="21"/>
                      <w:highlight w:val="none"/>
                    </w:rPr>
                    <w:t>，内设</w:t>
                  </w:r>
                  <w:r>
                    <w:rPr>
                      <w:color w:val="auto"/>
                      <w:szCs w:val="21"/>
                      <w:highlight w:val="none"/>
                    </w:rPr>
                    <w:t>锤式破碎机、颚式破碎机、给料机、振动筛</w:t>
                  </w:r>
                  <w:r>
                    <w:rPr>
                      <w:rFonts w:hint="eastAsia"/>
                      <w:color w:val="auto"/>
                      <w:szCs w:val="21"/>
                      <w:highlight w:val="none"/>
                    </w:rPr>
                    <w:t>等</w:t>
                  </w:r>
                  <w:r>
                    <w:rPr>
                      <w:rFonts w:hint="eastAsia"/>
                      <w:color w:val="auto"/>
                      <w:szCs w:val="21"/>
                      <w:highlight w:val="none"/>
                      <w:lang w:eastAsia="zh-CN"/>
                    </w:rPr>
                    <w:t>，</w:t>
                  </w:r>
                  <w:r>
                    <w:rPr>
                      <w:rFonts w:hint="eastAsia"/>
                      <w:color w:val="auto"/>
                      <w:szCs w:val="21"/>
                      <w:highlight w:val="none"/>
                    </w:rPr>
                    <w:t>年加工碎石26万吨，年产建筑用花岗岩碎石</w:t>
                  </w:r>
                  <w:r>
                    <w:rPr>
                      <w:rFonts w:hint="eastAsia"/>
                      <w:color w:val="auto"/>
                      <w:szCs w:val="21"/>
                      <w:highlight w:val="none"/>
                      <w:lang w:val="en-US" w:eastAsia="zh-CN"/>
                    </w:rPr>
                    <w:t>16</w:t>
                  </w:r>
                  <w:r>
                    <w:rPr>
                      <w:rFonts w:hint="eastAsia"/>
                      <w:color w:val="auto"/>
                      <w:szCs w:val="21"/>
                      <w:highlight w:val="none"/>
                    </w:rPr>
                    <w:t>万吨、花岗岩石粉</w:t>
                  </w:r>
                  <w:r>
                    <w:rPr>
                      <w:rFonts w:hint="eastAsia"/>
                      <w:color w:val="auto"/>
                      <w:szCs w:val="21"/>
                      <w:highlight w:val="none"/>
                      <w:lang w:val="en-US" w:eastAsia="zh-CN"/>
                    </w:rPr>
                    <w:t>10</w:t>
                  </w:r>
                  <w:r>
                    <w:rPr>
                      <w:rFonts w:hint="eastAsia"/>
                      <w:color w:val="auto"/>
                      <w:szCs w:val="21"/>
                      <w:highlight w:val="none"/>
                    </w:rPr>
                    <w:t>万吨，主要用作建筑材料</w:t>
                  </w:r>
                </w:p>
              </w:tc>
              <w:tc>
                <w:tcPr>
                  <w:tcW w:w="912" w:type="dxa"/>
                  <w:tcBorders>
                    <w:tl2br w:val="nil"/>
                    <w:tr2bl w:val="nil"/>
                  </w:tcBorders>
                  <w:vAlign w:val="center"/>
                </w:tcPr>
                <w:p w14:paraId="4AE799CC">
                  <w:pPr>
                    <w:adjustRightInd w:val="0"/>
                    <w:snapToGrid w:val="0"/>
                    <w:jc w:val="center"/>
                    <w:rPr>
                      <w:rFonts w:hint="default" w:eastAsia="宋体"/>
                      <w:color w:val="auto"/>
                      <w:szCs w:val="21"/>
                      <w:highlight w:val="none"/>
                      <w:lang w:val="en-US" w:eastAsia="zh-CN"/>
                    </w:rPr>
                  </w:pPr>
                  <w:r>
                    <w:rPr>
                      <w:color w:val="auto"/>
                      <w:szCs w:val="21"/>
                      <w:highlight w:val="none"/>
                    </w:rPr>
                    <w:t>新建</w:t>
                  </w:r>
                </w:p>
              </w:tc>
            </w:tr>
            <w:tr w14:paraId="7B7571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tcBorders>
                    <w:tl2br w:val="nil"/>
                    <w:tr2bl w:val="nil"/>
                  </w:tcBorders>
                  <w:vAlign w:val="center"/>
                </w:tcPr>
                <w:p w14:paraId="73519600">
                  <w:pPr>
                    <w:adjustRightInd w:val="0"/>
                    <w:snapToGrid w:val="0"/>
                    <w:jc w:val="center"/>
                    <w:rPr>
                      <w:color w:val="auto"/>
                      <w:szCs w:val="21"/>
                      <w:highlight w:val="none"/>
                    </w:rPr>
                  </w:pPr>
                  <w:r>
                    <w:rPr>
                      <w:color w:val="auto"/>
                      <w:szCs w:val="21"/>
                      <w:highlight w:val="none"/>
                    </w:rPr>
                    <w:t>辅助工程</w:t>
                  </w:r>
                </w:p>
              </w:tc>
              <w:tc>
                <w:tcPr>
                  <w:tcW w:w="1230" w:type="dxa"/>
                  <w:gridSpan w:val="2"/>
                  <w:tcBorders>
                    <w:tl2br w:val="nil"/>
                    <w:tr2bl w:val="nil"/>
                  </w:tcBorders>
                  <w:vAlign w:val="center"/>
                </w:tcPr>
                <w:p w14:paraId="7A3A0006">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清洗平台</w:t>
                  </w:r>
                </w:p>
              </w:tc>
              <w:tc>
                <w:tcPr>
                  <w:tcW w:w="5010" w:type="dxa"/>
                  <w:tcBorders>
                    <w:tl2br w:val="nil"/>
                    <w:tr2bl w:val="nil"/>
                  </w:tcBorders>
                  <w:vAlign w:val="center"/>
                </w:tcPr>
                <w:p w14:paraId="247435BD">
                  <w:pPr>
                    <w:adjustRightInd w:val="0"/>
                    <w:snapToGrid w:val="0"/>
                    <w:rPr>
                      <w:rFonts w:hint="default" w:eastAsia="宋体"/>
                      <w:color w:val="auto"/>
                      <w:szCs w:val="21"/>
                      <w:highlight w:val="none"/>
                      <w:lang w:val="en-US" w:eastAsia="zh-CN"/>
                    </w:rPr>
                  </w:pPr>
                  <w:r>
                    <w:rPr>
                      <w:rFonts w:hint="eastAsia"/>
                      <w:color w:val="auto"/>
                      <w:szCs w:val="21"/>
                      <w:highlight w:val="none"/>
                      <w:lang w:val="en-US" w:eastAsia="zh-CN"/>
                    </w:rPr>
                    <w:t>占地</w:t>
                  </w:r>
                  <w:r>
                    <w:rPr>
                      <w:rFonts w:hint="eastAsia"/>
                      <w:color w:val="auto"/>
                      <w:szCs w:val="21"/>
                      <w:highlight w:val="none"/>
                    </w:rPr>
                    <w:t>面积</w:t>
                  </w:r>
                  <w:r>
                    <w:rPr>
                      <w:rFonts w:hint="eastAsia"/>
                      <w:color w:val="auto"/>
                      <w:szCs w:val="21"/>
                      <w:highlight w:val="none"/>
                      <w:lang w:val="en-US" w:eastAsia="zh-CN"/>
                    </w:rPr>
                    <w:t>1</w:t>
                  </w:r>
                  <w:r>
                    <w:rPr>
                      <w:rFonts w:hint="eastAsia"/>
                      <w:color w:val="auto"/>
                      <w:szCs w:val="21"/>
                      <w:highlight w:val="none"/>
                    </w:rPr>
                    <w:t>0m</w:t>
                  </w:r>
                  <w:r>
                    <w:rPr>
                      <w:rFonts w:hint="eastAsia"/>
                      <w:color w:val="auto"/>
                      <w:szCs w:val="21"/>
                      <w:highlight w:val="none"/>
                      <w:vertAlign w:val="superscript"/>
                    </w:rPr>
                    <w:t>2</w:t>
                  </w:r>
                  <w:r>
                    <w:rPr>
                      <w:color w:val="auto"/>
                      <w:szCs w:val="21"/>
                      <w:highlight w:val="none"/>
                    </w:rPr>
                    <w:t>，</w:t>
                  </w:r>
                  <w:r>
                    <w:rPr>
                      <w:rFonts w:hint="eastAsia"/>
                      <w:color w:val="auto"/>
                      <w:szCs w:val="21"/>
                      <w:highlight w:val="none"/>
                      <w:lang w:val="en-US" w:eastAsia="zh-CN"/>
                    </w:rPr>
                    <w:t>配置一个容积5m</w:t>
                  </w:r>
                  <w:r>
                    <w:rPr>
                      <w:rFonts w:hint="eastAsia"/>
                      <w:color w:val="auto"/>
                      <w:szCs w:val="21"/>
                      <w:highlight w:val="none"/>
                      <w:vertAlign w:val="superscript"/>
                      <w:lang w:val="en-US" w:eastAsia="zh-CN"/>
                    </w:rPr>
                    <w:t>3</w:t>
                  </w:r>
                  <w:r>
                    <w:rPr>
                      <w:rFonts w:hint="eastAsia"/>
                      <w:color w:val="auto"/>
                      <w:szCs w:val="21"/>
                      <w:highlight w:val="none"/>
                      <w:lang w:val="en-US" w:eastAsia="zh-CN"/>
                    </w:rPr>
                    <w:t>的沉淀池</w:t>
                  </w:r>
                  <w:r>
                    <w:rPr>
                      <w:color w:val="auto"/>
                      <w:szCs w:val="21"/>
                      <w:highlight w:val="none"/>
                    </w:rPr>
                    <w:t>，</w:t>
                  </w:r>
                  <w:r>
                    <w:rPr>
                      <w:rFonts w:hint="eastAsia"/>
                      <w:color w:val="auto"/>
                      <w:szCs w:val="21"/>
                      <w:highlight w:val="none"/>
                    </w:rPr>
                    <w:t>用于</w:t>
                  </w:r>
                  <w:r>
                    <w:rPr>
                      <w:rFonts w:hint="eastAsia"/>
                      <w:color w:val="auto"/>
                      <w:szCs w:val="21"/>
                      <w:highlight w:val="none"/>
                      <w:lang w:val="en-US" w:eastAsia="zh-CN"/>
                    </w:rPr>
                    <w:t>进出运输车辆清洗</w:t>
                  </w:r>
                </w:p>
              </w:tc>
              <w:tc>
                <w:tcPr>
                  <w:tcW w:w="912" w:type="dxa"/>
                  <w:tcBorders>
                    <w:tl2br w:val="nil"/>
                    <w:tr2bl w:val="nil"/>
                  </w:tcBorders>
                  <w:vAlign w:val="center"/>
                </w:tcPr>
                <w:p w14:paraId="66744E3E">
                  <w:pPr>
                    <w:adjustRightInd w:val="0"/>
                    <w:snapToGrid w:val="0"/>
                    <w:jc w:val="center"/>
                    <w:rPr>
                      <w:color w:val="auto"/>
                      <w:szCs w:val="21"/>
                      <w:highlight w:val="none"/>
                    </w:rPr>
                  </w:pPr>
                  <w:r>
                    <w:rPr>
                      <w:rFonts w:hint="eastAsia"/>
                      <w:color w:val="auto"/>
                      <w:szCs w:val="21"/>
                      <w:highlight w:val="none"/>
                    </w:rPr>
                    <w:t>新建</w:t>
                  </w:r>
                </w:p>
              </w:tc>
            </w:tr>
            <w:tr w14:paraId="644A50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restart"/>
                  <w:tcBorders>
                    <w:tl2br w:val="nil"/>
                    <w:tr2bl w:val="nil"/>
                  </w:tcBorders>
                  <w:vAlign w:val="center"/>
                </w:tcPr>
                <w:p w14:paraId="528F0C18">
                  <w:pPr>
                    <w:adjustRightInd w:val="0"/>
                    <w:snapToGrid w:val="0"/>
                    <w:jc w:val="center"/>
                    <w:rPr>
                      <w:color w:val="auto"/>
                      <w:szCs w:val="21"/>
                      <w:highlight w:val="none"/>
                    </w:rPr>
                  </w:pPr>
                  <w:r>
                    <w:rPr>
                      <w:color w:val="auto"/>
                      <w:szCs w:val="21"/>
                      <w:highlight w:val="none"/>
                    </w:rPr>
                    <w:t>储运工程</w:t>
                  </w:r>
                </w:p>
              </w:tc>
              <w:tc>
                <w:tcPr>
                  <w:tcW w:w="1230" w:type="dxa"/>
                  <w:gridSpan w:val="2"/>
                  <w:tcBorders>
                    <w:tl2br w:val="nil"/>
                    <w:tr2bl w:val="nil"/>
                  </w:tcBorders>
                  <w:vAlign w:val="center"/>
                </w:tcPr>
                <w:p w14:paraId="3A5D0AAA">
                  <w:pPr>
                    <w:adjustRightInd w:val="0"/>
                    <w:snapToGrid w:val="0"/>
                    <w:jc w:val="center"/>
                    <w:rPr>
                      <w:rFonts w:hint="eastAsia" w:eastAsia="宋体"/>
                      <w:color w:val="auto"/>
                      <w:szCs w:val="21"/>
                      <w:highlight w:val="none"/>
                      <w:lang w:eastAsia="zh-CN"/>
                    </w:rPr>
                  </w:pPr>
                  <w:r>
                    <w:rPr>
                      <w:color w:val="auto"/>
                      <w:szCs w:val="21"/>
                      <w:highlight w:val="none"/>
                    </w:rPr>
                    <w:t>原料</w:t>
                  </w:r>
                  <w:r>
                    <w:rPr>
                      <w:rFonts w:hint="eastAsia"/>
                      <w:color w:val="auto"/>
                      <w:szCs w:val="21"/>
                      <w:highlight w:val="none"/>
                      <w:lang w:val="en-US" w:eastAsia="zh-CN"/>
                    </w:rPr>
                    <w:t>区</w:t>
                  </w:r>
                </w:p>
              </w:tc>
              <w:tc>
                <w:tcPr>
                  <w:tcW w:w="5010" w:type="dxa"/>
                  <w:tcBorders>
                    <w:tl2br w:val="nil"/>
                    <w:tr2bl w:val="nil"/>
                  </w:tcBorders>
                  <w:vAlign w:val="center"/>
                </w:tcPr>
                <w:p w14:paraId="26AACDB1">
                  <w:pPr>
                    <w:widowControl/>
                    <w:rPr>
                      <w:rFonts w:hint="eastAsia" w:eastAsia="宋体"/>
                      <w:color w:val="auto"/>
                      <w:szCs w:val="21"/>
                      <w:highlight w:val="none"/>
                      <w:lang w:eastAsia="zh-CN"/>
                    </w:rPr>
                  </w:pPr>
                  <w:r>
                    <w:rPr>
                      <w:color w:val="auto"/>
                      <w:szCs w:val="21"/>
                      <w:highlight w:val="none"/>
                    </w:rPr>
                    <w:t>无构筑物，</w:t>
                  </w:r>
                  <w:r>
                    <w:rPr>
                      <w:rFonts w:hint="eastAsia"/>
                      <w:color w:val="auto"/>
                      <w:szCs w:val="21"/>
                      <w:highlight w:val="none"/>
                    </w:rPr>
                    <w:t>占地面积</w:t>
                  </w:r>
                  <w:r>
                    <w:rPr>
                      <w:rFonts w:hint="eastAsia"/>
                      <w:color w:val="auto"/>
                      <w:szCs w:val="21"/>
                      <w:highlight w:val="none"/>
                      <w:lang w:val="en-US" w:eastAsia="zh-CN"/>
                    </w:rPr>
                    <w:t>3</w:t>
                  </w:r>
                  <w:r>
                    <w:rPr>
                      <w:rFonts w:hint="eastAsia"/>
                      <w:color w:val="auto"/>
                      <w:szCs w:val="21"/>
                      <w:highlight w:val="none"/>
                    </w:rPr>
                    <w:t>00m</w:t>
                  </w:r>
                  <w:r>
                    <w:rPr>
                      <w:rFonts w:hint="eastAsia"/>
                      <w:color w:val="auto"/>
                      <w:szCs w:val="21"/>
                      <w:highlight w:val="none"/>
                      <w:vertAlign w:val="superscript"/>
                    </w:rPr>
                    <w:t>2</w:t>
                  </w:r>
                  <w:r>
                    <w:rPr>
                      <w:rFonts w:hint="eastAsia"/>
                      <w:color w:val="auto"/>
                      <w:szCs w:val="21"/>
                      <w:highlight w:val="none"/>
                    </w:rPr>
                    <w:t>，用于储存</w:t>
                  </w:r>
                  <w:r>
                    <w:rPr>
                      <w:rFonts w:hint="eastAsia"/>
                      <w:color w:val="auto"/>
                      <w:szCs w:val="21"/>
                      <w:highlight w:val="none"/>
                      <w:lang w:val="en-US" w:eastAsia="zh-CN"/>
                    </w:rPr>
                    <w:t>原料，</w:t>
                  </w:r>
                  <w:r>
                    <w:rPr>
                      <w:color w:val="auto"/>
                      <w:szCs w:val="21"/>
                      <w:highlight w:val="none"/>
                    </w:rPr>
                    <w:t>可临时堆放</w:t>
                  </w:r>
                  <w:r>
                    <w:rPr>
                      <w:rFonts w:hint="eastAsia"/>
                      <w:color w:val="auto"/>
                      <w:szCs w:val="21"/>
                      <w:highlight w:val="none"/>
                    </w:rPr>
                    <w:t>约</w:t>
                  </w:r>
                  <w:r>
                    <w:rPr>
                      <w:rFonts w:hint="eastAsia"/>
                      <w:color w:val="auto"/>
                      <w:szCs w:val="21"/>
                      <w:highlight w:val="none"/>
                      <w:lang w:val="en-US" w:eastAsia="zh-CN"/>
                    </w:rPr>
                    <w:t>15</w:t>
                  </w:r>
                  <w:r>
                    <w:rPr>
                      <w:color w:val="auto"/>
                      <w:szCs w:val="21"/>
                      <w:highlight w:val="none"/>
                    </w:rPr>
                    <w:t>00m</w:t>
                  </w:r>
                  <w:r>
                    <w:rPr>
                      <w:rFonts w:hint="eastAsia"/>
                      <w:color w:val="auto"/>
                      <w:szCs w:val="21"/>
                      <w:highlight w:val="none"/>
                      <w:vertAlign w:val="superscript"/>
                      <w:lang w:val="en-US" w:eastAsia="zh-CN"/>
                    </w:rPr>
                    <w:t>3</w:t>
                  </w:r>
                  <w:r>
                    <w:rPr>
                      <w:rFonts w:hint="eastAsia"/>
                      <w:color w:val="auto"/>
                      <w:szCs w:val="21"/>
                      <w:highlight w:val="none"/>
                    </w:rPr>
                    <w:t>（</w:t>
                  </w:r>
                  <w:r>
                    <w:rPr>
                      <w:color w:val="auto"/>
                      <w:szCs w:val="21"/>
                      <w:highlight w:val="none"/>
                    </w:rPr>
                    <w:t>按</w:t>
                  </w:r>
                  <w:r>
                    <w:rPr>
                      <w:rFonts w:hint="eastAsia"/>
                      <w:color w:val="auto"/>
                      <w:szCs w:val="21"/>
                      <w:highlight w:val="none"/>
                      <w:lang w:val="en-US" w:eastAsia="zh-CN"/>
                    </w:rPr>
                    <w:t>5</w:t>
                  </w:r>
                  <w:r>
                    <w:rPr>
                      <w:color w:val="auto"/>
                      <w:szCs w:val="21"/>
                      <w:highlight w:val="none"/>
                    </w:rPr>
                    <w:t>米堆高</w:t>
                  </w:r>
                  <w:r>
                    <w:rPr>
                      <w:rFonts w:hint="eastAsia"/>
                      <w:color w:val="auto"/>
                      <w:szCs w:val="21"/>
                      <w:highlight w:val="none"/>
                    </w:rPr>
                    <w:t>计）</w:t>
                  </w:r>
                  <w:r>
                    <w:rPr>
                      <w:color w:val="auto"/>
                      <w:szCs w:val="21"/>
                      <w:highlight w:val="none"/>
                    </w:rPr>
                    <w:t>，</w:t>
                  </w:r>
                  <w:r>
                    <w:rPr>
                      <w:rFonts w:hint="eastAsia"/>
                      <w:color w:val="auto"/>
                      <w:szCs w:val="21"/>
                      <w:highlight w:val="none"/>
                      <w:lang w:val="en-US" w:eastAsia="zh-CN"/>
                    </w:rPr>
                    <w:t>设置顶棚、</w:t>
                  </w:r>
                  <w:r>
                    <w:rPr>
                      <w:rFonts w:hint="eastAsia"/>
                      <w:color w:val="FF0000"/>
                      <w:szCs w:val="21"/>
                      <w:highlight w:val="none"/>
                      <w:lang w:val="en-US" w:eastAsia="zh-CN"/>
                    </w:rPr>
                    <w:t>四周设置5m高围挡、</w:t>
                  </w:r>
                  <w:r>
                    <w:rPr>
                      <w:rFonts w:hint="eastAsia"/>
                      <w:color w:val="auto"/>
                      <w:szCs w:val="21"/>
                      <w:highlight w:val="none"/>
                      <w:lang w:val="en-US" w:eastAsia="zh-CN"/>
                    </w:rPr>
                    <w:t>围挡与顶棚连接采取防尘网</w:t>
                  </w:r>
                  <w:r>
                    <w:rPr>
                      <w:rFonts w:hint="eastAsia"/>
                      <w:color w:val="auto"/>
                      <w:szCs w:val="21"/>
                      <w:highlight w:val="none"/>
                      <w:lang w:val="en-US" w:eastAsia="zh-CN"/>
                    </w:rPr>
                    <w:t>，</w:t>
                  </w:r>
                  <w:r>
                    <w:rPr>
                      <w:rFonts w:hint="eastAsia"/>
                      <w:color w:val="auto"/>
                      <w:szCs w:val="21"/>
                      <w:highlight w:val="none"/>
                    </w:rPr>
                    <w:t>采取地面硬化、定期洒水降尘等</w:t>
                  </w:r>
                </w:p>
              </w:tc>
              <w:tc>
                <w:tcPr>
                  <w:tcW w:w="912" w:type="dxa"/>
                  <w:tcBorders>
                    <w:tl2br w:val="nil"/>
                    <w:tr2bl w:val="nil"/>
                  </w:tcBorders>
                  <w:vAlign w:val="center"/>
                </w:tcPr>
                <w:p w14:paraId="24F50173">
                  <w:pPr>
                    <w:adjustRightInd w:val="0"/>
                    <w:snapToGrid w:val="0"/>
                    <w:jc w:val="center"/>
                    <w:rPr>
                      <w:color w:val="auto"/>
                      <w:szCs w:val="21"/>
                      <w:highlight w:val="none"/>
                    </w:rPr>
                  </w:pPr>
                  <w:r>
                    <w:rPr>
                      <w:rFonts w:hint="eastAsia"/>
                      <w:color w:val="auto"/>
                      <w:szCs w:val="21"/>
                      <w:highlight w:val="none"/>
                    </w:rPr>
                    <w:t>新建</w:t>
                  </w:r>
                </w:p>
              </w:tc>
            </w:tr>
            <w:tr w14:paraId="638E87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79D4C466">
                  <w:pPr>
                    <w:adjustRightInd w:val="0"/>
                    <w:snapToGrid w:val="0"/>
                    <w:jc w:val="center"/>
                    <w:rPr>
                      <w:color w:val="auto"/>
                      <w:szCs w:val="21"/>
                      <w:highlight w:val="none"/>
                    </w:rPr>
                  </w:pPr>
                </w:p>
              </w:tc>
              <w:tc>
                <w:tcPr>
                  <w:tcW w:w="1230" w:type="dxa"/>
                  <w:gridSpan w:val="2"/>
                  <w:tcBorders>
                    <w:tl2br w:val="nil"/>
                    <w:tr2bl w:val="nil"/>
                  </w:tcBorders>
                  <w:vAlign w:val="center"/>
                </w:tcPr>
                <w:p w14:paraId="7B5844BC">
                  <w:pPr>
                    <w:adjustRightInd w:val="0"/>
                    <w:snapToGrid w:val="0"/>
                    <w:jc w:val="center"/>
                    <w:rPr>
                      <w:color w:val="auto"/>
                      <w:szCs w:val="21"/>
                      <w:highlight w:val="none"/>
                    </w:rPr>
                  </w:pPr>
                  <w:r>
                    <w:rPr>
                      <w:rFonts w:hint="eastAsia"/>
                      <w:color w:val="auto"/>
                      <w:szCs w:val="21"/>
                      <w:highlight w:val="none"/>
                    </w:rPr>
                    <w:t>成品库</w:t>
                  </w:r>
                </w:p>
              </w:tc>
              <w:tc>
                <w:tcPr>
                  <w:tcW w:w="5010" w:type="dxa"/>
                  <w:tcBorders>
                    <w:tl2br w:val="nil"/>
                    <w:tr2bl w:val="nil"/>
                  </w:tcBorders>
                  <w:vAlign w:val="center"/>
                </w:tcPr>
                <w:p w14:paraId="0B252EA8">
                  <w:pPr>
                    <w:widowControl/>
                    <w:rPr>
                      <w:rFonts w:hint="default" w:eastAsia="宋体"/>
                      <w:color w:val="auto"/>
                      <w:szCs w:val="21"/>
                      <w:highlight w:val="none"/>
                      <w:lang w:val="en-US" w:eastAsia="zh-CN"/>
                    </w:rPr>
                  </w:pPr>
                  <w:r>
                    <w:rPr>
                      <w:rFonts w:hint="eastAsia"/>
                      <w:color w:val="auto"/>
                      <w:szCs w:val="21"/>
                      <w:highlight w:val="none"/>
                    </w:rPr>
                    <w:t>一层，建筑</w:t>
                  </w:r>
                  <w:r>
                    <w:rPr>
                      <w:color w:val="auto"/>
                      <w:szCs w:val="21"/>
                      <w:highlight w:val="none"/>
                    </w:rPr>
                    <w:t>面积</w:t>
                  </w:r>
                  <w:r>
                    <w:rPr>
                      <w:rFonts w:hint="eastAsia"/>
                      <w:color w:val="auto"/>
                      <w:szCs w:val="21"/>
                      <w:highlight w:val="none"/>
                      <w:lang w:val="en-US" w:eastAsia="zh-CN"/>
                    </w:rPr>
                    <w:t>950</w:t>
                  </w:r>
                  <w:r>
                    <w:rPr>
                      <w:rFonts w:hint="eastAsia"/>
                      <w:color w:val="auto"/>
                      <w:szCs w:val="21"/>
                      <w:highlight w:val="none"/>
                    </w:rPr>
                    <w:t>m</w:t>
                  </w:r>
                  <w:r>
                    <w:rPr>
                      <w:rFonts w:hint="eastAsia"/>
                      <w:color w:val="auto"/>
                      <w:szCs w:val="21"/>
                      <w:highlight w:val="none"/>
                      <w:vertAlign w:val="superscript"/>
                    </w:rPr>
                    <w:t>2</w:t>
                  </w:r>
                  <w:r>
                    <w:rPr>
                      <w:rFonts w:hint="eastAsia"/>
                      <w:color w:val="auto"/>
                      <w:szCs w:val="21"/>
                      <w:highlight w:val="none"/>
                      <w:vertAlign w:val="baseline"/>
                      <w:lang w:eastAsia="zh-CN"/>
                    </w:rPr>
                    <w:t>（</w:t>
                  </w:r>
                  <w:r>
                    <w:rPr>
                      <w:rFonts w:hint="eastAsia"/>
                      <w:color w:val="auto"/>
                      <w:szCs w:val="21"/>
                      <w:highlight w:val="none"/>
                      <w:lang w:val="en-US" w:eastAsia="zh-CN"/>
                    </w:rPr>
                    <w:t>其中包含一般固废暂存区15</w:t>
                  </w:r>
                  <w:r>
                    <w:rPr>
                      <w:rFonts w:hint="eastAsia"/>
                      <w:color w:val="auto"/>
                      <w:szCs w:val="21"/>
                      <w:highlight w:val="none"/>
                    </w:rPr>
                    <w:t>m</w:t>
                  </w:r>
                  <w:r>
                    <w:rPr>
                      <w:rFonts w:hint="eastAsia"/>
                      <w:color w:val="auto"/>
                      <w:szCs w:val="21"/>
                      <w:highlight w:val="none"/>
                      <w:vertAlign w:val="superscript"/>
                    </w:rPr>
                    <w:t>2</w:t>
                  </w:r>
                  <w:r>
                    <w:rPr>
                      <w:color w:val="auto"/>
                      <w:szCs w:val="21"/>
                      <w:highlight w:val="none"/>
                    </w:rPr>
                    <w:t>，</w:t>
                  </w:r>
                  <w:r>
                    <w:rPr>
                      <w:rFonts w:hint="eastAsia"/>
                      <w:color w:val="auto"/>
                      <w:szCs w:val="21"/>
                      <w:highlight w:val="none"/>
                      <w:lang w:val="en-US" w:eastAsia="zh-CN"/>
                    </w:rPr>
                    <w:t>危废贮存点5</w:t>
                  </w:r>
                  <w:r>
                    <w:rPr>
                      <w:rFonts w:hint="eastAsia"/>
                      <w:color w:val="auto"/>
                      <w:szCs w:val="21"/>
                      <w:highlight w:val="none"/>
                    </w:rPr>
                    <w:t>m</w:t>
                  </w:r>
                  <w:r>
                    <w:rPr>
                      <w:rFonts w:hint="eastAsia"/>
                      <w:color w:val="auto"/>
                      <w:szCs w:val="21"/>
                      <w:highlight w:val="none"/>
                      <w:vertAlign w:val="superscript"/>
                    </w:rPr>
                    <w:t>2</w:t>
                  </w:r>
                  <w:r>
                    <w:rPr>
                      <w:rFonts w:hint="eastAsia"/>
                      <w:color w:val="auto"/>
                      <w:szCs w:val="21"/>
                      <w:highlight w:val="none"/>
                      <w:vertAlign w:val="baseline"/>
                      <w:lang w:eastAsia="zh-CN"/>
                    </w:rPr>
                    <w:t>）</w:t>
                  </w:r>
                  <w:r>
                    <w:rPr>
                      <w:color w:val="auto"/>
                      <w:szCs w:val="21"/>
                      <w:highlight w:val="none"/>
                    </w:rPr>
                    <w:t>，</w:t>
                  </w:r>
                  <w:r>
                    <w:rPr>
                      <w:rFonts w:hint="eastAsia"/>
                      <w:color w:val="auto"/>
                      <w:szCs w:val="21"/>
                      <w:highlight w:val="none"/>
                    </w:rPr>
                    <w:t>砖混</w:t>
                  </w:r>
                  <w:r>
                    <w:rPr>
                      <w:color w:val="auto"/>
                      <w:szCs w:val="21"/>
                      <w:highlight w:val="none"/>
                    </w:rPr>
                    <w:t>结构</w:t>
                  </w:r>
                  <w:r>
                    <w:rPr>
                      <w:rFonts w:hint="eastAsia"/>
                      <w:color w:val="auto"/>
                      <w:szCs w:val="21"/>
                      <w:highlight w:val="none"/>
                    </w:rPr>
                    <w:t>，用于储存成品</w:t>
                  </w:r>
                  <w:r>
                    <w:rPr>
                      <w:rFonts w:hint="eastAsia"/>
                      <w:color w:val="auto"/>
                      <w:szCs w:val="21"/>
                      <w:highlight w:val="none"/>
                      <w:lang w:val="en-US" w:eastAsia="zh-CN"/>
                    </w:rPr>
                    <w:t>，</w:t>
                  </w:r>
                  <w:r>
                    <w:rPr>
                      <w:color w:val="auto"/>
                      <w:szCs w:val="21"/>
                      <w:highlight w:val="none"/>
                    </w:rPr>
                    <w:t>可临时堆放</w:t>
                  </w:r>
                  <w:r>
                    <w:rPr>
                      <w:rFonts w:hint="eastAsia"/>
                      <w:color w:val="auto"/>
                      <w:szCs w:val="21"/>
                      <w:highlight w:val="none"/>
                    </w:rPr>
                    <w:t>约</w:t>
                  </w:r>
                  <w:r>
                    <w:rPr>
                      <w:rFonts w:hint="eastAsia"/>
                      <w:color w:val="auto"/>
                      <w:szCs w:val="21"/>
                      <w:highlight w:val="none"/>
                      <w:lang w:val="en-US" w:eastAsia="zh-CN"/>
                    </w:rPr>
                    <w:t>372</w:t>
                  </w:r>
                  <w:r>
                    <w:rPr>
                      <w:color w:val="auto"/>
                      <w:szCs w:val="21"/>
                      <w:highlight w:val="none"/>
                    </w:rPr>
                    <w:t>0m</w:t>
                  </w:r>
                  <w:r>
                    <w:rPr>
                      <w:rFonts w:hint="eastAsia"/>
                      <w:color w:val="auto"/>
                      <w:szCs w:val="21"/>
                      <w:highlight w:val="none"/>
                      <w:vertAlign w:val="superscript"/>
                      <w:lang w:val="en-US" w:eastAsia="zh-CN"/>
                    </w:rPr>
                    <w:t>3</w:t>
                  </w:r>
                  <w:r>
                    <w:rPr>
                      <w:rFonts w:hint="eastAsia"/>
                      <w:color w:val="auto"/>
                      <w:szCs w:val="21"/>
                      <w:highlight w:val="none"/>
                    </w:rPr>
                    <w:t>（</w:t>
                  </w:r>
                  <w:r>
                    <w:rPr>
                      <w:color w:val="auto"/>
                      <w:szCs w:val="21"/>
                      <w:highlight w:val="none"/>
                    </w:rPr>
                    <w:t>按</w:t>
                  </w:r>
                  <w:r>
                    <w:rPr>
                      <w:rFonts w:hint="eastAsia"/>
                      <w:color w:val="auto"/>
                      <w:szCs w:val="21"/>
                      <w:highlight w:val="none"/>
                      <w:lang w:val="en-US" w:eastAsia="zh-CN"/>
                    </w:rPr>
                    <w:t>4</w:t>
                  </w:r>
                  <w:r>
                    <w:rPr>
                      <w:color w:val="auto"/>
                      <w:szCs w:val="21"/>
                      <w:highlight w:val="none"/>
                    </w:rPr>
                    <w:t>米堆高</w:t>
                  </w:r>
                  <w:r>
                    <w:rPr>
                      <w:rFonts w:hint="eastAsia"/>
                      <w:color w:val="auto"/>
                      <w:szCs w:val="21"/>
                      <w:highlight w:val="none"/>
                    </w:rPr>
                    <w:t>计）</w:t>
                  </w:r>
                </w:p>
              </w:tc>
              <w:tc>
                <w:tcPr>
                  <w:tcW w:w="912" w:type="dxa"/>
                  <w:tcBorders>
                    <w:tl2br w:val="nil"/>
                    <w:tr2bl w:val="nil"/>
                  </w:tcBorders>
                  <w:vAlign w:val="center"/>
                </w:tcPr>
                <w:p w14:paraId="5B78E87D">
                  <w:pPr>
                    <w:adjustRightInd w:val="0"/>
                    <w:snapToGrid w:val="0"/>
                    <w:jc w:val="center"/>
                    <w:rPr>
                      <w:color w:val="auto"/>
                      <w:szCs w:val="21"/>
                      <w:highlight w:val="none"/>
                    </w:rPr>
                  </w:pPr>
                  <w:r>
                    <w:rPr>
                      <w:color w:val="auto"/>
                      <w:szCs w:val="21"/>
                      <w:highlight w:val="none"/>
                    </w:rPr>
                    <w:t>新建</w:t>
                  </w:r>
                </w:p>
              </w:tc>
            </w:tr>
            <w:tr w14:paraId="463473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5F12DCF4">
                  <w:pPr>
                    <w:adjustRightInd w:val="0"/>
                    <w:snapToGrid w:val="0"/>
                    <w:jc w:val="center"/>
                    <w:rPr>
                      <w:color w:val="auto"/>
                      <w:szCs w:val="21"/>
                      <w:highlight w:val="none"/>
                    </w:rPr>
                  </w:pPr>
                </w:p>
              </w:tc>
              <w:tc>
                <w:tcPr>
                  <w:tcW w:w="1230" w:type="dxa"/>
                  <w:gridSpan w:val="2"/>
                  <w:vMerge w:val="restart"/>
                  <w:tcBorders>
                    <w:tl2br w:val="nil"/>
                    <w:tr2bl w:val="nil"/>
                  </w:tcBorders>
                  <w:vAlign w:val="center"/>
                </w:tcPr>
                <w:p w14:paraId="0D715D01">
                  <w:pPr>
                    <w:adjustRightInd w:val="0"/>
                    <w:snapToGrid w:val="0"/>
                    <w:jc w:val="center"/>
                    <w:rPr>
                      <w:color w:val="auto"/>
                      <w:szCs w:val="21"/>
                      <w:highlight w:val="none"/>
                    </w:rPr>
                  </w:pPr>
                  <w:r>
                    <w:rPr>
                      <w:color w:val="auto"/>
                      <w:szCs w:val="21"/>
                      <w:highlight w:val="none"/>
                    </w:rPr>
                    <w:t>运输</w:t>
                  </w:r>
                </w:p>
              </w:tc>
              <w:tc>
                <w:tcPr>
                  <w:tcW w:w="5010" w:type="dxa"/>
                  <w:tcBorders>
                    <w:tl2br w:val="nil"/>
                    <w:tr2bl w:val="nil"/>
                  </w:tcBorders>
                  <w:vAlign w:val="center"/>
                </w:tcPr>
                <w:p w14:paraId="675CA509">
                  <w:pPr>
                    <w:widowControl/>
                    <w:jc w:val="center"/>
                    <w:rPr>
                      <w:color w:val="auto"/>
                      <w:szCs w:val="21"/>
                      <w:highlight w:val="none"/>
                    </w:rPr>
                  </w:pPr>
                  <w:r>
                    <w:rPr>
                      <w:color w:val="auto"/>
                      <w:szCs w:val="21"/>
                      <w:highlight w:val="none"/>
                    </w:rPr>
                    <w:t>厂内运输采用</w:t>
                  </w:r>
                  <w:r>
                    <w:rPr>
                      <w:rFonts w:hint="eastAsia"/>
                      <w:color w:val="auto"/>
                      <w:szCs w:val="21"/>
                      <w:highlight w:val="none"/>
                      <w:lang w:val="en-US" w:eastAsia="zh-CN"/>
                    </w:rPr>
                    <w:t>装载机</w:t>
                  </w:r>
                  <w:r>
                    <w:rPr>
                      <w:color w:val="auto"/>
                      <w:szCs w:val="21"/>
                      <w:highlight w:val="none"/>
                    </w:rPr>
                    <w:t>及</w:t>
                  </w:r>
                  <w:r>
                    <w:rPr>
                      <w:rFonts w:hint="eastAsia"/>
                      <w:color w:val="auto"/>
                      <w:szCs w:val="21"/>
                      <w:highlight w:val="none"/>
                    </w:rPr>
                    <w:t>全封闭</w:t>
                  </w:r>
                  <w:r>
                    <w:rPr>
                      <w:color w:val="auto"/>
                      <w:szCs w:val="21"/>
                      <w:highlight w:val="none"/>
                    </w:rPr>
                    <w:t>皮带输送机</w:t>
                  </w:r>
                </w:p>
              </w:tc>
              <w:tc>
                <w:tcPr>
                  <w:tcW w:w="912" w:type="dxa"/>
                  <w:tcBorders>
                    <w:tl2br w:val="nil"/>
                    <w:tr2bl w:val="nil"/>
                  </w:tcBorders>
                  <w:vAlign w:val="center"/>
                </w:tcPr>
                <w:p w14:paraId="1012B5D3">
                  <w:pPr>
                    <w:adjustRightInd w:val="0"/>
                    <w:snapToGrid w:val="0"/>
                    <w:jc w:val="center"/>
                    <w:rPr>
                      <w:color w:val="auto"/>
                      <w:szCs w:val="21"/>
                      <w:highlight w:val="none"/>
                    </w:rPr>
                  </w:pPr>
                  <w:r>
                    <w:rPr>
                      <w:color w:val="auto"/>
                      <w:szCs w:val="21"/>
                      <w:highlight w:val="none"/>
                    </w:rPr>
                    <w:t>新建</w:t>
                  </w:r>
                </w:p>
              </w:tc>
            </w:tr>
            <w:tr w14:paraId="03F883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62F82F17">
                  <w:pPr>
                    <w:adjustRightInd w:val="0"/>
                    <w:snapToGrid w:val="0"/>
                    <w:jc w:val="center"/>
                    <w:rPr>
                      <w:color w:val="auto"/>
                      <w:szCs w:val="21"/>
                      <w:highlight w:val="none"/>
                    </w:rPr>
                  </w:pPr>
                </w:p>
              </w:tc>
              <w:tc>
                <w:tcPr>
                  <w:tcW w:w="1230" w:type="dxa"/>
                  <w:gridSpan w:val="2"/>
                  <w:vMerge w:val="continue"/>
                  <w:tcBorders>
                    <w:tl2br w:val="nil"/>
                    <w:tr2bl w:val="nil"/>
                  </w:tcBorders>
                  <w:vAlign w:val="center"/>
                </w:tcPr>
                <w:p w14:paraId="492A2945">
                  <w:pPr>
                    <w:adjustRightInd w:val="0"/>
                    <w:snapToGrid w:val="0"/>
                    <w:jc w:val="center"/>
                    <w:rPr>
                      <w:color w:val="auto"/>
                      <w:szCs w:val="21"/>
                      <w:highlight w:val="none"/>
                    </w:rPr>
                  </w:pPr>
                </w:p>
              </w:tc>
              <w:tc>
                <w:tcPr>
                  <w:tcW w:w="5010" w:type="dxa"/>
                  <w:tcBorders>
                    <w:tl2br w:val="nil"/>
                    <w:tr2bl w:val="nil"/>
                  </w:tcBorders>
                  <w:vAlign w:val="center"/>
                </w:tcPr>
                <w:p w14:paraId="4932ADE4">
                  <w:pPr>
                    <w:widowControl/>
                    <w:jc w:val="center"/>
                    <w:rPr>
                      <w:color w:val="auto"/>
                      <w:szCs w:val="21"/>
                      <w:highlight w:val="none"/>
                    </w:rPr>
                  </w:pPr>
                  <w:r>
                    <w:rPr>
                      <w:color w:val="auto"/>
                      <w:szCs w:val="21"/>
                      <w:highlight w:val="none"/>
                    </w:rPr>
                    <w:t>厂外运输采用卡车运输</w:t>
                  </w:r>
                </w:p>
              </w:tc>
              <w:tc>
                <w:tcPr>
                  <w:tcW w:w="912" w:type="dxa"/>
                  <w:tcBorders>
                    <w:tl2br w:val="nil"/>
                    <w:tr2bl w:val="nil"/>
                  </w:tcBorders>
                  <w:vAlign w:val="center"/>
                </w:tcPr>
                <w:p w14:paraId="28D0204A">
                  <w:pPr>
                    <w:adjustRightInd w:val="0"/>
                    <w:snapToGrid w:val="0"/>
                    <w:jc w:val="center"/>
                    <w:rPr>
                      <w:color w:val="auto"/>
                      <w:szCs w:val="21"/>
                      <w:highlight w:val="none"/>
                    </w:rPr>
                  </w:pPr>
                  <w:r>
                    <w:rPr>
                      <w:color w:val="auto"/>
                      <w:szCs w:val="21"/>
                      <w:highlight w:val="none"/>
                    </w:rPr>
                    <w:t>新建</w:t>
                  </w:r>
                </w:p>
              </w:tc>
            </w:tr>
            <w:tr w14:paraId="279330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restart"/>
                  <w:tcBorders>
                    <w:tl2br w:val="nil"/>
                    <w:tr2bl w:val="nil"/>
                  </w:tcBorders>
                  <w:vAlign w:val="center"/>
                </w:tcPr>
                <w:p w14:paraId="27FB349C">
                  <w:pPr>
                    <w:adjustRightInd w:val="0"/>
                    <w:snapToGrid w:val="0"/>
                    <w:jc w:val="center"/>
                    <w:rPr>
                      <w:color w:val="auto"/>
                      <w:szCs w:val="21"/>
                      <w:highlight w:val="none"/>
                    </w:rPr>
                  </w:pPr>
                  <w:r>
                    <w:rPr>
                      <w:color w:val="auto"/>
                      <w:szCs w:val="21"/>
                      <w:highlight w:val="none"/>
                    </w:rPr>
                    <w:t>公用工程</w:t>
                  </w:r>
                </w:p>
              </w:tc>
              <w:tc>
                <w:tcPr>
                  <w:tcW w:w="1230" w:type="dxa"/>
                  <w:gridSpan w:val="2"/>
                  <w:tcBorders>
                    <w:tl2br w:val="nil"/>
                    <w:tr2bl w:val="nil"/>
                  </w:tcBorders>
                  <w:vAlign w:val="center"/>
                </w:tcPr>
                <w:p w14:paraId="58DB50DD">
                  <w:pPr>
                    <w:adjustRightInd w:val="0"/>
                    <w:snapToGrid w:val="0"/>
                    <w:jc w:val="center"/>
                    <w:rPr>
                      <w:color w:val="auto"/>
                      <w:szCs w:val="21"/>
                      <w:highlight w:val="none"/>
                    </w:rPr>
                  </w:pPr>
                  <w:r>
                    <w:rPr>
                      <w:color w:val="auto"/>
                      <w:szCs w:val="21"/>
                      <w:highlight w:val="none"/>
                    </w:rPr>
                    <w:t>给水</w:t>
                  </w:r>
                </w:p>
              </w:tc>
              <w:tc>
                <w:tcPr>
                  <w:tcW w:w="5010" w:type="dxa"/>
                  <w:tcBorders>
                    <w:tl2br w:val="nil"/>
                    <w:tr2bl w:val="nil"/>
                  </w:tcBorders>
                  <w:vAlign w:val="center"/>
                </w:tcPr>
                <w:p w14:paraId="18F00C30">
                  <w:pPr>
                    <w:adjustRightInd w:val="0"/>
                    <w:snapToGrid w:val="0"/>
                    <w:jc w:val="center"/>
                    <w:rPr>
                      <w:rFonts w:hint="default" w:eastAsia="宋体"/>
                      <w:color w:val="FF0000"/>
                      <w:szCs w:val="21"/>
                      <w:highlight w:val="none"/>
                      <w:lang w:val="en-US" w:eastAsia="zh-CN"/>
                    </w:rPr>
                  </w:pPr>
                  <w:r>
                    <w:rPr>
                      <w:rFonts w:hint="eastAsia"/>
                      <w:color w:val="FF0000"/>
                      <w:szCs w:val="21"/>
                      <w:highlight w:val="none"/>
                    </w:rPr>
                    <w:t>外购</w:t>
                  </w:r>
                  <w:r>
                    <w:rPr>
                      <w:rFonts w:hint="eastAsia"/>
                      <w:color w:val="FF0000"/>
                      <w:szCs w:val="21"/>
                      <w:highlight w:val="none"/>
                      <w:lang w:val="en-US" w:eastAsia="zh-CN"/>
                    </w:rPr>
                    <w:t>自来</w:t>
                  </w:r>
                  <w:r>
                    <w:rPr>
                      <w:rFonts w:hint="eastAsia"/>
                      <w:color w:val="FF0000"/>
                      <w:szCs w:val="21"/>
                      <w:highlight w:val="none"/>
                    </w:rPr>
                    <w:t>水提供</w:t>
                  </w:r>
                  <w:r>
                    <w:rPr>
                      <w:rFonts w:hint="eastAsia"/>
                      <w:color w:val="FF0000"/>
                      <w:szCs w:val="21"/>
                      <w:highlight w:val="none"/>
                      <w:lang w:eastAsia="zh-CN"/>
                    </w:rPr>
                    <w:t>，</w:t>
                  </w:r>
                  <w:r>
                    <w:rPr>
                      <w:rFonts w:hint="eastAsia"/>
                      <w:color w:val="FF0000"/>
                      <w:szCs w:val="21"/>
                      <w:highlight w:val="none"/>
                      <w:lang w:val="en-US" w:eastAsia="zh-CN"/>
                    </w:rPr>
                    <w:t>厂区内设置水箱，容积10m</w:t>
                  </w:r>
                  <w:r>
                    <w:rPr>
                      <w:rFonts w:hint="eastAsia"/>
                      <w:color w:val="FF0000"/>
                      <w:szCs w:val="21"/>
                      <w:highlight w:val="none"/>
                      <w:vertAlign w:val="superscript"/>
                      <w:lang w:val="en-US" w:eastAsia="zh-CN"/>
                    </w:rPr>
                    <w:t>3</w:t>
                  </w:r>
                </w:p>
              </w:tc>
              <w:tc>
                <w:tcPr>
                  <w:tcW w:w="912" w:type="dxa"/>
                  <w:tcBorders>
                    <w:tl2br w:val="nil"/>
                    <w:tr2bl w:val="nil"/>
                  </w:tcBorders>
                  <w:vAlign w:val="center"/>
                </w:tcPr>
                <w:p w14:paraId="5D4D3A2F">
                  <w:pPr>
                    <w:adjustRightInd w:val="0"/>
                    <w:snapToGrid w:val="0"/>
                    <w:jc w:val="center"/>
                    <w:rPr>
                      <w:rFonts w:hint="eastAsia"/>
                      <w:color w:val="FF0000"/>
                      <w:szCs w:val="21"/>
                      <w:highlight w:val="none"/>
                    </w:rPr>
                  </w:pPr>
                  <w:r>
                    <w:rPr>
                      <w:color w:val="FF0000"/>
                      <w:szCs w:val="21"/>
                      <w:highlight w:val="none"/>
                    </w:rPr>
                    <w:t>新建</w:t>
                  </w:r>
                </w:p>
              </w:tc>
            </w:tr>
            <w:tr w14:paraId="49C226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57F0F1E1">
                  <w:pPr>
                    <w:adjustRightInd w:val="0"/>
                    <w:snapToGrid w:val="0"/>
                    <w:jc w:val="center"/>
                    <w:rPr>
                      <w:color w:val="auto"/>
                      <w:szCs w:val="21"/>
                      <w:highlight w:val="none"/>
                    </w:rPr>
                  </w:pPr>
                </w:p>
              </w:tc>
              <w:tc>
                <w:tcPr>
                  <w:tcW w:w="1230" w:type="dxa"/>
                  <w:gridSpan w:val="2"/>
                  <w:tcBorders>
                    <w:tl2br w:val="nil"/>
                    <w:tr2bl w:val="nil"/>
                  </w:tcBorders>
                  <w:vAlign w:val="center"/>
                </w:tcPr>
                <w:p w14:paraId="6A988570">
                  <w:pPr>
                    <w:adjustRightInd w:val="0"/>
                    <w:snapToGrid w:val="0"/>
                    <w:jc w:val="center"/>
                    <w:rPr>
                      <w:color w:val="auto"/>
                      <w:szCs w:val="21"/>
                      <w:highlight w:val="none"/>
                    </w:rPr>
                  </w:pPr>
                  <w:r>
                    <w:rPr>
                      <w:rFonts w:hint="eastAsia"/>
                      <w:color w:val="auto"/>
                      <w:szCs w:val="21"/>
                      <w:highlight w:val="none"/>
                    </w:rPr>
                    <w:t>排水</w:t>
                  </w:r>
                </w:p>
              </w:tc>
              <w:tc>
                <w:tcPr>
                  <w:tcW w:w="5010" w:type="dxa"/>
                  <w:tcBorders>
                    <w:tl2br w:val="nil"/>
                    <w:tr2bl w:val="nil"/>
                  </w:tcBorders>
                  <w:vAlign w:val="center"/>
                </w:tcPr>
                <w:p w14:paraId="68918ADD">
                  <w:pPr>
                    <w:adjustRightInd w:val="0"/>
                    <w:snapToGrid w:val="0"/>
                    <w:rPr>
                      <w:color w:val="auto"/>
                      <w:szCs w:val="21"/>
                      <w:highlight w:val="none"/>
                    </w:rPr>
                  </w:pPr>
                  <w:r>
                    <w:rPr>
                      <w:rFonts w:hint="eastAsia"/>
                      <w:color w:val="FF0000"/>
                      <w:szCs w:val="21"/>
                      <w:highlight w:val="none"/>
                      <w:lang w:val="en-US" w:eastAsia="zh-CN"/>
                    </w:rPr>
                    <w:t>本项目雨污分流，雨水经边沟流淌至厂外，</w:t>
                  </w:r>
                  <w:r>
                    <w:rPr>
                      <w:color w:val="auto"/>
                      <w:szCs w:val="21"/>
                      <w:highlight w:val="none"/>
                    </w:rPr>
                    <w:t>运输车辆清洗废水经沉淀池沉淀后循环使用不外排；洒水抑尘用水以自然形式全部蒸发，无生产废水产生</w:t>
                  </w:r>
                </w:p>
              </w:tc>
              <w:tc>
                <w:tcPr>
                  <w:tcW w:w="912" w:type="dxa"/>
                  <w:tcBorders>
                    <w:tl2br w:val="nil"/>
                    <w:tr2bl w:val="nil"/>
                  </w:tcBorders>
                  <w:vAlign w:val="center"/>
                </w:tcPr>
                <w:p w14:paraId="4893A132">
                  <w:pPr>
                    <w:adjustRightInd w:val="0"/>
                    <w:snapToGrid w:val="0"/>
                    <w:jc w:val="center"/>
                    <w:rPr>
                      <w:color w:val="auto"/>
                      <w:szCs w:val="21"/>
                      <w:highlight w:val="none"/>
                    </w:rPr>
                  </w:pPr>
                  <w:r>
                    <w:rPr>
                      <w:color w:val="auto"/>
                      <w:szCs w:val="21"/>
                      <w:highlight w:val="none"/>
                    </w:rPr>
                    <w:t>新建</w:t>
                  </w:r>
                </w:p>
              </w:tc>
            </w:tr>
            <w:tr w14:paraId="3DB6A87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178EA86E">
                  <w:pPr>
                    <w:adjustRightInd w:val="0"/>
                    <w:snapToGrid w:val="0"/>
                    <w:jc w:val="center"/>
                    <w:rPr>
                      <w:color w:val="auto"/>
                      <w:szCs w:val="21"/>
                      <w:highlight w:val="none"/>
                    </w:rPr>
                  </w:pPr>
                </w:p>
              </w:tc>
              <w:tc>
                <w:tcPr>
                  <w:tcW w:w="1230" w:type="dxa"/>
                  <w:gridSpan w:val="2"/>
                  <w:tcBorders>
                    <w:tl2br w:val="nil"/>
                    <w:tr2bl w:val="nil"/>
                  </w:tcBorders>
                  <w:vAlign w:val="center"/>
                </w:tcPr>
                <w:p w14:paraId="50558E9B">
                  <w:pPr>
                    <w:adjustRightInd w:val="0"/>
                    <w:snapToGrid w:val="0"/>
                    <w:jc w:val="center"/>
                    <w:rPr>
                      <w:color w:val="auto"/>
                      <w:szCs w:val="21"/>
                      <w:highlight w:val="none"/>
                    </w:rPr>
                  </w:pPr>
                  <w:r>
                    <w:rPr>
                      <w:color w:val="auto"/>
                      <w:szCs w:val="21"/>
                      <w:highlight w:val="none"/>
                    </w:rPr>
                    <w:t>供电</w:t>
                  </w:r>
                </w:p>
              </w:tc>
              <w:tc>
                <w:tcPr>
                  <w:tcW w:w="5010" w:type="dxa"/>
                  <w:tcBorders>
                    <w:tl2br w:val="nil"/>
                    <w:tr2bl w:val="nil"/>
                  </w:tcBorders>
                  <w:vAlign w:val="center"/>
                </w:tcPr>
                <w:p w14:paraId="6D808C92">
                  <w:pPr>
                    <w:adjustRightInd w:val="0"/>
                    <w:snapToGrid w:val="0"/>
                    <w:jc w:val="center"/>
                    <w:rPr>
                      <w:color w:val="auto"/>
                      <w:szCs w:val="21"/>
                      <w:highlight w:val="none"/>
                    </w:rPr>
                  </w:pPr>
                  <w:r>
                    <w:rPr>
                      <w:color w:val="auto"/>
                      <w:szCs w:val="21"/>
                      <w:highlight w:val="none"/>
                    </w:rPr>
                    <w:t>市政电网</w:t>
                  </w:r>
                </w:p>
              </w:tc>
              <w:tc>
                <w:tcPr>
                  <w:tcW w:w="912" w:type="dxa"/>
                  <w:tcBorders>
                    <w:tl2br w:val="nil"/>
                    <w:tr2bl w:val="nil"/>
                  </w:tcBorders>
                  <w:vAlign w:val="center"/>
                </w:tcPr>
                <w:p w14:paraId="70C68C80">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依托</w:t>
                  </w:r>
                </w:p>
              </w:tc>
            </w:tr>
            <w:tr w14:paraId="266C97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3" w:type="dxa"/>
                  <w:vMerge w:val="continue"/>
                  <w:tcBorders>
                    <w:tl2br w:val="nil"/>
                    <w:tr2bl w:val="nil"/>
                  </w:tcBorders>
                  <w:vAlign w:val="center"/>
                </w:tcPr>
                <w:p w14:paraId="309192BE">
                  <w:pPr>
                    <w:adjustRightInd w:val="0"/>
                    <w:snapToGrid w:val="0"/>
                    <w:jc w:val="center"/>
                    <w:rPr>
                      <w:color w:val="auto"/>
                      <w:szCs w:val="21"/>
                      <w:highlight w:val="none"/>
                    </w:rPr>
                  </w:pPr>
                </w:p>
              </w:tc>
              <w:tc>
                <w:tcPr>
                  <w:tcW w:w="1230" w:type="dxa"/>
                  <w:gridSpan w:val="2"/>
                  <w:tcBorders>
                    <w:tl2br w:val="nil"/>
                    <w:tr2bl w:val="nil"/>
                  </w:tcBorders>
                  <w:vAlign w:val="center"/>
                </w:tcPr>
                <w:p w14:paraId="3060CEA9">
                  <w:pPr>
                    <w:adjustRightInd w:val="0"/>
                    <w:snapToGrid w:val="0"/>
                    <w:jc w:val="center"/>
                    <w:rPr>
                      <w:color w:val="auto"/>
                      <w:szCs w:val="21"/>
                      <w:highlight w:val="none"/>
                    </w:rPr>
                  </w:pPr>
                  <w:r>
                    <w:rPr>
                      <w:color w:val="auto"/>
                      <w:szCs w:val="21"/>
                      <w:highlight w:val="none"/>
                    </w:rPr>
                    <w:t>供暖</w:t>
                  </w:r>
                </w:p>
              </w:tc>
              <w:tc>
                <w:tcPr>
                  <w:tcW w:w="5010" w:type="dxa"/>
                  <w:tcBorders>
                    <w:tl2br w:val="nil"/>
                    <w:tr2bl w:val="nil"/>
                  </w:tcBorders>
                  <w:vAlign w:val="center"/>
                </w:tcPr>
                <w:p w14:paraId="42EAD094">
                  <w:pPr>
                    <w:adjustRightInd w:val="0"/>
                    <w:snapToGrid w:val="0"/>
                    <w:jc w:val="center"/>
                    <w:rPr>
                      <w:color w:val="auto"/>
                      <w:szCs w:val="21"/>
                      <w:highlight w:val="none"/>
                    </w:rPr>
                  </w:pPr>
                  <w:r>
                    <w:rPr>
                      <w:color w:val="auto"/>
                      <w:szCs w:val="21"/>
                      <w:highlight w:val="none"/>
                    </w:rPr>
                    <w:t>冬季</w:t>
                  </w:r>
                  <w:r>
                    <w:rPr>
                      <w:rFonts w:hint="eastAsia"/>
                      <w:color w:val="auto"/>
                      <w:szCs w:val="21"/>
                      <w:highlight w:val="none"/>
                      <w:lang w:val="en-US" w:eastAsia="zh-CN"/>
                    </w:rPr>
                    <w:t>不</w:t>
                  </w:r>
                  <w:r>
                    <w:rPr>
                      <w:color w:val="auto"/>
                      <w:szCs w:val="21"/>
                      <w:highlight w:val="none"/>
                    </w:rPr>
                    <w:t>生产</w:t>
                  </w:r>
                  <w:r>
                    <w:rPr>
                      <w:rFonts w:hint="eastAsia"/>
                      <w:color w:val="auto"/>
                      <w:szCs w:val="21"/>
                      <w:highlight w:val="none"/>
                      <w:lang w:eastAsia="zh-CN"/>
                    </w:rPr>
                    <w:t>，</w:t>
                  </w:r>
                  <w:r>
                    <w:rPr>
                      <w:color w:val="auto"/>
                      <w:szCs w:val="21"/>
                      <w:highlight w:val="none"/>
                    </w:rPr>
                    <w:t>无需供暖</w:t>
                  </w:r>
                </w:p>
              </w:tc>
              <w:tc>
                <w:tcPr>
                  <w:tcW w:w="912" w:type="dxa"/>
                  <w:tcBorders>
                    <w:tl2br w:val="nil"/>
                    <w:tr2bl w:val="nil"/>
                  </w:tcBorders>
                  <w:vAlign w:val="center"/>
                </w:tcPr>
                <w:p w14:paraId="26F3C1FF">
                  <w:pPr>
                    <w:adjustRightInd w:val="0"/>
                    <w:snapToGrid w:val="0"/>
                    <w:jc w:val="center"/>
                    <w:rPr>
                      <w:rFonts w:hint="eastAsia" w:eastAsia="宋体"/>
                      <w:color w:val="auto"/>
                      <w:szCs w:val="21"/>
                      <w:highlight w:val="none"/>
                      <w:lang w:val="en-US" w:eastAsia="zh-CN"/>
                    </w:rPr>
                  </w:pPr>
                  <w:r>
                    <w:rPr>
                      <w:rFonts w:hint="eastAsia"/>
                      <w:color w:val="auto"/>
                      <w:szCs w:val="21"/>
                      <w:highlight w:val="none"/>
                      <w:lang w:val="en-US" w:eastAsia="zh-CN"/>
                    </w:rPr>
                    <w:t>/</w:t>
                  </w:r>
                </w:p>
              </w:tc>
            </w:tr>
            <w:tr w14:paraId="4DA33BB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783" w:type="dxa"/>
                  <w:vMerge w:val="restart"/>
                  <w:tcBorders>
                    <w:tl2br w:val="nil"/>
                    <w:tr2bl w:val="nil"/>
                  </w:tcBorders>
                  <w:vAlign w:val="center"/>
                </w:tcPr>
                <w:p w14:paraId="5DFCC595">
                  <w:pPr>
                    <w:adjustRightInd w:val="0"/>
                    <w:snapToGrid w:val="0"/>
                    <w:jc w:val="center"/>
                    <w:rPr>
                      <w:color w:val="auto"/>
                      <w:szCs w:val="21"/>
                      <w:highlight w:val="none"/>
                    </w:rPr>
                  </w:pPr>
                  <w:r>
                    <w:rPr>
                      <w:color w:val="auto"/>
                      <w:szCs w:val="21"/>
                      <w:highlight w:val="none"/>
                    </w:rPr>
                    <w:t>环保工程</w:t>
                  </w:r>
                </w:p>
              </w:tc>
              <w:tc>
                <w:tcPr>
                  <w:tcW w:w="493" w:type="dxa"/>
                  <w:vMerge w:val="restart"/>
                  <w:tcBorders>
                    <w:tl2br w:val="nil"/>
                    <w:tr2bl w:val="nil"/>
                  </w:tcBorders>
                  <w:vAlign w:val="center"/>
                </w:tcPr>
                <w:p w14:paraId="4D50CC36">
                  <w:pPr>
                    <w:adjustRightInd w:val="0"/>
                    <w:snapToGrid w:val="0"/>
                    <w:jc w:val="center"/>
                    <w:rPr>
                      <w:color w:val="auto"/>
                      <w:szCs w:val="21"/>
                      <w:highlight w:val="none"/>
                    </w:rPr>
                  </w:pPr>
                  <w:r>
                    <w:rPr>
                      <w:color w:val="auto"/>
                      <w:szCs w:val="21"/>
                      <w:highlight w:val="none"/>
                    </w:rPr>
                    <w:t>废</w:t>
                  </w:r>
                </w:p>
                <w:p w14:paraId="30AC59AD">
                  <w:pPr>
                    <w:adjustRightInd w:val="0"/>
                    <w:snapToGrid w:val="0"/>
                    <w:jc w:val="center"/>
                    <w:rPr>
                      <w:color w:val="auto"/>
                      <w:szCs w:val="21"/>
                      <w:highlight w:val="none"/>
                    </w:rPr>
                  </w:pPr>
                  <w:r>
                    <w:rPr>
                      <w:color w:val="auto"/>
                      <w:szCs w:val="21"/>
                      <w:highlight w:val="none"/>
                    </w:rPr>
                    <w:t>气</w:t>
                  </w:r>
                </w:p>
              </w:tc>
              <w:tc>
                <w:tcPr>
                  <w:tcW w:w="737" w:type="dxa"/>
                  <w:tcBorders>
                    <w:tl2br w:val="nil"/>
                    <w:tr2bl w:val="nil"/>
                  </w:tcBorders>
                  <w:vAlign w:val="center"/>
                </w:tcPr>
                <w:p w14:paraId="22E01529">
                  <w:pPr>
                    <w:adjustRightInd w:val="0"/>
                    <w:snapToGrid w:val="0"/>
                    <w:jc w:val="center"/>
                    <w:rPr>
                      <w:color w:val="auto"/>
                      <w:szCs w:val="21"/>
                      <w:highlight w:val="none"/>
                    </w:rPr>
                  </w:pPr>
                  <w:r>
                    <w:rPr>
                      <w:color w:val="auto"/>
                      <w:szCs w:val="21"/>
                      <w:highlight w:val="none"/>
                    </w:rPr>
                    <w:t>有</w:t>
                  </w:r>
                </w:p>
                <w:p w14:paraId="2BE2A0A8">
                  <w:pPr>
                    <w:adjustRightInd w:val="0"/>
                    <w:snapToGrid w:val="0"/>
                    <w:jc w:val="center"/>
                    <w:rPr>
                      <w:color w:val="auto"/>
                      <w:szCs w:val="21"/>
                      <w:highlight w:val="none"/>
                    </w:rPr>
                  </w:pPr>
                  <w:r>
                    <w:rPr>
                      <w:color w:val="auto"/>
                      <w:szCs w:val="21"/>
                      <w:highlight w:val="none"/>
                    </w:rPr>
                    <w:t>组</w:t>
                  </w:r>
                </w:p>
                <w:p w14:paraId="7205B704">
                  <w:pPr>
                    <w:adjustRightInd w:val="0"/>
                    <w:snapToGrid w:val="0"/>
                    <w:jc w:val="center"/>
                    <w:rPr>
                      <w:color w:val="auto"/>
                      <w:szCs w:val="21"/>
                      <w:highlight w:val="none"/>
                    </w:rPr>
                  </w:pPr>
                  <w:r>
                    <w:rPr>
                      <w:color w:val="auto"/>
                      <w:szCs w:val="21"/>
                      <w:highlight w:val="none"/>
                    </w:rPr>
                    <w:t>织</w:t>
                  </w:r>
                </w:p>
              </w:tc>
              <w:tc>
                <w:tcPr>
                  <w:tcW w:w="5010" w:type="dxa"/>
                  <w:tcBorders>
                    <w:tl2br w:val="nil"/>
                    <w:tr2bl w:val="nil"/>
                  </w:tcBorders>
                  <w:vAlign w:val="center"/>
                </w:tcPr>
                <w:p w14:paraId="45F4BB9B">
                  <w:pPr>
                    <w:adjustRightInd w:val="0"/>
                    <w:snapToGrid w:val="0"/>
                    <w:rPr>
                      <w:color w:val="auto"/>
                      <w:szCs w:val="21"/>
                      <w:highlight w:val="none"/>
                    </w:rPr>
                  </w:pPr>
                  <w:r>
                    <w:rPr>
                      <w:rFonts w:hint="eastAsia"/>
                      <w:color w:val="auto"/>
                      <w:sz w:val="21"/>
                      <w:szCs w:val="21"/>
                      <w:highlight w:val="none"/>
                    </w:rPr>
                    <w:t>卸料、破碎、筛分</w:t>
                  </w:r>
                  <w:r>
                    <w:rPr>
                      <w:color w:val="auto"/>
                      <w:sz w:val="21"/>
                      <w:szCs w:val="21"/>
                      <w:highlight w:val="none"/>
                    </w:rPr>
                    <w:t>工序产生的粉尘经</w:t>
                  </w:r>
                  <w:r>
                    <w:rPr>
                      <w:rFonts w:hint="eastAsia"/>
                      <w:color w:val="auto"/>
                      <w:sz w:val="21"/>
                      <w:szCs w:val="21"/>
                      <w:highlight w:val="none"/>
                    </w:rPr>
                    <w:t>集气罩收集，</w:t>
                  </w:r>
                  <w:r>
                    <w:rPr>
                      <w:rFonts w:hint="eastAsia"/>
                      <w:color w:val="auto"/>
                      <w:sz w:val="21"/>
                      <w:szCs w:val="21"/>
                      <w:highlight w:val="none"/>
                      <w:lang w:val="en-US" w:eastAsia="zh-CN"/>
                    </w:rPr>
                    <w:t>生产车</w:t>
                  </w:r>
                  <w:r>
                    <w:rPr>
                      <w:rFonts w:hint="eastAsia"/>
                      <w:color w:val="auto"/>
                      <w:sz w:val="21"/>
                      <w:szCs w:val="21"/>
                      <w:highlight w:val="none"/>
                    </w:rPr>
                    <w:t>间均</w:t>
                  </w:r>
                  <w:r>
                    <w:rPr>
                      <w:color w:val="auto"/>
                      <w:sz w:val="21"/>
                      <w:szCs w:val="21"/>
                      <w:highlight w:val="none"/>
                    </w:rPr>
                    <w:t>位于</w:t>
                  </w:r>
                  <w:r>
                    <w:rPr>
                      <w:rFonts w:hint="eastAsia"/>
                      <w:color w:val="auto"/>
                      <w:sz w:val="21"/>
                      <w:szCs w:val="21"/>
                      <w:highlight w:val="none"/>
                      <w:lang w:val="en-US" w:eastAsia="zh-CN"/>
                    </w:rPr>
                    <w:t>全</w:t>
                  </w:r>
                  <w:r>
                    <w:rPr>
                      <w:color w:val="auto"/>
                      <w:sz w:val="21"/>
                      <w:szCs w:val="21"/>
                      <w:highlight w:val="none"/>
                    </w:rPr>
                    <w:t>封闭车间</w:t>
                  </w:r>
                  <w:r>
                    <w:rPr>
                      <w:rFonts w:hint="eastAsia"/>
                      <w:color w:val="auto"/>
                      <w:sz w:val="21"/>
                      <w:szCs w:val="21"/>
                      <w:highlight w:val="none"/>
                    </w:rPr>
                    <w:t>、采用全封闭皮带廊连接，经袋式</w:t>
                  </w:r>
                  <w:r>
                    <w:rPr>
                      <w:color w:val="auto"/>
                      <w:sz w:val="21"/>
                      <w:szCs w:val="21"/>
                      <w:highlight w:val="none"/>
                    </w:rPr>
                    <w:t>除尘器处理达标后，经1根15</w:t>
                  </w:r>
                  <w:r>
                    <w:rPr>
                      <w:rFonts w:hint="eastAsia"/>
                      <w:color w:val="auto"/>
                      <w:sz w:val="21"/>
                      <w:szCs w:val="21"/>
                      <w:highlight w:val="none"/>
                    </w:rPr>
                    <w:t>m</w:t>
                  </w:r>
                  <w:r>
                    <w:rPr>
                      <w:color w:val="auto"/>
                      <w:sz w:val="21"/>
                      <w:szCs w:val="21"/>
                      <w:highlight w:val="none"/>
                    </w:rPr>
                    <w:t>高排气筒DA001排放</w:t>
                  </w:r>
                </w:p>
              </w:tc>
              <w:tc>
                <w:tcPr>
                  <w:tcW w:w="912" w:type="dxa"/>
                  <w:tcBorders>
                    <w:tl2br w:val="nil"/>
                    <w:tr2bl w:val="nil"/>
                  </w:tcBorders>
                  <w:vAlign w:val="center"/>
                </w:tcPr>
                <w:p w14:paraId="0C7D2D63">
                  <w:pPr>
                    <w:adjustRightInd w:val="0"/>
                    <w:snapToGrid w:val="0"/>
                    <w:jc w:val="center"/>
                    <w:rPr>
                      <w:rFonts w:hint="eastAsia"/>
                      <w:color w:val="auto"/>
                      <w:szCs w:val="21"/>
                      <w:highlight w:val="none"/>
                    </w:rPr>
                  </w:pPr>
                  <w:r>
                    <w:rPr>
                      <w:color w:val="auto"/>
                      <w:szCs w:val="21"/>
                      <w:highlight w:val="none"/>
                    </w:rPr>
                    <w:t>新建</w:t>
                  </w:r>
                </w:p>
              </w:tc>
            </w:tr>
            <w:tr w14:paraId="36506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4" w:hRule="atLeast"/>
              </w:trPr>
              <w:tc>
                <w:tcPr>
                  <w:tcW w:w="783" w:type="dxa"/>
                  <w:vMerge w:val="continue"/>
                  <w:tcBorders>
                    <w:tl2br w:val="nil"/>
                    <w:tr2bl w:val="nil"/>
                  </w:tcBorders>
                  <w:vAlign w:val="center"/>
                </w:tcPr>
                <w:p w14:paraId="50448F9F">
                  <w:pPr>
                    <w:widowControl/>
                    <w:jc w:val="center"/>
                    <w:rPr>
                      <w:color w:val="auto"/>
                      <w:szCs w:val="21"/>
                      <w:highlight w:val="none"/>
                    </w:rPr>
                  </w:pPr>
                </w:p>
              </w:tc>
              <w:tc>
                <w:tcPr>
                  <w:tcW w:w="493" w:type="dxa"/>
                  <w:vMerge w:val="continue"/>
                  <w:tcBorders>
                    <w:tl2br w:val="nil"/>
                    <w:tr2bl w:val="nil"/>
                  </w:tcBorders>
                  <w:vAlign w:val="center"/>
                </w:tcPr>
                <w:p w14:paraId="69D57B3E">
                  <w:pPr>
                    <w:widowControl/>
                    <w:jc w:val="center"/>
                    <w:rPr>
                      <w:color w:val="auto"/>
                      <w:szCs w:val="21"/>
                      <w:highlight w:val="none"/>
                    </w:rPr>
                  </w:pPr>
                </w:p>
              </w:tc>
              <w:tc>
                <w:tcPr>
                  <w:tcW w:w="737" w:type="dxa"/>
                  <w:tcBorders>
                    <w:tl2br w:val="nil"/>
                    <w:tr2bl w:val="nil"/>
                  </w:tcBorders>
                  <w:vAlign w:val="center"/>
                </w:tcPr>
                <w:p w14:paraId="22487D0B">
                  <w:pPr>
                    <w:widowControl/>
                    <w:jc w:val="center"/>
                    <w:rPr>
                      <w:color w:val="auto"/>
                      <w:szCs w:val="21"/>
                      <w:highlight w:val="none"/>
                    </w:rPr>
                  </w:pPr>
                  <w:r>
                    <w:rPr>
                      <w:color w:val="auto"/>
                      <w:szCs w:val="21"/>
                      <w:highlight w:val="none"/>
                    </w:rPr>
                    <w:t>无</w:t>
                  </w:r>
                </w:p>
                <w:p w14:paraId="5133049A">
                  <w:pPr>
                    <w:widowControl/>
                    <w:jc w:val="center"/>
                    <w:rPr>
                      <w:color w:val="auto"/>
                      <w:szCs w:val="21"/>
                      <w:highlight w:val="none"/>
                    </w:rPr>
                  </w:pPr>
                  <w:r>
                    <w:rPr>
                      <w:color w:val="auto"/>
                      <w:szCs w:val="21"/>
                      <w:highlight w:val="none"/>
                    </w:rPr>
                    <w:t>组</w:t>
                  </w:r>
                </w:p>
                <w:p w14:paraId="4BED7958">
                  <w:pPr>
                    <w:widowControl/>
                    <w:jc w:val="center"/>
                    <w:rPr>
                      <w:color w:val="auto"/>
                      <w:szCs w:val="21"/>
                      <w:highlight w:val="none"/>
                    </w:rPr>
                  </w:pPr>
                  <w:r>
                    <w:rPr>
                      <w:color w:val="auto"/>
                      <w:szCs w:val="21"/>
                      <w:highlight w:val="none"/>
                    </w:rPr>
                    <w:t>织</w:t>
                  </w:r>
                </w:p>
              </w:tc>
              <w:tc>
                <w:tcPr>
                  <w:tcW w:w="5010" w:type="dxa"/>
                  <w:tcBorders>
                    <w:tl2br w:val="nil"/>
                    <w:tr2bl w:val="nil"/>
                  </w:tcBorders>
                  <w:vAlign w:val="center"/>
                </w:tcPr>
                <w:p w14:paraId="34670C37">
                  <w:pPr>
                    <w:widowControl/>
                    <w:rPr>
                      <w:color w:val="auto"/>
                      <w:szCs w:val="21"/>
                      <w:highlight w:val="none"/>
                    </w:rPr>
                  </w:pPr>
                  <w:r>
                    <w:rPr>
                      <w:rFonts w:hint="eastAsia"/>
                      <w:color w:val="FF0000"/>
                      <w:szCs w:val="21"/>
                      <w:highlight w:val="none"/>
                    </w:rPr>
                    <w:t>厂区出入口设置车辆清洗平台；</w:t>
                  </w:r>
                  <w:r>
                    <w:rPr>
                      <w:rFonts w:hint="eastAsia"/>
                      <w:color w:val="FF0000"/>
                      <w:szCs w:val="21"/>
                      <w:highlight w:val="none"/>
                      <w:lang w:val="en-US" w:eastAsia="zh-CN"/>
                    </w:rPr>
                    <w:t>原料区设置顶棚四周设置5m高围挡，</w:t>
                  </w:r>
                  <w:r>
                    <w:rPr>
                      <w:rFonts w:hint="eastAsia"/>
                      <w:color w:val="auto"/>
                      <w:szCs w:val="21"/>
                      <w:highlight w:val="none"/>
                      <w:lang w:val="en-US" w:eastAsia="zh-CN"/>
                    </w:rPr>
                    <w:t>围挡与顶棚连接采取防尘网、</w:t>
                  </w:r>
                  <w:r>
                    <w:rPr>
                      <w:rFonts w:hint="eastAsia"/>
                      <w:color w:val="FF0000"/>
                      <w:szCs w:val="21"/>
                      <w:highlight w:val="none"/>
                      <w:lang w:val="en-US" w:eastAsia="zh-CN"/>
                    </w:rPr>
                    <w:t>采取地面硬化</w:t>
                  </w:r>
                  <w:r>
                    <w:rPr>
                      <w:rFonts w:hint="eastAsia"/>
                      <w:color w:val="FF0000"/>
                      <w:szCs w:val="21"/>
                      <w:highlight w:val="none"/>
                      <w:lang w:eastAsia="zh-CN"/>
                    </w:rPr>
                    <w:t>，</w:t>
                  </w:r>
                  <w:r>
                    <w:rPr>
                      <w:rFonts w:hint="eastAsia"/>
                      <w:color w:val="FF0000"/>
                      <w:szCs w:val="21"/>
                      <w:highlight w:val="none"/>
                    </w:rPr>
                    <w:t>生产车间、成品库全封闭，</w:t>
                  </w:r>
                  <w:r>
                    <w:rPr>
                      <w:rFonts w:hint="eastAsia"/>
                      <w:color w:val="FF0000"/>
                      <w:szCs w:val="21"/>
                      <w:highlight w:val="none"/>
                      <w:lang w:val="en-US" w:eastAsia="zh-CN"/>
                    </w:rPr>
                    <w:t>分别设置一台雾炮机抑尘</w:t>
                  </w:r>
                  <w:r>
                    <w:rPr>
                      <w:rFonts w:hint="eastAsia"/>
                      <w:color w:val="FF0000"/>
                      <w:szCs w:val="21"/>
                      <w:highlight w:val="none"/>
                    </w:rPr>
                    <w:t>；</w:t>
                  </w:r>
                  <w:r>
                    <w:rPr>
                      <w:rFonts w:hint="eastAsia"/>
                      <w:color w:val="FF0000"/>
                      <w:szCs w:val="21"/>
                      <w:highlight w:val="none"/>
                      <w:lang w:val="en-US" w:eastAsia="zh-CN"/>
                    </w:rPr>
                    <w:t>给料机上方设置喷淋抑尘装置；</w:t>
                  </w:r>
                  <w:r>
                    <w:rPr>
                      <w:rFonts w:hint="eastAsia"/>
                      <w:color w:val="auto"/>
                      <w:szCs w:val="21"/>
                      <w:highlight w:val="none"/>
                    </w:rPr>
                    <w:t>传送皮带廊全封闭；</w:t>
                  </w:r>
                  <w:r>
                    <w:rPr>
                      <w:color w:val="auto"/>
                      <w:szCs w:val="21"/>
                      <w:highlight w:val="none"/>
                    </w:rPr>
                    <w:t>运输</w:t>
                  </w:r>
                  <w:r>
                    <w:rPr>
                      <w:rFonts w:hint="eastAsia"/>
                      <w:color w:val="auto"/>
                      <w:szCs w:val="21"/>
                      <w:highlight w:val="none"/>
                      <w:lang w:val="en-US" w:eastAsia="zh-CN"/>
                    </w:rPr>
                    <w:t>物料</w:t>
                  </w:r>
                  <w:r>
                    <w:rPr>
                      <w:color w:val="auto"/>
                      <w:szCs w:val="21"/>
                      <w:highlight w:val="none"/>
                    </w:rPr>
                    <w:t>的车辆必须加盖苫布</w:t>
                  </w:r>
                  <w:r>
                    <w:rPr>
                      <w:rFonts w:hint="eastAsia"/>
                      <w:color w:val="auto"/>
                      <w:szCs w:val="21"/>
                      <w:highlight w:val="none"/>
                    </w:rPr>
                    <w:t>；</w:t>
                  </w:r>
                  <w:r>
                    <w:rPr>
                      <w:rFonts w:hint="eastAsia"/>
                      <w:color w:val="auto"/>
                      <w:szCs w:val="21"/>
                      <w:highlight w:val="none"/>
                      <w:lang w:val="en-US" w:eastAsia="zh-CN"/>
                    </w:rPr>
                    <w:t>厂房</w:t>
                  </w:r>
                  <w:r>
                    <w:rPr>
                      <w:color w:val="auto"/>
                      <w:szCs w:val="21"/>
                      <w:highlight w:val="none"/>
                    </w:rPr>
                    <w:t>地面</w:t>
                  </w:r>
                  <w:r>
                    <w:rPr>
                      <w:rFonts w:hint="eastAsia"/>
                      <w:color w:val="auto"/>
                      <w:szCs w:val="21"/>
                      <w:highlight w:val="none"/>
                      <w:lang w:val="en-US" w:eastAsia="zh-CN"/>
                    </w:rPr>
                    <w:t>和厂区内路面</w:t>
                  </w:r>
                  <w:r>
                    <w:rPr>
                      <w:color w:val="auto"/>
                      <w:szCs w:val="21"/>
                      <w:highlight w:val="none"/>
                    </w:rPr>
                    <w:t>硬化。</w:t>
                  </w:r>
                </w:p>
              </w:tc>
              <w:tc>
                <w:tcPr>
                  <w:tcW w:w="912" w:type="dxa"/>
                  <w:tcBorders>
                    <w:tl2br w:val="nil"/>
                    <w:tr2bl w:val="nil"/>
                  </w:tcBorders>
                  <w:vAlign w:val="center"/>
                </w:tcPr>
                <w:p w14:paraId="6FBD4044">
                  <w:pPr>
                    <w:widowControl/>
                    <w:jc w:val="center"/>
                    <w:rPr>
                      <w:rFonts w:hint="eastAsia"/>
                      <w:color w:val="auto"/>
                      <w:szCs w:val="21"/>
                      <w:highlight w:val="none"/>
                    </w:rPr>
                  </w:pPr>
                  <w:r>
                    <w:rPr>
                      <w:color w:val="auto"/>
                      <w:szCs w:val="21"/>
                      <w:highlight w:val="none"/>
                    </w:rPr>
                    <w:t>新建</w:t>
                  </w:r>
                </w:p>
              </w:tc>
            </w:tr>
            <w:tr w14:paraId="6FB06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93" w:hRule="atLeast"/>
              </w:trPr>
              <w:tc>
                <w:tcPr>
                  <w:tcW w:w="783" w:type="dxa"/>
                  <w:vMerge w:val="continue"/>
                  <w:tcBorders>
                    <w:tl2br w:val="nil"/>
                    <w:tr2bl w:val="nil"/>
                  </w:tcBorders>
                  <w:vAlign w:val="center"/>
                </w:tcPr>
                <w:p w14:paraId="5C97B54C">
                  <w:pPr>
                    <w:adjustRightInd w:val="0"/>
                    <w:snapToGrid w:val="0"/>
                    <w:jc w:val="center"/>
                    <w:rPr>
                      <w:color w:val="auto"/>
                      <w:szCs w:val="21"/>
                      <w:highlight w:val="none"/>
                    </w:rPr>
                  </w:pPr>
                </w:p>
              </w:tc>
              <w:tc>
                <w:tcPr>
                  <w:tcW w:w="1230" w:type="dxa"/>
                  <w:gridSpan w:val="2"/>
                  <w:tcBorders>
                    <w:tl2br w:val="nil"/>
                    <w:tr2bl w:val="nil"/>
                  </w:tcBorders>
                  <w:vAlign w:val="center"/>
                </w:tcPr>
                <w:p w14:paraId="560053C1">
                  <w:pPr>
                    <w:adjustRightInd w:val="0"/>
                    <w:snapToGrid w:val="0"/>
                    <w:jc w:val="center"/>
                    <w:rPr>
                      <w:color w:val="auto"/>
                      <w:szCs w:val="21"/>
                      <w:highlight w:val="none"/>
                    </w:rPr>
                  </w:pPr>
                  <w:r>
                    <w:rPr>
                      <w:color w:val="auto"/>
                      <w:szCs w:val="21"/>
                      <w:highlight w:val="none"/>
                    </w:rPr>
                    <w:t>废水</w:t>
                  </w:r>
                </w:p>
              </w:tc>
              <w:tc>
                <w:tcPr>
                  <w:tcW w:w="5010" w:type="dxa"/>
                  <w:tcBorders>
                    <w:tl2br w:val="nil"/>
                    <w:tr2bl w:val="nil"/>
                  </w:tcBorders>
                  <w:vAlign w:val="center"/>
                </w:tcPr>
                <w:p w14:paraId="4814C4BF">
                  <w:pPr>
                    <w:adjustRightInd w:val="0"/>
                    <w:snapToGrid w:val="0"/>
                    <w:rPr>
                      <w:color w:val="auto"/>
                      <w:szCs w:val="21"/>
                      <w:highlight w:val="none"/>
                    </w:rPr>
                  </w:pPr>
                  <w:r>
                    <w:rPr>
                      <w:rFonts w:hint="eastAsia"/>
                      <w:color w:val="FF0000"/>
                      <w:szCs w:val="21"/>
                      <w:highlight w:val="none"/>
                      <w:lang w:val="en-US" w:eastAsia="zh-CN"/>
                    </w:rPr>
                    <w:t>本项目雨污分流，雨水经边沟流淌至厂外，</w:t>
                  </w:r>
                  <w:r>
                    <w:rPr>
                      <w:color w:val="auto"/>
                      <w:szCs w:val="21"/>
                      <w:highlight w:val="none"/>
                    </w:rPr>
                    <w:t>运输车辆清洗废水经沉淀池沉淀后循环使用不外排；洒水抑尘用水以自然形式全部蒸发，无生产废水产生</w:t>
                  </w:r>
                </w:p>
              </w:tc>
              <w:tc>
                <w:tcPr>
                  <w:tcW w:w="912" w:type="dxa"/>
                  <w:tcBorders>
                    <w:tl2br w:val="nil"/>
                    <w:tr2bl w:val="nil"/>
                  </w:tcBorders>
                  <w:vAlign w:val="center"/>
                </w:tcPr>
                <w:p w14:paraId="65649095">
                  <w:pPr>
                    <w:adjustRightInd w:val="0"/>
                    <w:snapToGrid w:val="0"/>
                    <w:jc w:val="center"/>
                    <w:rPr>
                      <w:color w:val="auto"/>
                      <w:szCs w:val="21"/>
                      <w:highlight w:val="none"/>
                    </w:rPr>
                  </w:pPr>
                  <w:r>
                    <w:rPr>
                      <w:color w:val="auto"/>
                      <w:szCs w:val="21"/>
                      <w:highlight w:val="none"/>
                    </w:rPr>
                    <w:t>新建</w:t>
                  </w:r>
                </w:p>
              </w:tc>
            </w:tr>
            <w:tr w14:paraId="553DC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18833199">
                  <w:pPr>
                    <w:adjustRightInd w:val="0"/>
                    <w:snapToGrid w:val="0"/>
                    <w:jc w:val="center"/>
                    <w:rPr>
                      <w:color w:val="auto"/>
                      <w:szCs w:val="21"/>
                      <w:highlight w:val="none"/>
                    </w:rPr>
                  </w:pPr>
                </w:p>
              </w:tc>
              <w:tc>
                <w:tcPr>
                  <w:tcW w:w="1230" w:type="dxa"/>
                  <w:gridSpan w:val="2"/>
                  <w:tcBorders>
                    <w:tl2br w:val="nil"/>
                    <w:tr2bl w:val="nil"/>
                  </w:tcBorders>
                  <w:vAlign w:val="center"/>
                </w:tcPr>
                <w:p w14:paraId="0D1AB3CD">
                  <w:pPr>
                    <w:adjustRightInd w:val="0"/>
                    <w:snapToGrid w:val="0"/>
                    <w:jc w:val="center"/>
                    <w:rPr>
                      <w:color w:val="auto"/>
                      <w:szCs w:val="21"/>
                      <w:highlight w:val="none"/>
                    </w:rPr>
                  </w:pPr>
                  <w:r>
                    <w:rPr>
                      <w:color w:val="auto"/>
                      <w:szCs w:val="21"/>
                      <w:highlight w:val="none"/>
                    </w:rPr>
                    <w:t>噪声</w:t>
                  </w:r>
                </w:p>
              </w:tc>
              <w:tc>
                <w:tcPr>
                  <w:tcW w:w="5010" w:type="dxa"/>
                  <w:tcBorders>
                    <w:tl2br w:val="nil"/>
                    <w:tr2bl w:val="nil"/>
                  </w:tcBorders>
                  <w:vAlign w:val="center"/>
                </w:tcPr>
                <w:p w14:paraId="371AF509">
                  <w:pPr>
                    <w:adjustRightInd w:val="0"/>
                    <w:snapToGrid w:val="0"/>
                    <w:rPr>
                      <w:color w:val="auto"/>
                      <w:szCs w:val="21"/>
                      <w:highlight w:val="none"/>
                    </w:rPr>
                  </w:pPr>
                  <w:r>
                    <w:rPr>
                      <w:rFonts w:hint="default" w:ascii="Times New Roman" w:hAnsi="Times New Roman" w:eastAsia="宋体" w:cs="Times New Roman"/>
                      <w:color w:val="auto"/>
                      <w:sz w:val="21"/>
                      <w:szCs w:val="21"/>
                      <w:highlight w:val="none"/>
                      <w:lang w:val="en-US" w:eastAsia="zh-CN"/>
                    </w:rPr>
                    <w:t>选用低噪声设备、建筑隔声、合理布局、基础减振、车辆限速限制鸣笛</w:t>
                  </w:r>
                </w:p>
              </w:tc>
              <w:tc>
                <w:tcPr>
                  <w:tcW w:w="912" w:type="dxa"/>
                  <w:tcBorders>
                    <w:tl2br w:val="nil"/>
                    <w:tr2bl w:val="nil"/>
                  </w:tcBorders>
                  <w:vAlign w:val="center"/>
                </w:tcPr>
                <w:p w14:paraId="42EB9C32">
                  <w:pPr>
                    <w:adjustRightInd w:val="0"/>
                    <w:snapToGrid w:val="0"/>
                    <w:jc w:val="center"/>
                    <w:rPr>
                      <w:rFonts w:hint="default" w:ascii="Times New Roman" w:hAnsi="Times New Roman" w:eastAsia="宋体" w:cs="Times New Roman"/>
                      <w:color w:val="auto"/>
                      <w:sz w:val="21"/>
                      <w:szCs w:val="21"/>
                      <w:highlight w:val="none"/>
                      <w:lang w:val="en-US" w:eastAsia="zh-CN"/>
                    </w:rPr>
                  </w:pPr>
                  <w:r>
                    <w:rPr>
                      <w:color w:val="auto"/>
                      <w:szCs w:val="21"/>
                      <w:highlight w:val="none"/>
                    </w:rPr>
                    <w:t>新建</w:t>
                  </w:r>
                </w:p>
              </w:tc>
            </w:tr>
            <w:tr w14:paraId="47E124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783" w:type="dxa"/>
                  <w:vMerge w:val="continue"/>
                  <w:tcBorders>
                    <w:tl2br w:val="nil"/>
                    <w:tr2bl w:val="nil"/>
                  </w:tcBorders>
                  <w:vAlign w:val="center"/>
                </w:tcPr>
                <w:p w14:paraId="72D85963">
                  <w:pPr>
                    <w:adjustRightInd w:val="0"/>
                    <w:snapToGrid w:val="0"/>
                    <w:jc w:val="center"/>
                    <w:rPr>
                      <w:color w:val="auto"/>
                      <w:szCs w:val="21"/>
                      <w:highlight w:val="none"/>
                    </w:rPr>
                  </w:pPr>
                </w:p>
              </w:tc>
              <w:tc>
                <w:tcPr>
                  <w:tcW w:w="493" w:type="dxa"/>
                  <w:vMerge w:val="restart"/>
                  <w:tcBorders>
                    <w:tl2br w:val="nil"/>
                    <w:tr2bl w:val="nil"/>
                  </w:tcBorders>
                  <w:vAlign w:val="center"/>
                </w:tcPr>
                <w:p w14:paraId="6C0A4E0C">
                  <w:pPr>
                    <w:adjustRightInd w:val="0"/>
                    <w:snapToGrid w:val="0"/>
                    <w:jc w:val="center"/>
                    <w:rPr>
                      <w:color w:val="auto"/>
                      <w:szCs w:val="21"/>
                      <w:highlight w:val="none"/>
                    </w:rPr>
                  </w:pPr>
                  <w:r>
                    <w:rPr>
                      <w:color w:val="auto"/>
                      <w:szCs w:val="21"/>
                      <w:highlight w:val="none"/>
                    </w:rPr>
                    <w:t>固体废物</w:t>
                  </w:r>
                </w:p>
              </w:tc>
              <w:tc>
                <w:tcPr>
                  <w:tcW w:w="737" w:type="dxa"/>
                  <w:tcBorders>
                    <w:tl2br w:val="nil"/>
                    <w:tr2bl w:val="nil"/>
                  </w:tcBorders>
                  <w:vAlign w:val="center"/>
                </w:tcPr>
                <w:p w14:paraId="125DE27F">
                  <w:pPr>
                    <w:adjustRightInd w:val="0"/>
                    <w:snapToGrid w:val="0"/>
                    <w:jc w:val="center"/>
                    <w:rPr>
                      <w:color w:val="auto"/>
                      <w:szCs w:val="21"/>
                      <w:highlight w:val="none"/>
                    </w:rPr>
                  </w:pPr>
                  <w:r>
                    <w:rPr>
                      <w:color w:val="auto"/>
                      <w:szCs w:val="21"/>
                      <w:highlight w:val="none"/>
                    </w:rPr>
                    <w:t>一般固废</w:t>
                  </w:r>
                </w:p>
              </w:tc>
              <w:tc>
                <w:tcPr>
                  <w:tcW w:w="5010" w:type="dxa"/>
                  <w:tcBorders>
                    <w:tl2br w:val="nil"/>
                    <w:tr2bl w:val="nil"/>
                  </w:tcBorders>
                  <w:vAlign w:val="center"/>
                </w:tcPr>
                <w:p w14:paraId="54E59141">
                  <w:pPr>
                    <w:adjustRightInd w:val="0"/>
                    <w:snapToGrid w:val="0"/>
                    <w:rPr>
                      <w:rFonts w:hint="default" w:eastAsia="宋体"/>
                      <w:color w:val="auto"/>
                      <w:szCs w:val="21"/>
                      <w:highlight w:val="none"/>
                      <w:lang w:val="en-US" w:eastAsia="zh-CN"/>
                    </w:rPr>
                  </w:pPr>
                  <w:r>
                    <w:rPr>
                      <w:rFonts w:hint="eastAsia"/>
                      <w:color w:val="FF0000"/>
                      <w:szCs w:val="21"/>
                      <w:highlight w:val="none"/>
                    </w:rPr>
                    <w:t>除尘灰</w:t>
                  </w:r>
                  <w:r>
                    <w:rPr>
                      <w:color w:val="FF0000"/>
                      <w:szCs w:val="21"/>
                      <w:highlight w:val="none"/>
                    </w:rPr>
                    <w:t>、</w:t>
                  </w:r>
                  <w:r>
                    <w:rPr>
                      <w:rFonts w:hint="eastAsia"/>
                      <w:color w:val="FF0000"/>
                      <w:szCs w:val="21"/>
                      <w:highlight w:val="none"/>
                    </w:rPr>
                    <w:t>地面沉积灰</w:t>
                  </w:r>
                  <w:r>
                    <w:rPr>
                      <w:rFonts w:hint="eastAsia"/>
                      <w:color w:val="FF0000"/>
                      <w:szCs w:val="21"/>
                      <w:highlight w:val="none"/>
                      <w:lang w:eastAsia="zh-CN"/>
                    </w:rPr>
                    <w:t>、</w:t>
                  </w:r>
                  <w:r>
                    <w:rPr>
                      <w:rFonts w:hint="eastAsia"/>
                      <w:color w:val="FF0000"/>
                      <w:szCs w:val="21"/>
                      <w:highlight w:val="none"/>
                      <w:lang w:val="en-US" w:eastAsia="zh-CN"/>
                    </w:rPr>
                    <w:t>沉淀池泥渣</w:t>
                  </w:r>
                  <w:r>
                    <w:rPr>
                      <w:rFonts w:hint="eastAsia"/>
                      <w:color w:val="FF0000"/>
                      <w:sz w:val="21"/>
                      <w:szCs w:val="21"/>
                      <w:highlight w:val="none"/>
                      <w:lang w:val="en-US" w:eastAsia="zh-CN" w:bidi="ar"/>
                    </w:rPr>
                    <w:t>沥</w:t>
                  </w:r>
                  <w:r>
                    <w:rPr>
                      <w:rFonts w:hint="eastAsia"/>
                      <w:color w:val="FF0000"/>
                      <w:szCs w:val="21"/>
                      <w:highlight w:val="none"/>
                      <w:lang w:val="en-US" w:eastAsia="zh-CN"/>
                    </w:rPr>
                    <w:t>水后</w:t>
                  </w:r>
                  <w:r>
                    <w:rPr>
                      <w:rFonts w:hint="eastAsia"/>
                      <w:color w:val="auto"/>
                      <w:szCs w:val="21"/>
                      <w:highlight w:val="none"/>
                    </w:rPr>
                    <w:t>统一收集到</w:t>
                  </w:r>
                  <w:r>
                    <w:rPr>
                      <w:rFonts w:hint="eastAsia"/>
                      <w:color w:val="auto"/>
                      <w:szCs w:val="21"/>
                      <w:highlight w:val="none"/>
                      <w:lang w:val="en-US" w:eastAsia="zh-CN"/>
                    </w:rPr>
                    <w:t>成品库，随产品</w:t>
                  </w:r>
                  <w:r>
                    <w:rPr>
                      <w:rFonts w:hint="eastAsia"/>
                      <w:color w:val="auto"/>
                      <w:szCs w:val="21"/>
                      <w:highlight w:val="none"/>
                    </w:rPr>
                    <w:t>外售综合利用</w:t>
                  </w:r>
                  <w:r>
                    <w:rPr>
                      <w:rFonts w:hint="eastAsia"/>
                      <w:color w:val="auto"/>
                      <w:szCs w:val="21"/>
                      <w:highlight w:val="none"/>
                      <w:lang w:eastAsia="zh-CN"/>
                    </w:rPr>
                    <w:t>；</w:t>
                  </w:r>
                  <w:r>
                    <w:rPr>
                      <w:rFonts w:hint="eastAsia"/>
                      <w:color w:val="auto"/>
                      <w:szCs w:val="21"/>
                      <w:highlight w:val="none"/>
                    </w:rPr>
                    <w:t>废布袋</w:t>
                  </w:r>
                  <w:r>
                    <w:rPr>
                      <w:rFonts w:hint="eastAsia"/>
                      <w:color w:val="auto"/>
                      <w:szCs w:val="21"/>
                      <w:highlight w:val="none"/>
                      <w:lang w:val="en-US" w:eastAsia="zh-CN"/>
                    </w:rPr>
                    <w:t>由厂家定期更换回收</w:t>
                  </w:r>
                </w:p>
              </w:tc>
              <w:tc>
                <w:tcPr>
                  <w:tcW w:w="912" w:type="dxa"/>
                  <w:tcBorders>
                    <w:tl2br w:val="nil"/>
                    <w:tr2bl w:val="nil"/>
                  </w:tcBorders>
                  <w:vAlign w:val="center"/>
                </w:tcPr>
                <w:p w14:paraId="6151070F">
                  <w:pPr>
                    <w:adjustRightInd w:val="0"/>
                    <w:snapToGrid w:val="0"/>
                    <w:jc w:val="center"/>
                    <w:rPr>
                      <w:rFonts w:hint="eastAsia"/>
                      <w:color w:val="auto"/>
                      <w:szCs w:val="21"/>
                      <w:highlight w:val="none"/>
                    </w:rPr>
                  </w:pPr>
                  <w:r>
                    <w:rPr>
                      <w:color w:val="auto"/>
                      <w:szCs w:val="21"/>
                      <w:highlight w:val="none"/>
                    </w:rPr>
                    <w:t>新建</w:t>
                  </w:r>
                </w:p>
              </w:tc>
            </w:tr>
            <w:tr w14:paraId="4129D23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783" w:type="dxa"/>
                  <w:vMerge w:val="continue"/>
                  <w:tcBorders>
                    <w:tl2br w:val="nil"/>
                    <w:tr2bl w:val="nil"/>
                  </w:tcBorders>
                  <w:vAlign w:val="center"/>
                </w:tcPr>
                <w:p w14:paraId="3CA408C4">
                  <w:pPr>
                    <w:adjustRightInd w:val="0"/>
                    <w:snapToGrid w:val="0"/>
                    <w:jc w:val="center"/>
                    <w:rPr>
                      <w:color w:val="auto"/>
                      <w:szCs w:val="21"/>
                      <w:highlight w:val="none"/>
                    </w:rPr>
                  </w:pPr>
                </w:p>
              </w:tc>
              <w:tc>
                <w:tcPr>
                  <w:tcW w:w="493" w:type="dxa"/>
                  <w:vMerge w:val="continue"/>
                  <w:tcBorders>
                    <w:tl2br w:val="nil"/>
                    <w:tr2bl w:val="nil"/>
                  </w:tcBorders>
                  <w:vAlign w:val="center"/>
                </w:tcPr>
                <w:p w14:paraId="769DF5CA">
                  <w:pPr>
                    <w:adjustRightInd w:val="0"/>
                    <w:snapToGrid w:val="0"/>
                    <w:jc w:val="center"/>
                    <w:rPr>
                      <w:color w:val="auto"/>
                      <w:szCs w:val="21"/>
                      <w:highlight w:val="none"/>
                    </w:rPr>
                  </w:pPr>
                </w:p>
              </w:tc>
              <w:tc>
                <w:tcPr>
                  <w:tcW w:w="737" w:type="dxa"/>
                  <w:tcBorders>
                    <w:tl2br w:val="nil"/>
                    <w:tr2bl w:val="nil"/>
                  </w:tcBorders>
                  <w:vAlign w:val="center"/>
                </w:tcPr>
                <w:p w14:paraId="115FFE2D">
                  <w:pPr>
                    <w:adjustRightInd w:val="0"/>
                    <w:snapToGrid w:val="0"/>
                    <w:jc w:val="center"/>
                    <w:rPr>
                      <w:color w:val="auto"/>
                      <w:szCs w:val="21"/>
                      <w:highlight w:val="none"/>
                    </w:rPr>
                  </w:pPr>
                  <w:r>
                    <w:rPr>
                      <w:color w:val="auto"/>
                      <w:szCs w:val="21"/>
                      <w:highlight w:val="none"/>
                    </w:rPr>
                    <w:t>危险废物</w:t>
                  </w:r>
                </w:p>
              </w:tc>
              <w:tc>
                <w:tcPr>
                  <w:tcW w:w="5010" w:type="dxa"/>
                  <w:tcBorders>
                    <w:tl2br w:val="nil"/>
                    <w:tr2bl w:val="nil"/>
                  </w:tcBorders>
                  <w:vAlign w:val="center"/>
                </w:tcPr>
                <w:p w14:paraId="7A693A69">
                  <w:pPr>
                    <w:adjustRightInd w:val="0"/>
                    <w:snapToGrid w:val="0"/>
                    <w:rPr>
                      <w:color w:val="auto"/>
                      <w:szCs w:val="21"/>
                      <w:highlight w:val="none"/>
                    </w:rPr>
                  </w:pPr>
                  <w:r>
                    <w:rPr>
                      <w:color w:val="auto"/>
                      <w:szCs w:val="21"/>
                      <w:highlight w:val="none"/>
                    </w:rPr>
                    <w:t>废</w:t>
                  </w:r>
                  <w:r>
                    <w:rPr>
                      <w:rFonts w:hint="eastAsia"/>
                      <w:color w:val="auto"/>
                      <w:szCs w:val="21"/>
                      <w:highlight w:val="none"/>
                    </w:rPr>
                    <w:t>润滑油</w:t>
                  </w:r>
                  <w:r>
                    <w:rPr>
                      <w:color w:val="auto"/>
                      <w:szCs w:val="21"/>
                      <w:highlight w:val="none"/>
                    </w:rPr>
                    <w:t>、</w:t>
                  </w:r>
                  <w:r>
                    <w:rPr>
                      <w:rFonts w:hint="eastAsia"/>
                      <w:color w:val="auto"/>
                      <w:szCs w:val="21"/>
                      <w:highlight w:val="none"/>
                    </w:rPr>
                    <w:t>废油桶</w:t>
                  </w:r>
                  <w:r>
                    <w:rPr>
                      <w:color w:val="auto"/>
                      <w:szCs w:val="21"/>
                      <w:highlight w:val="none"/>
                    </w:rPr>
                    <w:t>统一收集至</w:t>
                  </w:r>
                  <w:r>
                    <w:rPr>
                      <w:rFonts w:hint="eastAsia"/>
                      <w:color w:val="auto"/>
                      <w:szCs w:val="21"/>
                      <w:highlight w:val="none"/>
                    </w:rPr>
                    <w:t>危废贮存点（建筑</w:t>
                  </w:r>
                  <w:r>
                    <w:rPr>
                      <w:color w:val="auto"/>
                      <w:szCs w:val="21"/>
                      <w:highlight w:val="none"/>
                    </w:rPr>
                    <w:t>面积</w:t>
                  </w:r>
                  <w:r>
                    <w:rPr>
                      <w:rFonts w:hint="eastAsia"/>
                      <w:color w:val="auto"/>
                      <w:szCs w:val="21"/>
                      <w:highlight w:val="none"/>
                    </w:rPr>
                    <w:t>5</w:t>
                  </w:r>
                  <w:r>
                    <w:rPr>
                      <w:color w:val="auto"/>
                      <w:szCs w:val="21"/>
                      <w:highlight w:val="none"/>
                    </w:rPr>
                    <w:t>m</w:t>
                  </w:r>
                  <w:r>
                    <w:rPr>
                      <w:color w:val="auto"/>
                      <w:szCs w:val="21"/>
                      <w:highlight w:val="none"/>
                      <w:vertAlign w:val="superscript"/>
                    </w:rPr>
                    <w:t>2</w:t>
                  </w:r>
                  <w:r>
                    <w:rPr>
                      <w:rFonts w:hint="eastAsia"/>
                      <w:color w:val="auto"/>
                      <w:szCs w:val="21"/>
                      <w:highlight w:val="none"/>
                    </w:rPr>
                    <w:t>）</w:t>
                  </w:r>
                  <w:r>
                    <w:rPr>
                      <w:color w:val="auto"/>
                      <w:szCs w:val="21"/>
                      <w:highlight w:val="none"/>
                    </w:rPr>
                    <w:t>，定期交由有资质</w:t>
                  </w:r>
                  <w:r>
                    <w:rPr>
                      <w:rFonts w:hint="eastAsia"/>
                      <w:color w:val="auto"/>
                      <w:szCs w:val="21"/>
                      <w:highlight w:val="none"/>
                    </w:rPr>
                    <w:t>单位处置</w:t>
                  </w:r>
                </w:p>
              </w:tc>
              <w:tc>
                <w:tcPr>
                  <w:tcW w:w="912" w:type="dxa"/>
                  <w:tcBorders>
                    <w:tl2br w:val="nil"/>
                    <w:tr2bl w:val="nil"/>
                  </w:tcBorders>
                  <w:vAlign w:val="center"/>
                </w:tcPr>
                <w:p w14:paraId="5F48F2E4">
                  <w:pPr>
                    <w:adjustRightInd w:val="0"/>
                    <w:snapToGrid w:val="0"/>
                    <w:jc w:val="center"/>
                    <w:rPr>
                      <w:color w:val="auto"/>
                      <w:szCs w:val="21"/>
                      <w:highlight w:val="none"/>
                    </w:rPr>
                  </w:pPr>
                  <w:r>
                    <w:rPr>
                      <w:color w:val="auto"/>
                      <w:szCs w:val="21"/>
                      <w:highlight w:val="none"/>
                    </w:rPr>
                    <w:t>新建</w:t>
                  </w:r>
                </w:p>
              </w:tc>
            </w:tr>
            <w:tr w14:paraId="67E7C4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0" w:hRule="atLeast"/>
              </w:trPr>
              <w:tc>
                <w:tcPr>
                  <w:tcW w:w="783" w:type="dxa"/>
                  <w:vMerge w:val="continue"/>
                  <w:tcBorders>
                    <w:tl2br w:val="nil"/>
                    <w:tr2bl w:val="nil"/>
                  </w:tcBorders>
                  <w:vAlign w:val="center"/>
                </w:tcPr>
                <w:p w14:paraId="7B2FF485">
                  <w:pPr>
                    <w:adjustRightInd w:val="0"/>
                    <w:snapToGrid w:val="0"/>
                    <w:jc w:val="center"/>
                    <w:rPr>
                      <w:color w:val="auto"/>
                      <w:szCs w:val="21"/>
                      <w:highlight w:val="none"/>
                    </w:rPr>
                  </w:pPr>
                </w:p>
              </w:tc>
              <w:tc>
                <w:tcPr>
                  <w:tcW w:w="493" w:type="dxa"/>
                  <w:vMerge w:val="continue"/>
                  <w:tcBorders>
                    <w:tl2br w:val="nil"/>
                    <w:tr2bl w:val="nil"/>
                  </w:tcBorders>
                  <w:vAlign w:val="center"/>
                </w:tcPr>
                <w:p w14:paraId="1303DEF0">
                  <w:pPr>
                    <w:adjustRightInd w:val="0"/>
                    <w:snapToGrid w:val="0"/>
                    <w:jc w:val="center"/>
                    <w:rPr>
                      <w:color w:val="auto"/>
                      <w:szCs w:val="21"/>
                      <w:highlight w:val="none"/>
                    </w:rPr>
                  </w:pPr>
                </w:p>
              </w:tc>
              <w:tc>
                <w:tcPr>
                  <w:tcW w:w="737" w:type="dxa"/>
                  <w:tcBorders>
                    <w:tl2br w:val="nil"/>
                    <w:tr2bl w:val="nil"/>
                  </w:tcBorders>
                  <w:vAlign w:val="center"/>
                </w:tcPr>
                <w:p w14:paraId="19AE4BA6">
                  <w:pPr>
                    <w:adjustRightInd w:val="0"/>
                    <w:snapToGrid w:val="0"/>
                    <w:jc w:val="center"/>
                    <w:rPr>
                      <w:color w:val="auto"/>
                      <w:szCs w:val="21"/>
                      <w:highlight w:val="none"/>
                    </w:rPr>
                  </w:pPr>
                  <w:r>
                    <w:rPr>
                      <w:color w:val="auto"/>
                      <w:szCs w:val="21"/>
                      <w:highlight w:val="none"/>
                    </w:rPr>
                    <w:t>生活垃圾</w:t>
                  </w:r>
                </w:p>
              </w:tc>
              <w:tc>
                <w:tcPr>
                  <w:tcW w:w="5010" w:type="dxa"/>
                  <w:tcBorders>
                    <w:tl2br w:val="nil"/>
                    <w:tr2bl w:val="nil"/>
                  </w:tcBorders>
                  <w:vAlign w:val="center"/>
                </w:tcPr>
                <w:p w14:paraId="50D1AECC">
                  <w:pPr>
                    <w:adjustRightInd w:val="0"/>
                    <w:snapToGrid w:val="0"/>
                    <w:rPr>
                      <w:color w:val="auto"/>
                      <w:szCs w:val="21"/>
                      <w:highlight w:val="none"/>
                    </w:rPr>
                  </w:pPr>
                  <w:r>
                    <w:rPr>
                      <w:color w:val="auto"/>
                      <w:szCs w:val="21"/>
                      <w:highlight w:val="none"/>
                    </w:rPr>
                    <w:t>定期由环卫部门统一清运处理</w:t>
                  </w:r>
                </w:p>
              </w:tc>
              <w:tc>
                <w:tcPr>
                  <w:tcW w:w="912" w:type="dxa"/>
                  <w:tcBorders>
                    <w:tl2br w:val="nil"/>
                    <w:tr2bl w:val="nil"/>
                  </w:tcBorders>
                  <w:vAlign w:val="center"/>
                </w:tcPr>
                <w:p w14:paraId="415D4F81">
                  <w:pPr>
                    <w:adjustRightInd w:val="0"/>
                    <w:snapToGrid w:val="0"/>
                    <w:jc w:val="center"/>
                    <w:rPr>
                      <w:color w:val="auto"/>
                      <w:szCs w:val="21"/>
                      <w:highlight w:val="none"/>
                    </w:rPr>
                  </w:pPr>
                  <w:r>
                    <w:rPr>
                      <w:color w:val="auto"/>
                      <w:szCs w:val="21"/>
                      <w:highlight w:val="none"/>
                    </w:rPr>
                    <w:t>新建</w:t>
                  </w:r>
                </w:p>
              </w:tc>
            </w:tr>
            <w:tr w14:paraId="19741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83" w:type="dxa"/>
                  <w:vMerge w:val="continue"/>
                  <w:tcBorders>
                    <w:tl2br w:val="nil"/>
                    <w:tr2bl w:val="nil"/>
                  </w:tcBorders>
                  <w:vAlign w:val="center"/>
                </w:tcPr>
                <w:p w14:paraId="75DD0D25">
                  <w:pPr>
                    <w:adjustRightInd w:val="0"/>
                    <w:snapToGrid w:val="0"/>
                    <w:jc w:val="center"/>
                    <w:rPr>
                      <w:color w:val="auto"/>
                      <w:szCs w:val="21"/>
                      <w:highlight w:val="none"/>
                    </w:rPr>
                  </w:pPr>
                </w:p>
              </w:tc>
              <w:tc>
                <w:tcPr>
                  <w:tcW w:w="1230" w:type="dxa"/>
                  <w:gridSpan w:val="2"/>
                  <w:tcBorders>
                    <w:tl2br w:val="nil"/>
                    <w:tr2bl w:val="nil"/>
                  </w:tcBorders>
                  <w:vAlign w:val="center"/>
                </w:tcPr>
                <w:p w14:paraId="5B2B6FC0">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防渗措施</w:t>
                  </w:r>
                </w:p>
              </w:tc>
              <w:tc>
                <w:tcPr>
                  <w:tcW w:w="5010" w:type="dxa"/>
                  <w:tcBorders>
                    <w:tl2br w:val="nil"/>
                    <w:tr2bl w:val="nil"/>
                  </w:tcBorders>
                  <w:vAlign w:val="center"/>
                </w:tcPr>
                <w:p w14:paraId="50456464">
                  <w:pPr>
                    <w:adjustRightInd w:val="0"/>
                    <w:snapToGrid w:val="0"/>
                    <w:rPr>
                      <w:color w:val="auto"/>
                      <w:szCs w:val="21"/>
                      <w:highlight w:val="none"/>
                    </w:rPr>
                  </w:pPr>
                  <w:r>
                    <w:rPr>
                      <w:color w:val="auto"/>
                      <w:szCs w:val="21"/>
                      <w:highlight w:val="none"/>
                    </w:rPr>
                    <w:t>对地面进行分区防渗，</w:t>
                  </w:r>
                  <w:r>
                    <w:rPr>
                      <w:rFonts w:hint="eastAsia"/>
                      <w:color w:val="auto"/>
                      <w:szCs w:val="21"/>
                      <w:highlight w:val="none"/>
                    </w:rPr>
                    <w:t>危废贮存点</w:t>
                  </w:r>
                  <w:r>
                    <w:rPr>
                      <w:color w:val="auto"/>
                      <w:szCs w:val="21"/>
                      <w:highlight w:val="none"/>
                    </w:rPr>
                    <w:t>采取重点防渗，生产车间、原料</w:t>
                  </w:r>
                  <w:r>
                    <w:rPr>
                      <w:rFonts w:hint="eastAsia"/>
                      <w:color w:val="auto"/>
                      <w:szCs w:val="21"/>
                      <w:highlight w:val="none"/>
                      <w:lang w:val="en-US" w:eastAsia="zh-CN"/>
                    </w:rPr>
                    <w:t>区</w:t>
                  </w:r>
                  <w:r>
                    <w:rPr>
                      <w:rFonts w:hint="eastAsia"/>
                      <w:color w:val="auto"/>
                      <w:szCs w:val="21"/>
                      <w:highlight w:val="none"/>
                    </w:rPr>
                    <w:t>、成品库、</w:t>
                  </w:r>
                  <w:r>
                    <w:rPr>
                      <w:color w:val="auto"/>
                      <w:szCs w:val="21"/>
                      <w:highlight w:val="none"/>
                    </w:rPr>
                    <w:t>沉淀池</w:t>
                  </w:r>
                  <w:r>
                    <w:rPr>
                      <w:rFonts w:hint="eastAsia"/>
                      <w:color w:val="auto"/>
                      <w:szCs w:val="21"/>
                      <w:highlight w:val="none"/>
                    </w:rPr>
                    <w:t>采取</w:t>
                  </w:r>
                  <w:r>
                    <w:rPr>
                      <w:color w:val="auto"/>
                      <w:szCs w:val="21"/>
                      <w:highlight w:val="none"/>
                    </w:rPr>
                    <w:t>一般防渗</w:t>
                  </w:r>
                </w:p>
              </w:tc>
              <w:tc>
                <w:tcPr>
                  <w:tcW w:w="912" w:type="dxa"/>
                  <w:tcBorders>
                    <w:tl2br w:val="nil"/>
                    <w:tr2bl w:val="nil"/>
                  </w:tcBorders>
                  <w:vAlign w:val="center"/>
                </w:tcPr>
                <w:p w14:paraId="53E992D6">
                  <w:pPr>
                    <w:adjustRightInd w:val="0"/>
                    <w:snapToGrid w:val="0"/>
                    <w:jc w:val="center"/>
                    <w:rPr>
                      <w:color w:val="auto"/>
                      <w:szCs w:val="21"/>
                      <w:highlight w:val="none"/>
                    </w:rPr>
                  </w:pPr>
                  <w:r>
                    <w:rPr>
                      <w:color w:val="auto"/>
                      <w:szCs w:val="21"/>
                      <w:highlight w:val="none"/>
                    </w:rPr>
                    <w:t>新建</w:t>
                  </w:r>
                </w:p>
              </w:tc>
            </w:tr>
          </w:tbl>
          <w:p w14:paraId="245813B7">
            <w:pPr>
              <w:pStyle w:val="13"/>
              <w:rPr>
                <w:color w:val="000000" w:themeColor="text1"/>
                <w:highlight w:val="none"/>
                <w14:textFill>
                  <w14:solidFill>
                    <w14:schemeClr w14:val="tx1"/>
                  </w14:solidFill>
                </w14:textFill>
              </w:rPr>
            </w:pPr>
          </w:p>
          <w:p w14:paraId="7CE4C67B">
            <w:pPr>
              <w:widowControl/>
              <w:spacing w:line="360" w:lineRule="auto"/>
              <w:jc w:val="left"/>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3、项目生产设备组成</w:t>
            </w:r>
          </w:p>
          <w:p w14:paraId="5DA3C760">
            <w:pPr>
              <w:pStyle w:val="4"/>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本项目主要生产设备详见下表。</w:t>
            </w:r>
          </w:p>
          <w:p w14:paraId="4CB15B2C">
            <w:pPr>
              <w:widowControl/>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w:t>
            </w:r>
            <w:r>
              <w:rPr>
                <w:rFonts w:hint="eastAsia"/>
                <w:b/>
                <w:bCs/>
                <w:color w:val="000000" w:themeColor="text1"/>
                <w:szCs w:val="21"/>
                <w:highlight w:val="none"/>
                <w14:textFill>
                  <w14:solidFill>
                    <w14:schemeClr w14:val="tx1"/>
                  </w14:solidFill>
                </w14:textFill>
              </w:rPr>
              <w:t>2</w:t>
            </w:r>
            <w:r>
              <w:rPr>
                <w:b/>
                <w:bCs/>
                <w:color w:val="000000" w:themeColor="text1"/>
                <w:szCs w:val="21"/>
                <w:highlight w:val="none"/>
                <w14:textFill>
                  <w14:solidFill>
                    <w14:schemeClr w14:val="tx1"/>
                  </w14:solidFill>
                </w14:textFill>
              </w:rPr>
              <w:t>-</w:t>
            </w:r>
            <w:r>
              <w:rPr>
                <w:rFonts w:hint="eastAsia"/>
                <w:b/>
                <w:bCs/>
                <w:color w:val="000000" w:themeColor="text1"/>
                <w:szCs w:val="21"/>
                <w:highlight w:val="none"/>
                <w14:textFill>
                  <w14:solidFill>
                    <w14:schemeClr w14:val="tx1"/>
                  </w14:solidFill>
                </w14:textFill>
              </w:rPr>
              <w:t>2</w:t>
            </w:r>
            <w:r>
              <w:rPr>
                <w:b/>
                <w:bCs/>
                <w:color w:val="000000" w:themeColor="text1"/>
                <w:szCs w:val="21"/>
                <w:highlight w:val="none"/>
                <w14:textFill>
                  <w14:solidFill>
                    <w14:schemeClr w14:val="tx1"/>
                  </w14:solidFill>
                </w14:textFill>
              </w:rPr>
              <w:t xml:space="preserve"> 项目主要生产设备一览表</w:t>
            </w:r>
          </w:p>
          <w:tbl>
            <w:tblPr>
              <w:tblStyle w:val="19"/>
              <w:tblW w:w="7945"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04"/>
              <w:gridCol w:w="1573"/>
              <w:gridCol w:w="867"/>
              <w:gridCol w:w="1866"/>
              <w:gridCol w:w="880"/>
              <w:gridCol w:w="2055"/>
            </w:tblGrid>
            <w:tr w14:paraId="015272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209B37AC">
                  <w:pPr>
                    <w:pStyle w:val="13"/>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序号</w:t>
                  </w:r>
                </w:p>
              </w:tc>
              <w:tc>
                <w:tcPr>
                  <w:tcW w:w="1573" w:type="dxa"/>
                  <w:tcBorders>
                    <w:tl2br w:val="nil"/>
                    <w:tr2bl w:val="nil"/>
                  </w:tcBorders>
                  <w:vAlign w:val="center"/>
                </w:tcPr>
                <w:p w14:paraId="2079C587">
                  <w:pPr>
                    <w:pStyle w:val="13"/>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设备名称</w:t>
                  </w:r>
                </w:p>
              </w:tc>
              <w:tc>
                <w:tcPr>
                  <w:tcW w:w="867" w:type="dxa"/>
                  <w:tcBorders>
                    <w:tl2br w:val="nil"/>
                    <w:tr2bl w:val="nil"/>
                  </w:tcBorders>
                  <w:vAlign w:val="center"/>
                </w:tcPr>
                <w:p w14:paraId="352AD20B">
                  <w:pPr>
                    <w:pStyle w:val="13"/>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单位</w:t>
                  </w:r>
                </w:p>
              </w:tc>
              <w:tc>
                <w:tcPr>
                  <w:tcW w:w="1866" w:type="dxa"/>
                  <w:tcBorders>
                    <w:tl2br w:val="nil"/>
                    <w:tr2bl w:val="nil"/>
                  </w:tcBorders>
                  <w:vAlign w:val="center"/>
                </w:tcPr>
                <w:p w14:paraId="2E4EFE37">
                  <w:pPr>
                    <w:pStyle w:val="13"/>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设备型号</w:t>
                  </w:r>
                </w:p>
              </w:tc>
              <w:tc>
                <w:tcPr>
                  <w:tcW w:w="880" w:type="dxa"/>
                  <w:tcBorders>
                    <w:tl2br w:val="nil"/>
                    <w:tr2bl w:val="nil"/>
                  </w:tcBorders>
                  <w:vAlign w:val="center"/>
                </w:tcPr>
                <w:p w14:paraId="36E6B3FE">
                  <w:pPr>
                    <w:pStyle w:val="13"/>
                    <w:jc w:val="center"/>
                    <w:rPr>
                      <w:b/>
                      <w:bCs/>
                      <w:color w:val="000000" w:themeColor="text1"/>
                      <w:sz w:val="21"/>
                      <w:szCs w:val="21"/>
                      <w:highlight w:val="none"/>
                      <w14:textFill>
                        <w14:solidFill>
                          <w14:schemeClr w14:val="tx1"/>
                        </w14:solidFill>
                      </w14:textFill>
                    </w:rPr>
                  </w:pPr>
                  <w:r>
                    <w:rPr>
                      <w:b/>
                      <w:bCs/>
                      <w:color w:val="000000" w:themeColor="text1"/>
                      <w:sz w:val="21"/>
                      <w:szCs w:val="21"/>
                      <w:highlight w:val="none"/>
                      <w14:textFill>
                        <w14:solidFill>
                          <w14:schemeClr w14:val="tx1"/>
                        </w14:solidFill>
                      </w14:textFill>
                    </w:rPr>
                    <w:t>数量</w:t>
                  </w:r>
                </w:p>
              </w:tc>
              <w:tc>
                <w:tcPr>
                  <w:tcW w:w="2055" w:type="dxa"/>
                  <w:tcBorders>
                    <w:tl2br w:val="nil"/>
                    <w:tr2bl w:val="nil"/>
                  </w:tcBorders>
                  <w:vAlign w:val="center"/>
                </w:tcPr>
                <w:p w14:paraId="1A4C95F6">
                  <w:pPr>
                    <w:pStyle w:val="13"/>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备注</w:t>
                  </w:r>
                </w:p>
              </w:tc>
            </w:tr>
            <w:tr w14:paraId="409AE1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467FEC84">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1573" w:type="dxa"/>
                  <w:tcBorders>
                    <w:tl2br w:val="nil"/>
                    <w:tr2bl w:val="nil"/>
                  </w:tcBorders>
                  <w:vAlign w:val="center"/>
                </w:tcPr>
                <w:p w14:paraId="0497D339">
                  <w:pPr>
                    <w:pStyle w:val="13"/>
                    <w:jc w:val="center"/>
                    <w:rPr>
                      <w:color w:val="000000" w:themeColor="text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颚式破碎机</w:t>
                  </w:r>
                </w:p>
              </w:tc>
              <w:tc>
                <w:tcPr>
                  <w:tcW w:w="867" w:type="dxa"/>
                  <w:tcBorders>
                    <w:tl2br w:val="nil"/>
                    <w:tr2bl w:val="nil"/>
                  </w:tcBorders>
                  <w:vAlign w:val="center"/>
                </w:tcPr>
                <w:p w14:paraId="0F0E0A39">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台</w:t>
                  </w:r>
                </w:p>
              </w:tc>
              <w:tc>
                <w:tcPr>
                  <w:tcW w:w="1866" w:type="dxa"/>
                  <w:tcBorders>
                    <w:tl2br w:val="nil"/>
                    <w:tr2bl w:val="nil"/>
                  </w:tcBorders>
                  <w:vAlign w:val="center"/>
                </w:tcPr>
                <w:p w14:paraId="0DCEA87E">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600*900</w:t>
                  </w:r>
                </w:p>
              </w:tc>
              <w:tc>
                <w:tcPr>
                  <w:tcW w:w="880" w:type="dxa"/>
                  <w:tcBorders>
                    <w:tl2br w:val="nil"/>
                    <w:tr2bl w:val="nil"/>
                  </w:tcBorders>
                  <w:vAlign w:val="center"/>
                </w:tcPr>
                <w:p w14:paraId="17F9964C">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2055" w:type="dxa"/>
                  <w:tcBorders>
                    <w:tl2br w:val="nil"/>
                    <w:tr2bl w:val="nil"/>
                  </w:tcBorders>
                  <w:vAlign w:val="center"/>
                </w:tcPr>
                <w:p w14:paraId="26FC7B8C">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碎石</w:t>
                  </w:r>
                </w:p>
              </w:tc>
            </w:tr>
            <w:tr w14:paraId="624F22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37E0F4C8">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w:t>
                  </w:r>
                </w:p>
              </w:tc>
              <w:tc>
                <w:tcPr>
                  <w:tcW w:w="1573" w:type="dxa"/>
                  <w:tcBorders>
                    <w:tl2br w:val="nil"/>
                    <w:tr2bl w:val="nil"/>
                  </w:tcBorders>
                  <w:vAlign w:val="center"/>
                </w:tcPr>
                <w:p w14:paraId="731C4C4C">
                  <w:pPr>
                    <w:widowControl/>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锤式破碎机</w:t>
                  </w:r>
                </w:p>
              </w:tc>
              <w:tc>
                <w:tcPr>
                  <w:tcW w:w="867" w:type="dxa"/>
                  <w:tcBorders>
                    <w:tl2br w:val="nil"/>
                    <w:tr2bl w:val="nil"/>
                  </w:tcBorders>
                  <w:vAlign w:val="center"/>
                </w:tcPr>
                <w:p w14:paraId="7D65A85C">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台</w:t>
                  </w:r>
                </w:p>
              </w:tc>
              <w:tc>
                <w:tcPr>
                  <w:tcW w:w="1866" w:type="dxa"/>
                  <w:tcBorders>
                    <w:tl2br w:val="nil"/>
                    <w:tr2bl w:val="nil"/>
                  </w:tcBorders>
                  <w:vAlign w:val="center"/>
                </w:tcPr>
                <w:p w14:paraId="4C712BC4">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lang w:val="en-US" w:eastAsia="zh-CN"/>
                      <w14:textFill>
                        <w14:solidFill>
                          <w14:schemeClr w14:val="tx1"/>
                        </w14:solidFill>
                      </w14:textFill>
                    </w:rPr>
                    <w:t>8</w:t>
                  </w:r>
                  <w:r>
                    <w:rPr>
                      <w:rFonts w:hint="eastAsia"/>
                      <w:color w:val="000000" w:themeColor="text1"/>
                      <w:sz w:val="21"/>
                      <w:szCs w:val="21"/>
                      <w:highlight w:val="none"/>
                      <w14:textFill>
                        <w14:solidFill>
                          <w14:schemeClr w14:val="tx1"/>
                        </w14:solidFill>
                      </w14:textFill>
                    </w:rPr>
                    <w:t>00*</w:t>
                  </w:r>
                  <w:r>
                    <w:rPr>
                      <w:rFonts w:hint="eastAsia"/>
                      <w:color w:val="000000" w:themeColor="text1"/>
                      <w:sz w:val="21"/>
                      <w:szCs w:val="21"/>
                      <w:highlight w:val="none"/>
                      <w:lang w:val="en-US" w:eastAsia="zh-CN"/>
                      <w14:textFill>
                        <w14:solidFill>
                          <w14:schemeClr w14:val="tx1"/>
                        </w14:solidFill>
                      </w14:textFill>
                    </w:rPr>
                    <w:t>8</w:t>
                  </w:r>
                  <w:r>
                    <w:rPr>
                      <w:rFonts w:hint="eastAsia"/>
                      <w:color w:val="000000" w:themeColor="text1"/>
                      <w:sz w:val="21"/>
                      <w:szCs w:val="21"/>
                      <w:highlight w:val="none"/>
                      <w14:textFill>
                        <w14:solidFill>
                          <w14:schemeClr w14:val="tx1"/>
                        </w14:solidFill>
                      </w14:textFill>
                    </w:rPr>
                    <w:t>00</w:t>
                  </w:r>
                </w:p>
              </w:tc>
              <w:tc>
                <w:tcPr>
                  <w:tcW w:w="880" w:type="dxa"/>
                  <w:tcBorders>
                    <w:tl2br w:val="nil"/>
                    <w:tr2bl w:val="nil"/>
                  </w:tcBorders>
                  <w:vAlign w:val="center"/>
                </w:tcPr>
                <w:p w14:paraId="3B930068">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1</w:t>
                  </w:r>
                </w:p>
              </w:tc>
              <w:tc>
                <w:tcPr>
                  <w:tcW w:w="2055" w:type="dxa"/>
                  <w:tcBorders>
                    <w:tl2br w:val="nil"/>
                    <w:tr2bl w:val="nil"/>
                  </w:tcBorders>
                  <w:vAlign w:val="center"/>
                </w:tcPr>
                <w:p w14:paraId="50947437">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碎石</w:t>
                  </w:r>
                </w:p>
              </w:tc>
            </w:tr>
            <w:tr w14:paraId="06464F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5E952892">
                  <w:pPr>
                    <w:pStyle w:val="13"/>
                    <w:jc w:val="cente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3</w:t>
                  </w:r>
                </w:p>
              </w:tc>
              <w:tc>
                <w:tcPr>
                  <w:tcW w:w="1573" w:type="dxa"/>
                  <w:tcBorders>
                    <w:tl2br w:val="nil"/>
                    <w:tr2bl w:val="nil"/>
                  </w:tcBorders>
                  <w:vAlign w:val="center"/>
                </w:tcPr>
                <w:p w14:paraId="41F503AD">
                  <w:pPr>
                    <w:widowControl/>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sz w:val="21"/>
                      <w:szCs w:val="21"/>
                      <w:highlight w:val="none"/>
                      <w:lang w:val="en-US" w:eastAsia="zh-CN"/>
                    </w:rPr>
                    <w:t>装载机</w:t>
                  </w:r>
                </w:p>
              </w:tc>
              <w:tc>
                <w:tcPr>
                  <w:tcW w:w="867" w:type="dxa"/>
                  <w:tcBorders>
                    <w:tl2br w:val="nil"/>
                    <w:tr2bl w:val="nil"/>
                  </w:tcBorders>
                  <w:vAlign w:val="center"/>
                </w:tcPr>
                <w:p w14:paraId="799EF734">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s="Times New Roman"/>
                      <w:color w:val="000000" w:themeColor="text1"/>
                      <w:kern w:val="2"/>
                      <w:sz w:val="21"/>
                      <w:szCs w:val="21"/>
                      <w:highlight w:val="none"/>
                      <w:lang w:val="en-US" w:eastAsia="zh-CN" w:bidi="ar-SA"/>
                      <w14:textFill>
                        <w14:solidFill>
                          <w14:schemeClr w14:val="tx1"/>
                        </w14:solidFill>
                      </w14:textFill>
                    </w:rPr>
                    <w:t>台</w:t>
                  </w:r>
                </w:p>
              </w:tc>
              <w:tc>
                <w:tcPr>
                  <w:tcW w:w="1866" w:type="dxa"/>
                  <w:tcBorders>
                    <w:tl2br w:val="nil"/>
                    <w:tr2bl w:val="nil"/>
                  </w:tcBorders>
                  <w:vAlign w:val="center"/>
                </w:tcPr>
                <w:p w14:paraId="17856705">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sz w:val="21"/>
                      <w:szCs w:val="21"/>
                      <w:highlight w:val="none"/>
                      <w:lang w:val="en-US" w:eastAsia="zh-CN"/>
                    </w:rPr>
                    <w:t>山工653D</w:t>
                  </w:r>
                </w:p>
              </w:tc>
              <w:tc>
                <w:tcPr>
                  <w:tcW w:w="880" w:type="dxa"/>
                  <w:tcBorders>
                    <w:tl2br w:val="nil"/>
                    <w:tr2bl w:val="nil"/>
                  </w:tcBorders>
                  <w:vAlign w:val="center"/>
                </w:tcPr>
                <w:p w14:paraId="222A2A53">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sz w:val="21"/>
                      <w:szCs w:val="21"/>
                      <w:highlight w:val="none"/>
                      <w:lang w:val="en-US" w:eastAsia="zh-CN"/>
                    </w:rPr>
                    <w:t>1</w:t>
                  </w:r>
                </w:p>
              </w:tc>
              <w:tc>
                <w:tcPr>
                  <w:tcW w:w="2055" w:type="dxa"/>
                  <w:tcBorders>
                    <w:tl2br w:val="nil"/>
                    <w:tr2bl w:val="nil"/>
                  </w:tcBorders>
                  <w:vAlign w:val="center"/>
                </w:tcPr>
                <w:p w14:paraId="041292EE">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sz w:val="21"/>
                      <w:szCs w:val="21"/>
                      <w:highlight w:val="none"/>
                      <w:lang w:val="en-US" w:eastAsia="zh-CN"/>
                    </w:rPr>
                    <w:t>上料</w:t>
                  </w:r>
                </w:p>
              </w:tc>
            </w:tr>
            <w:tr w14:paraId="3A41574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78D22975">
                  <w:pPr>
                    <w:pStyle w:val="13"/>
                    <w:jc w:val="cente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4</w:t>
                  </w:r>
                </w:p>
              </w:tc>
              <w:tc>
                <w:tcPr>
                  <w:tcW w:w="1573" w:type="dxa"/>
                  <w:tcBorders>
                    <w:tl2br w:val="nil"/>
                    <w:tr2bl w:val="nil"/>
                  </w:tcBorders>
                  <w:vAlign w:val="center"/>
                </w:tcPr>
                <w:p w14:paraId="59AB697D">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给料机</w:t>
                  </w:r>
                </w:p>
              </w:tc>
              <w:tc>
                <w:tcPr>
                  <w:tcW w:w="867" w:type="dxa"/>
                  <w:tcBorders>
                    <w:tl2br w:val="nil"/>
                    <w:tr2bl w:val="nil"/>
                  </w:tcBorders>
                  <w:vAlign w:val="center"/>
                </w:tcPr>
                <w:p w14:paraId="1E709688">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台</w:t>
                  </w:r>
                </w:p>
              </w:tc>
              <w:tc>
                <w:tcPr>
                  <w:tcW w:w="1866" w:type="dxa"/>
                  <w:tcBorders>
                    <w:tl2br w:val="nil"/>
                    <w:tr2bl w:val="nil"/>
                  </w:tcBorders>
                  <w:vAlign w:val="center"/>
                </w:tcPr>
                <w:p w14:paraId="707D75D7">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t>
                  </w:r>
                </w:p>
              </w:tc>
              <w:tc>
                <w:tcPr>
                  <w:tcW w:w="880" w:type="dxa"/>
                  <w:tcBorders>
                    <w:tl2br w:val="nil"/>
                    <w:tr2bl w:val="nil"/>
                  </w:tcBorders>
                  <w:vAlign w:val="center"/>
                </w:tcPr>
                <w:p w14:paraId="1586E568">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055" w:type="dxa"/>
                  <w:tcBorders>
                    <w:tl2br w:val="nil"/>
                    <w:tr2bl w:val="nil"/>
                  </w:tcBorders>
                  <w:vAlign w:val="center"/>
                </w:tcPr>
                <w:p w14:paraId="4F7EB2D3">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上料</w:t>
                  </w:r>
                </w:p>
              </w:tc>
            </w:tr>
            <w:tr w14:paraId="6DE7C2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47DC5EDA">
                  <w:pPr>
                    <w:pStyle w:val="13"/>
                    <w:jc w:val="cente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color w:val="000000" w:themeColor="text1"/>
                      <w:sz w:val="21"/>
                      <w:szCs w:val="21"/>
                      <w:highlight w:val="none"/>
                      <w14:textFill>
                        <w14:solidFill>
                          <w14:schemeClr w14:val="tx1"/>
                        </w14:solidFill>
                      </w14:textFill>
                    </w:rPr>
                    <w:t>5</w:t>
                  </w:r>
                </w:p>
              </w:tc>
              <w:tc>
                <w:tcPr>
                  <w:tcW w:w="1573" w:type="dxa"/>
                  <w:tcBorders>
                    <w:tl2br w:val="nil"/>
                    <w:tr2bl w:val="nil"/>
                  </w:tcBorders>
                  <w:vAlign w:val="center"/>
                </w:tcPr>
                <w:p w14:paraId="00F65DEB">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振动筛</w:t>
                  </w:r>
                </w:p>
              </w:tc>
              <w:tc>
                <w:tcPr>
                  <w:tcW w:w="867" w:type="dxa"/>
                  <w:tcBorders>
                    <w:tl2br w:val="nil"/>
                    <w:tr2bl w:val="nil"/>
                  </w:tcBorders>
                  <w:vAlign w:val="center"/>
                </w:tcPr>
                <w:p w14:paraId="5E50050E">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台</w:t>
                  </w:r>
                </w:p>
              </w:tc>
              <w:tc>
                <w:tcPr>
                  <w:tcW w:w="1866" w:type="dxa"/>
                  <w:tcBorders>
                    <w:tl2br w:val="nil"/>
                    <w:tr2bl w:val="nil"/>
                  </w:tcBorders>
                  <w:vAlign w:val="center"/>
                </w:tcPr>
                <w:p w14:paraId="75623DFD">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2100x7000</w:t>
                  </w:r>
                </w:p>
              </w:tc>
              <w:tc>
                <w:tcPr>
                  <w:tcW w:w="880" w:type="dxa"/>
                  <w:tcBorders>
                    <w:tl2br w:val="nil"/>
                    <w:tr2bl w:val="nil"/>
                  </w:tcBorders>
                  <w:vAlign w:val="center"/>
                </w:tcPr>
                <w:p w14:paraId="782DCE1E">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2</w:t>
                  </w:r>
                </w:p>
              </w:tc>
              <w:tc>
                <w:tcPr>
                  <w:tcW w:w="2055" w:type="dxa"/>
                  <w:tcBorders>
                    <w:tl2br w:val="nil"/>
                    <w:tr2bl w:val="nil"/>
                  </w:tcBorders>
                  <w:vAlign w:val="center"/>
                </w:tcPr>
                <w:p w14:paraId="709A4BAD">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筛分</w:t>
                  </w:r>
                </w:p>
              </w:tc>
            </w:tr>
            <w:tr w14:paraId="36148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7E01D26F">
                  <w:pPr>
                    <w:pStyle w:val="13"/>
                    <w:jc w:val="center"/>
                    <w:rPr>
                      <w:rFonts w:ascii="Times New Roman" w:hAnsi="Times New Roman" w:eastAsia="宋体" w:cs="Times New Roman"/>
                      <w:color w:val="000000" w:themeColor="text1"/>
                      <w:kern w:val="0"/>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6</w:t>
                  </w:r>
                </w:p>
              </w:tc>
              <w:tc>
                <w:tcPr>
                  <w:tcW w:w="1573" w:type="dxa"/>
                  <w:tcBorders>
                    <w:tl2br w:val="nil"/>
                    <w:tr2bl w:val="nil"/>
                  </w:tcBorders>
                  <w:vAlign w:val="center"/>
                </w:tcPr>
                <w:p w14:paraId="2001F4C9">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sz w:val="21"/>
                      <w:szCs w:val="21"/>
                      <w:highlight w:val="none"/>
                      <w:lang w:val="en-US" w:eastAsia="zh-CN"/>
                    </w:rPr>
                    <w:t>装载机</w:t>
                  </w:r>
                </w:p>
              </w:tc>
              <w:tc>
                <w:tcPr>
                  <w:tcW w:w="867" w:type="dxa"/>
                  <w:tcBorders>
                    <w:tl2br w:val="nil"/>
                    <w:tr2bl w:val="nil"/>
                  </w:tcBorders>
                  <w:vAlign w:val="center"/>
                </w:tcPr>
                <w:p w14:paraId="783AE5A6">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台</w:t>
                  </w:r>
                </w:p>
              </w:tc>
              <w:tc>
                <w:tcPr>
                  <w:tcW w:w="1866" w:type="dxa"/>
                  <w:tcBorders>
                    <w:tl2br w:val="nil"/>
                    <w:tr2bl w:val="nil"/>
                  </w:tcBorders>
                  <w:vAlign w:val="center"/>
                </w:tcPr>
                <w:p w14:paraId="00627AE8">
                  <w:pPr>
                    <w:jc w:val="center"/>
                    <w:rPr>
                      <w:rFonts w:hint="default"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default" w:ascii="Times New Roman" w:hAnsi="Times New Roman" w:cs="Times New Roman"/>
                      <w:sz w:val="21"/>
                      <w:szCs w:val="21"/>
                      <w:highlight w:val="none"/>
                      <w:lang w:val="en-US" w:eastAsia="zh-CN"/>
                    </w:rPr>
                    <w:t>徐工LW500HV</w:t>
                  </w:r>
                </w:p>
              </w:tc>
              <w:tc>
                <w:tcPr>
                  <w:tcW w:w="880" w:type="dxa"/>
                  <w:tcBorders>
                    <w:tl2br w:val="nil"/>
                    <w:tr2bl w:val="nil"/>
                  </w:tcBorders>
                  <w:vAlign w:val="center"/>
                </w:tcPr>
                <w:p w14:paraId="628A63F8">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055" w:type="dxa"/>
                  <w:tcBorders>
                    <w:tl2br w:val="nil"/>
                    <w:tr2bl w:val="nil"/>
                  </w:tcBorders>
                  <w:vAlign w:val="center"/>
                </w:tcPr>
                <w:p w14:paraId="4DE79DF8">
                  <w:pPr>
                    <w:jc w:val="cente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pPr>
                  <w:r>
                    <w:rPr>
                      <w:rFonts w:hint="eastAsia" w:ascii="Times New Roman" w:hAnsi="Times New Roman" w:cs="Times New Roman"/>
                      <w:sz w:val="21"/>
                      <w:szCs w:val="21"/>
                      <w:highlight w:val="none"/>
                      <w:lang w:val="en-US" w:eastAsia="zh-CN"/>
                    </w:rPr>
                    <w:t>装车</w:t>
                  </w:r>
                </w:p>
              </w:tc>
            </w:tr>
            <w:tr w14:paraId="4B3BB7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46834008">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w:t>
                  </w:r>
                </w:p>
              </w:tc>
              <w:tc>
                <w:tcPr>
                  <w:tcW w:w="1573" w:type="dxa"/>
                  <w:tcBorders>
                    <w:tl2br w:val="nil"/>
                    <w:tr2bl w:val="nil"/>
                  </w:tcBorders>
                  <w:vAlign w:val="center"/>
                </w:tcPr>
                <w:p w14:paraId="7CCCF027">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袋式</w:t>
                  </w:r>
                  <w:r>
                    <w:rPr>
                      <w:color w:val="000000" w:themeColor="text1"/>
                      <w:sz w:val="21"/>
                      <w:szCs w:val="21"/>
                      <w:highlight w:val="none"/>
                      <w14:textFill>
                        <w14:solidFill>
                          <w14:schemeClr w14:val="tx1"/>
                        </w14:solidFill>
                      </w14:textFill>
                    </w:rPr>
                    <w:t>除尘器</w:t>
                  </w:r>
                </w:p>
              </w:tc>
              <w:tc>
                <w:tcPr>
                  <w:tcW w:w="867" w:type="dxa"/>
                  <w:tcBorders>
                    <w:tl2br w:val="nil"/>
                    <w:tr2bl w:val="nil"/>
                  </w:tcBorders>
                  <w:vAlign w:val="center"/>
                </w:tcPr>
                <w:p w14:paraId="785D7B34">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套</w:t>
                  </w:r>
                </w:p>
              </w:tc>
              <w:tc>
                <w:tcPr>
                  <w:tcW w:w="1866" w:type="dxa"/>
                  <w:tcBorders>
                    <w:tl2br w:val="nil"/>
                    <w:tr2bl w:val="nil"/>
                  </w:tcBorders>
                  <w:vAlign w:val="center"/>
                </w:tcPr>
                <w:p w14:paraId="2BBEA957">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t>
                  </w:r>
                </w:p>
              </w:tc>
              <w:tc>
                <w:tcPr>
                  <w:tcW w:w="880" w:type="dxa"/>
                  <w:tcBorders>
                    <w:tl2br w:val="nil"/>
                    <w:tr2bl w:val="nil"/>
                  </w:tcBorders>
                  <w:vAlign w:val="center"/>
                </w:tcPr>
                <w:p w14:paraId="00D7604A">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w:t>
                  </w:r>
                </w:p>
              </w:tc>
              <w:tc>
                <w:tcPr>
                  <w:tcW w:w="2055" w:type="dxa"/>
                  <w:tcBorders>
                    <w:tl2br w:val="nil"/>
                    <w:tr2bl w:val="nil"/>
                  </w:tcBorders>
                  <w:vAlign w:val="center"/>
                </w:tcPr>
                <w:p w14:paraId="61B8CEE8">
                  <w:pPr>
                    <w:pStyle w:val="13"/>
                    <w:jc w:val="center"/>
                    <w:rPr>
                      <w:rFonts w:hint="eastAsia" w:eastAsia="宋体"/>
                      <w:color w:val="000000" w:themeColor="text1"/>
                      <w:sz w:val="21"/>
                      <w:szCs w:val="21"/>
                      <w:highlight w:val="none"/>
                      <w:lang w:eastAsia="zh-CN"/>
                      <w14:textFill>
                        <w14:solidFill>
                          <w14:schemeClr w14:val="tx1"/>
                        </w14:solidFill>
                      </w14:textFill>
                    </w:rPr>
                  </w:pPr>
                  <w:r>
                    <w:rPr>
                      <w:rFonts w:hint="eastAsia"/>
                      <w:color w:val="000000" w:themeColor="text1"/>
                      <w:sz w:val="21"/>
                      <w:szCs w:val="21"/>
                      <w:highlight w:val="none"/>
                      <w14:textFill>
                        <w14:solidFill>
                          <w14:schemeClr w14:val="tx1"/>
                        </w14:solidFill>
                      </w14:textFill>
                    </w:rPr>
                    <w:t>废气处理</w:t>
                  </w:r>
                  <w:r>
                    <w:rPr>
                      <w:rFonts w:hint="eastAsia"/>
                      <w:color w:val="000000" w:themeColor="text1"/>
                      <w:sz w:val="21"/>
                      <w:szCs w:val="21"/>
                      <w:highlight w:val="none"/>
                      <w:lang w:eastAsia="zh-CN"/>
                      <w14:textFill>
                        <w14:solidFill>
                          <w14:schemeClr w14:val="tx1"/>
                        </w14:solidFill>
                      </w14:textFill>
                    </w:rPr>
                    <w:t>，</w:t>
                  </w:r>
                  <w:r>
                    <w:rPr>
                      <w:rFonts w:hint="eastAsia"/>
                      <w:color w:val="000000" w:themeColor="text1"/>
                      <w:sz w:val="21"/>
                      <w:szCs w:val="21"/>
                      <w:highlight w:val="none"/>
                      <w:lang w:val="en-US" w:eastAsia="zh-CN"/>
                      <w14:textFill>
                        <w14:solidFill>
                          <w14:schemeClr w14:val="tx1"/>
                        </w14:solidFill>
                      </w14:textFill>
                    </w:rPr>
                    <w:t>配套风机</w:t>
                  </w:r>
                </w:p>
              </w:tc>
            </w:tr>
            <w:tr w14:paraId="09388C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07D4F933">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8</w:t>
                  </w:r>
                </w:p>
              </w:tc>
              <w:tc>
                <w:tcPr>
                  <w:tcW w:w="1573" w:type="dxa"/>
                  <w:tcBorders>
                    <w:tl2br w:val="nil"/>
                    <w:tr2bl w:val="nil"/>
                  </w:tcBorders>
                  <w:vAlign w:val="center"/>
                </w:tcPr>
                <w:p w14:paraId="65312889">
                  <w:pPr>
                    <w:pStyle w:val="13"/>
                    <w:jc w:val="center"/>
                    <w:rPr>
                      <w:color w:val="000000" w:themeColor="text1"/>
                      <w:sz w:val="21"/>
                      <w:szCs w:val="21"/>
                      <w:highlight w:val="none"/>
                      <w14:textFill>
                        <w14:solidFill>
                          <w14:schemeClr w14:val="tx1"/>
                        </w14:solidFill>
                      </w14:textFill>
                    </w:rPr>
                  </w:pPr>
                  <w:r>
                    <w:rPr>
                      <w:color w:val="000000" w:themeColor="text1"/>
                      <w:sz w:val="21"/>
                      <w:szCs w:val="21"/>
                      <w:highlight w:val="none"/>
                      <w14:textFill>
                        <w14:solidFill>
                          <w14:schemeClr w14:val="tx1"/>
                        </w14:solidFill>
                      </w14:textFill>
                    </w:rPr>
                    <w:t>输送皮带廊</w:t>
                  </w:r>
                </w:p>
              </w:tc>
              <w:tc>
                <w:tcPr>
                  <w:tcW w:w="867" w:type="dxa"/>
                  <w:tcBorders>
                    <w:tl2br w:val="nil"/>
                    <w:tr2bl w:val="nil"/>
                  </w:tcBorders>
                  <w:vAlign w:val="center"/>
                </w:tcPr>
                <w:p w14:paraId="53DFBE3F">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条</w:t>
                  </w:r>
                </w:p>
              </w:tc>
              <w:tc>
                <w:tcPr>
                  <w:tcW w:w="1866" w:type="dxa"/>
                  <w:tcBorders>
                    <w:tl2br w:val="nil"/>
                    <w:tr2bl w:val="nil"/>
                  </w:tcBorders>
                  <w:vAlign w:val="center"/>
                </w:tcPr>
                <w:p w14:paraId="05F5D9A8">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w:t>
                  </w:r>
                </w:p>
              </w:tc>
              <w:tc>
                <w:tcPr>
                  <w:tcW w:w="880" w:type="dxa"/>
                  <w:tcBorders>
                    <w:tl2br w:val="nil"/>
                    <w:tr2bl w:val="nil"/>
                  </w:tcBorders>
                  <w:vAlign w:val="center"/>
                </w:tcPr>
                <w:p w14:paraId="151B8829">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6</w:t>
                  </w:r>
                </w:p>
              </w:tc>
              <w:tc>
                <w:tcPr>
                  <w:tcW w:w="2055" w:type="dxa"/>
                  <w:tcBorders>
                    <w:tl2br w:val="nil"/>
                    <w:tr2bl w:val="nil"/>
                  </w:tcBorders>
                  <w:vAlign w:val="center"/>
                </w:tcPr>
                <w:p w14:paraId="60807E6D">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全封闭式</w:t>
                  </w:r>
                </w:p>
              </w:tc>
            </w:tr>
            <w:tr w14:paraId="755E69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2305AE9A">
                  <w:pPr>
                    <w:pStyle w:val="13"/>
                    <w:jc w:val="center"/>
                    <w:rPr>
                      <w:rFonts w:hint="eastAsia" w:eastAsia="宋体"/>
                      <w:color w:val="FF0000"/>
                      <w:sz w:val="21"/>
                      <w:szCs w:val="21"/>
                      <w:highlight w:val="none"/>
                      <w:lang w:eastAsia="zh-CN"/>
                    </w:rPr>
                  </w:pPr>
                  <w:r>
                    <w:rPr>
                      <w:rFonts w:hint="eastAsia"/>
                      <w:color w:val="FF0000"/>
                      <w:sz w:val="21"/>
                      <w:szCs w:val="21"/>
                      <w:highlight w:val="none"/>
                      <w:lang w:val="en-US" w:eastAsia="zh-CN"/>
                    </w:rPr>
                    <w:t>9</w:t>
                  </w:r>
                </w:p>
              </w:tc>
              <w:tc>
                <w:tcPr>
                  <w:tcW w:w="1573" w:type="dxa"/>
                  <w:tcBorders>
                    <w:tl2br w:val="nil"/>
                    <w:tr2bl w:val="nil"/>
                  </w:tcBorders>
                  <w:vAlign w:val="center"/>
                </w:tcPr>
                <w:p w14:paraId="5B6A0C68">
                  <w:pPr>
                    <w:pStyle w:val="13"/>
                    <w:jc w:val="center"/>
                    <w:rPr>
                      <w:color w:val="FF0000"/>
                      <w:sz w:val="21"/>
                      <w:szCs w:val="21"/>
                      <w:highlight w:val="none"/>
                    </w:rPr>
                  </w:pPr>
                  <w:r>
                    <w:rPr>
                      <w:rFonts w:hint="eastAsia"/>
                      <w:color w:val="FF0000"/>
                      <w:sz w:val="21"/>
                      <w:szCs w:val="21"/>
                      <w:highlight w:val="none"/>
                    </w:rPr>
                    <w:t>雾炮机</w:t>
                  </w:r>
                </w:p>
              </w:tc>
              <w:tc>
                <w:tcPr>
                  <w:tcW w:w="867" w:type="dxa"/>
                  <w:tcBorders>
                    <w:tl2br w:val="nil"/>
                    <w:tr2bl w:val="nil"/>
                  </w:tcBorders>
                  <w:vAlign w:val="center"/>
                </w:tcPr>
                <w:p w14:paraId="7A859DED">
                  <w:pPr>
                    <w:pStyle w:val="13"/>
                    <w:jc w:val="center"/>
                    <w:rPr>
                      <w:color w:val="FF0000"/>
                      <w:sz w:val="21"/>
                      <w:szCs w:val="21"/>
                      <w:highlight w:val="none"/>
                    </w:rPr>
                  </w:pPr>
                  <w:r>
                    <w:rPr>
                      <w:rFonts w:hint="eastAsia"/>
                      <w:color w:val="FF0000"/>
                      <w:sz w:val="21"/>
                      <w:szCs w:val="21"/>
                      <w:highlight w:val="none"/>
                    </w:rPr>
                    <w:t>台</w:t>
                  </w:r>
                </w:p>
              </w:tc>
              <w:tc>
                <w:tcPr>
                  <w:tcW w:w="1866" w:type="dxa"/>
                  <w:tcBorders>
                    <w:tl2br w:val="nil"/>
                    <w:tr2bl w:val="nil"/>
                  </w:tcBorders>
                  <w:vAlign w:val="center"/>
                </w:tcPr>
                <w:p w14:paraId="40FF7F5D">
                  <w:pPr>
                    <w:pStyle w:val="13"/>
                    <w:jc w:val="center"/>
                    <w:rPr>
                      <w:color w:val="FF0000"/>
                      <w:sz w:val="21"/>
                      <w:szCs w:val="21"/>
                      <w:highlight w:val="none"/>
                    </w:rPr>
                  </w:pPr>
                  <w:r>
                    <w:rPr>
                      <w:rFonts w:hint="eastAsia"/>
                      <w:color w:val="FF0000"/>
                      <w:sz w:val="21"/>
                      <w:szCs w:val="21"/>
                      <w:highlight w:val="none"/>
                    </w:rPr>
                    <w:t>/</w:t>
                  </w:r>
                </w:p>
              </w:tc>
              <w:tc>
                <w:tcPr>
                  <w:tcW w:w="880" w:type="dxa"/>
                  <w:tcBorders>
                    <w:tl2br w:val="nil"/>
                    <w:tr2bl w:val="nil"/>
                  </w:tcBorders>
                  <w:vAlign w:val="center"/>
                </w:tcPr>
                <w:p w14:paraId="52114DFB">
                  <w:pPr>
                    <w:pStyle w:val="13"/>
                    <w:jc w:val="center"/>
                    <w:rPr>
                      <w:rFonts w:hint="eastAsia" w:eastAsia="宋体"/>
                      <w:color w:val="FF0000"/>
                      <w:sz w:val="21"/>
                      <w:szCs w:val="21"/>
                      <w:highlight w:val="none"/>
                      <w:lang w:eastAsia="zh-CN"/>
                    </w:rPr>
                  </w:pPr>
                  <w:r>
                    <w:rPr>
                      <w:rFonts w:hint="eastAsia"/>
                      <w:color w:val="FF0000"/>
                      <w:sz w:val="21"/>
                      <w:szCs w:val="21"/>
                      <w:highlight w:val="none"/>
                      <w:lang w:val="en-US" w:eastAsia="zh-CN"/>
                    </w:rPr>
                    <w:t>2</w:t>
                  </w:r>
                </w:p>
              </w:tc>
              <w:tc>
                <w:tcPr>
                  <w:tcW w:w="2055" w:type="dxa"/>
                  <w:tcBorders>
                    <w:tl2br w:val="nil"/>
                    <w:tr2bl w:val="nil"/>
                  </w:tcBorders>
                  <w:vAlign w:val="center"/>
                </w:tcPr>
                <w:p w14:paraId="1F438D8B">
                  <w:pPr>
                    <w:pStyle w:val="13"/>
                    <w:jc w:val="center"/>
                    <w:rPr>
                      <w:color w:val="FF0000"/>
                      <w:sz w:val="21"/>
                      <w:szCs w:val="21"/>
                      <w:highlight w:val="none"/>
                    </w:rPr>
                  </w:pPr>
                  <w:r>
                    <w:rPr>
                      <w:rFonts w:hint="eastAsia"/>
                      <w:color w:val="FF0000"/>
                      <w:sz w:val="21"/>
                      <w:szCs w:val="21"/>
                      <w:highlight w:val="none"/>
                      <w:lang w:val="en-US" w:eastAsia="zh-CN"/>
                    </w:rPr>
                    <w:t>产品库、给料机抑尘</w:t>
                  </w:r>
                </w:p>
              </w:tc>
            </w:tr>
            <w:tr w14:paraId="1C9D7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6E7D237D">
                  <w:pPr>
                    <w:pStyle w:val="13"/>
                    <w:jc w:val="center"/>
                    <w:rPr>
                      <w:rFonts w:hint="default"/>
                      <w:color w:val="FF0000"/>
                      <w:sz w:val="21"/>
                      <w:szCs w:val="21"/>
                      <w:highlight w:val="none"/>
                      <w:lang w:val="en-US" w:eastAsia="zh-CN"/>
                    </w:rPr>
                  </w:pPr>
                  <w:r>
                    <w:rPr>
                      <w:rFonts w:hint="eastAsia"/>
                      <w:color w:val="FF0000"/>
                      <w:sz w:val="21"/>
                      <w:szCs w:val="21"/>
                      <w:highlight w:val="none"/>
                      <w:lang w:val="en-US" w:eastAsia="zh-CN"/>
                    </w:rPr>
                    <w:t>10</w:t>
                  </w:r>
                </w:p>
              </w:tc>
              <w:tc>
                <w:tcPr>
                  <w:tcW w:w="1573" w:type="dxa"/>
                  <w:tcBorders>
                    <w:tl2br w:val="nil"/>
                    <w:tr2bl w:val="nil"/>
                  </w:tcBorders>
                  <w:vAlign w:val="center"/>
                </w:tcPr>
                <w:p w14:paraId="2D0256E0">
                  <w:pPr>
                    <w:pStyle w:val="13"/>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喷淋装置</w:t>
                  </w:r>
                </w:p>
              </w:tc>
              <w:tc>
                <w:tcPr>
                  <w:tcW w:w="867" w:type="dxa"/>
                  <w:tcBorders>
                    <w:tl2br w:val="nil"/>
                    <w:tr2bl w:val="nil"/>
                  </w:tcBorders>
                  <w:vAlign w:val="center"/>
                </w:tcPr>
                <w:p w14:paraId="689877E8">
                  <w:pPr>
                    <w:pStyle w:val="13"/>
                    <w:jc w:val="center"/>
                    <w:rPr>
                      <w:rFonts w:hint="eastAsia" w:eastAsia="宋体"/>
                      <w:color w:val="FF0000"/>
                      <w:sz w:val="21"/>
                      <w:szCs w:val="21"/>
                      <w:highlight w:val="none"/>
                      <w:lang w:val="en-US" w:eastAsia="zh-CN"/>
                    </w:rPr>
                  </w:pPr>
                  <w:r>
                    <w:rPr>
                      <w:rFonts w:hint="eastAsia"/>
                      <w:color w:val="FF0000"/>
                      <w:sz w:val="21"/>
                      <w:szCs w:val="21"/>
                      <w:highlight w:val="none"/>
                      <w:lang w:val="en-US" w:eastAsia="zh-CN"/>
                    </w:rPr>
                    <w:t>套</w:t>
                  </w:r>
                </w:p>
              </w:tc>
              <w:tc>
                <w:tcPr>
                  <w:tcW w:w="1866" w:type="dxa"/>
                  <w:tcBorders>
                    <w:tl2br w:val="nil"/>
                    <w:tr2bl w:val="nil"/>
                  </w:tcBorders>
                  <w:vAlign w:val="center"/>
                </w:tcPr>
                <w:p w14:paraId="1C098972">
                  <w:pPr>
                    <w:pStyle w:val="13"/>
                    <w:jc w:val="center"/>
                    <w:rPr>
                      <w:rFonts w:hint="eastAsia" w:eastAsia="宋体"/>
                      <w:color w:val="FF0000"/>
                      <w:sz w:val="21"/>
                      <w:szCs w:val="21"/>
                      <w:highlight w:val="none"/>
                      <w:lang w:val="en-US" w:eastAsia="zh-CN"/>
                    </w:rPr>
                  </w:pPr>
                  <w:r>
                    <w:rPr>
                      <w:rFonts w:hint="eastAsia"/>
                      <w:color w:val="FF0000"/>
                      <w:sz w:val="21"/>
                      <w:szCs w:val="21"/>
                      <w:highlight w:val="none"/>
                      <w:lang w:val="en-US" w:eastAsia="zh-CN"/>
                    </w:rPr>
                    <w:t>/</w:t>
                  </w:r>
                </w:p>
              </w:tc>
              <w:tc>
                <w:tcPr>
                  <w:tcW w:w="880" w:type="dxa"/>
                  <w:tcBorders>
                    <w:tl2br w:val="nil"/>
                    <w:tr2bl w:val="nil"/>
                  </w:tcBorders>
                  <w:vAlign w:val="center"/>
                </w:tcPr>
                <w:p w14:paraId="30B47094">
                  <w:pPr>
                    <w:pStyle w:val="13"/>
                    <w:jc w:val="center"/>
                    <w:rPr>
                      <w:rFonts w:hint="default"/>
                      <w:color w:val="FF0000"/>
                      <w:sz w:val="21"/>
                      <w:szCs w:val="21"/>
                      <w:highlight w:val="none"/>
                      <w:lang w:val="en-US" w:eastAsia="zh-CN"/>
                    </w:rPr>
                  </w:pPr>
                  <w:r>
                    <w:rPr>
                      <w:rFonts w:hint="eastAsia"/>
                      <w:color w:val="FF0000"/>
                      <w:sz w:val="21"/>
                      <w:szCs w:val="21"/>
                      <w:highlight w:val="none"/>
                      <w:lang w:val="en-US" w:eastAsia="zh-CN"/>
                    </w:rPr>
                    <w:t>1</w:t>
                  </w:r>
                </w:p>
              </w:tc>
              <w:tc>
                <w:tcPr>
                  <w:tcW w:w="2055" w:type="dxa"/>
                  <w:tcBorders>
                    <w:tl2br w:val="nil"/>
                    <w:tr2bl w:val="nil"/>
                  </w:tcBorders>
                  <w:vAlign w:val="center"/>
                </w:tcPr>
                <w:p w14:paraId="3B8C59C9">
                  <w:pPr>
                    <w:pStyle w:val="13"/>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厂区抑尘，手持软管洒水</w:t>
                  </w:r>
                </w:p>
              </w:tc>
            </w:tr>
            <w:tr w14:paraId="40EBE5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04" w:type="dxa"/>
                  <w:tcBorders>
                    <w:tl2br w:val="nil"/>
                    <w:tr2bl w:val="nil"/>
                  </w:tcBorders>
                  <w:vAlign w:val="center"/>
                </w:tcPr>
                <w:p w14:paraId="20AF51B1">
                  <w:pPr>
                    <w:pStyle w:val="13"/>
                    <w:jc w:val="center"/>
                    <w:rPr>
                      <w:rFonts w:hint="default"/>
                      <w:color w:val="FF0000"/>
                      <w:sz w:val="21"/>
                      <w:szCs w:val="21"/>
                      <w:highlight w:val="none"/>
                      <w:lang w:val="en-US" w:eastAsia="zh-CN"/>
                    </w:rPr>
                  </w:pPr>
                  <w:r>
                    <w:rPr>
                      <w:rFonts w:hint="eastAsia"/>
                      <w:color w:val="FF0000"/>
                      <w:sz w:val="21"/>
                      <w:szCs w:val="21"/>
                      <w:highlight w:val="none"/>
                      <w:lang w:val="en-US" w:eastAsia="zh-CN"/>
                    </w:rPr>
                    <w:t>11</w:t>
                  </w:r>
                </w:p>
              </w:tc>
              <w:tc>
                <w:tcPr>
                  <w:tcW w:w="1573" w:type="dxa"/>
                  <w:tcBorders>
                    <w:tl2br w:val="nil"/>
                    <w:tr2bl w:val="nil"/>
                  </w:tcBorders>
                  <w:vAlign w:val="center"/>
                </w:tcPr>
                <w:p w14:paraId="59F173B0">
                  <w:pPr>
                    <w:pStyle w:val="13"/>
                    <w:jc w:val="center"/>
                    <w:rPr>
                      <w:rFonts w:hint="default"/>
                      <w:color w:val="FF0000"/>
                      <w:sz w:val="21"/>
                      <w:szCs w:val="21"/>
                      <w:highlight w:val="none"/>
                      <w:lang w:val="en-US" w:eastAsia="zh-CN"/>
                    </w:rPr>
                  </w:pPr>
                  <w:r>
                    <w:rPr>
                      <w:rFonts w:hint="eastAsia"/>
                      <w:color w:val="FF0000"/>
                      <w:sz w:val="21"/>
                      <w:szCs w:val="21"/>
                      <w:highlight w:val="none"/>
                      <w:lang w:val="en-US" w:eastAsia="zh-CN"/>
                    </w:rPr>
                    <w:t>沥水筛</w:t>
                  </w:r>
                </w:p>
              </w:tc>
              <w:tc>
                <w:tcPr>
                  <w:tcW w:w="867" w:type="dxa"/>
                  <w:tcBorders>
                    <w:tl2br w:val="nil"/>
                    <w:tr2bl w:val="nil"/>
                  </w:tcBorders>
                  <w:vAlign w:val="center"/>
                </w:tcPr>
                <w:p w14:paraId="746992B3">
                  <w:pPr>
                    <w:pStyle w:val="13"/>
                    <w:jc w:val="center"/>
                    <w:rPr>
                      <w:rFonts w:hint="default"/>
                      <w:color w:val="FF0000"/>
                      <w:sz w:val="21"/>
                      <w:szCs w:val="21"/>
                      <w:highlight w:val="none"/>
                      <w:lang w:val="en-US" w:eastAsia="zh-CN"/>
                    </w:rPr>
                  </w:pPr>
                  <w:r>
                    <w:rPr>
                      <w:rFonts w:hint="eastAsia"/>
                      <w:color w:val="FF0000"/>
                      <w:sz w:val="21"/>
                      <w:szCs w:val="21"/>
                      <w:highlight w:val="none"/>
                      <w:lang w:val="en-US" w:eastAsia="zh-CN"/>
                    </w:rPr>
                    <w:t>个</w:t>
                  </w:r>
                </w:p>
              </w:tc>
              <w:tc>
                <w:tcPr>
                  <w:tcW w:w="1866" w:type="dxa"/>
                  <w:tcBorders>
                    <w:tl2br w:val="nil"/>
                    <w:tr2bl w:val="nil"/>
                  </w:tcBorders>
                  <w:vAlign w:val="center"/>
                </w:tcPr>
                <w:p w14:paraId="0B5B204B">
                  <w:pPr>
                    <w:pStyle w:val="13"/>
                    <w:jc w:val="center"/>
                    <w:rPr>
                      <w:rFonts w:hint="default"/>
                      <w:color w:val="FF0000"/>
                      <w:sz w:val="21"/>
                      <w:szCs w:val="21"/>
                      <w:highlight w:val="none"/>
                      <w:lang w:val="en-US" w:eastAsia="zh-CN"/>
                    </w:rPr>
                  </w:pPr>
                  <w:r>
                    <w:rPr>
                      <w:rFonts w:hint="eastAsia"/>
                      <w:color w:val="FF0000"/>
                      <w:sz w:val="21"/>
                      <w:szCs w:val="21"/>
                      <w:highlight w:val="none"/>
                      <w:lang w:val="en-US" w:eastAsia="zh-CN"/>
                    </w:rPr>
                    <w:t>/</w:t>
                  </w:r>
                </w:p>
              </w:tc>
              <w:tc>
                <w:tcPr>
                  <w:tcW w:w="880" w:type="dxa"/>
                  <w:tcBorders>
                    <w:tl2br w:val="nil"/>
                    <w:tr2bl w:val="nil"/>
                  </w:tcBorders>
                  <w:vAlign w:val="center"/>
                </w:tcPr>
                <w:p w14:paraId="2AFE4951">
                  <w:pPr>
                    <w:pStyle w:val="13"/>
                    <w:jc w:val="center"/>
                    <w:rPr>
                      <w:rFonts w:hint="default"/>
                      <w:color w:val="FF0000"/>
                      <w:sz w:val="21"/>
                      <w:szCs w:val="21"/>
                      <w:highlight w:val="none"/>
                      <w:lang w:val="en-US" w:eastAsia="zh-CN"/>
                    </w:rPr>
                  </w:pPr>
                  <w:r>
                    <w:rPr>
                      <w:rFonts w:hint="eastAsia"/>
                      <w:color w:val="FF0000"/>
                      <w:sz w:val="21"/>
                      <w:szCs w:val="21"/>
                      <w:highlight w:val="none"/>
                      <w:lang w:val="en-US" w:eastAsia="zh-CN"/>
                    </w:rPr>
                    <w:t>1</w:t>
                  </w:r>
                </w:p>
              </w:tc>
              <w:tc>
                <w:tcPr>
                  <w:tcW w:w="2055" w:type="dxa"/>
                  <w:tcBorders>
                    <w:tl2br w:val="nil"/>
                    <w:tr2bl w:val="nil"/>
                  </w:tcBorders>
                  <w:vAlign w:val="center"/>
                </w:tcPr>
                <w:p w14:paraId="3F81054E">
                  <w:pPr>
                    <w:pStyle w:val="13"/>
                    <w:jc w:val="center"/>
                    <w:rPr>
                      <w:rFonts w:hint="default"/>
                      <w:color w:val="FF0000"/>
                      <w:sz w:val="21"/>
                      <w:szCs w:val="21"/>
                      <w:highlight w:val="none"/>
                      <w:lang w:val="en-US" w:eastAsia="zh-CN"/>
                    </w:rPr>
                  </w:pPr>
                  <w:r>
                    <w:rPr>
                      <w:rFonts w:hint="eastAsia"/>
                      <w:color w:val="FF0000"/>
                      <w:sz w:val="21"/>
                      <w:szCs w:val="21"/>
                      <w:highlight w:val="none"/>
                      <w:lang w:val="en-US" w:eastAsia="zh-CN"/>
                    </w:rPr>
                    <w:t>沉淀池泥渣沥水，移动式，使用时放置于沉淀池上方，水分直接排入沉淀池</w:t>
                  </w:r>
                </w:p>
              </w:tc>
            </w:tr>
          </w:tbl>
          <w:p w14:paraId="1E1438CC">
            <w:pPr>
              <w:pStyle w:val="13"/>
              <w:rPr>
                <w:color w:val="000000" w:themeColor="text1"/>
                <w:highlight w:val="none"/>
                <w14:textFill>
                  <w14:solidFill>
                    <w14:schemeClr w14:val="tx1"/>
                  </w14:solidFill>
                </w14:textFill>
              </w:rPr>
            </w:pPr>
          </w:p>
          <w:p w14:paraId="3BC6EBA7">
            <w:pPr>
              <w:pStyle w:val="13"/>
              <w:spacing w:line="360" w:lineRule="auto"/>
              <w:rPr>
                <w:b/>
                <w:bCs/>
                <w:color w:val="FF0000"/>
                <w:sz w:val="24"/>
                <w:szCs w:val="24"/>
                <w:highlight w:val="none"/>
              </w:rPr>
            </w:pPr>
            <w:r>
              <w:rPr>
                <w:rFonts w:hint="eastAsia"/>
                <w:b/>
                <w:bCs/>
                <w:color w:val="FF0000"/>
                <w:sz w:val="24"/>
                <w:szCs w:val="24"/>
                <w:highlight w:val="none"/>
              </w:rPr>
              <w:t>4、产品方案</w:t>
            </w:r>
          </w:p>
          <w:p w14:paraId="331613A3">
            <w:pPr>
              <w:pStyle w:val="23"/>
              <w:spacing w:line="360" w:lineRule="auto"/>
              <w:ind w:left="0" w:firstLine="480" w:firstLineChars="200"/>
              <w:rPr>
                <w:rFonts w:hint="default" w:ascii="Times New Roman" w:hAnsi="Times New Roman" w:cs="Times New Roman"/>
                <w:color w:val="FF0000"/>
                <w:sz w:val="24"/>
                <w:szCs w:val="24"/>
                <w:highlight w:val="none"/>
              </w:rPr>
            </w:pPr>
            <w:r>
              <w:rPr>
                <w:rFonts w:hint="default" w:ascii="Times New Roman" w:hAnsi="Times New Roman" w:cs="Times New Roman"/>
                <w:color w:val="FF0000"/>
                <w:sz w:val="24"/>
                <w:szCs w:val="24"/>
                <w:highlight w:val="none"/>
              </w:rPr>
              <w:t>本项目</w:t>
            </w:r>
            <w:r>
              <w:rPr>
                <w:rFonts w:hint="default" w:ascii="Times New Roman" w:hAnsi="Times New Roman" w:cs="Times New Roman"/>
                <w:color w:val="FF0000"/>
                <w:sz w:val="24"/>
                <w:szCs w:val="24"/>
                <w:highlight w:val="none"/>
                <w:lang w:val="en-US" w:eastAsia="zh-CN"/>
              </w:rPr>
              <w:t>合计年</w:t>
            </w:r>
            <w:r>
              <w:rPr>
                <w:rFonts w:hint="default" w:ascii="Times New Roman" w:hAnsi="Times New Roman" w:cs="Times New Roman"/>
                <w:color w:val="FF0000"/>
                <w:sz w:val="24"/>
                <w:highlight w:val="none"/>
                <w:lang w:val="en-US" w:eastAsia="zh-CN"/>
              </w:rPr>
              <w:t>加工碎石26万吨，</w:t>
            </w:r>
            <w:r>
              <w:rPr>
                <w:rFonts w:hint="eastAsia" w:ascii="Times New Roman" w:hAnsi="Times New Roman" w:cs="Times New Roman"/>
                <w:color w:val="FF0000"/>
                <w:sz w:val="24"/>
                <w:highlight w:val="none"/>
                <w:lang w:val="en-US" w:eastAsia="zh-CN"/>
              </w:rPr>
              <w:t>碎石可外售工地或建材公司作为建筑材料，项目</w:t>
            </w:r>
            <w:r>
              <w:rPr>
                <w:rFonts w:hint="default" w:ascii="Times New Roman" w:hAnsi="Times New Roman" w:cs="Times New Roman"/>
                <w:color w:val="FF0000"/>
                <w:sz w:val="24"/>
                <w:szCs w:val="24"/>
                <w:highlight w:val="none"/>
              </w:rPr>
              <w:t>产品方案详见下表。</w:t>
            </w:r>
          </w:p>
          <w:p w14:paraId="648D8945">
            <w:pPr>
              <w:pStyle w:val="23"/>
              <w:ind w:left="0"/>
              <w:jc w:val="center"/>
              <w:rPr>
                <w:rFonts w:ascii="Times New Roman" w:hAnsi="Times New Roman"/>
                <w:b/>
                <w:bCs/>
                <w:color w:val="FF0000"/>
                <w:szCs w:val="21"/>
                <w:highlight w:val="none"/>
              </w:rPr>
            </w:pPr>
            <w:r>
              <w:rPr>
                <w:rFonts w:ascii="Times New Roman" w:hAnsi="Times New Roman"/>
                <w:b/>
                <w:bCs/>
                <w:color w:val="FF0000"/>
                <w:szCs w:val="21"/>
                <w:highlight w:val="none"/>
              </w:rPr>
              <w:t>表</w:t>
            </w:r>
            <w:r>
              <w:rPr>
                <w:rFonts w:hint="eastAsia" w:ascii="Times New Roman" w:hAnsi="Times New Roman"/>
                <w:b/>
                <w:bCs/>
                <w:color w:val="FF0000"/>
                <w:szCs w:val="21"/>
                <w:highlight w:val="none"/>
              </w:rPr>
              <w:t xml:space="preserve">2-3  </w:t>
            </w:r>
            <w:r>
              <w:rPr>
                <w:rFonts w:ascii="Times New Roman" w:hAnsi="Times New Roman"/>
                <w:b/>
                <w:bCs/>
                <w:color w:val="FF0000"/>
                <w:szCs w:val="21"/>
                <w:highlight w:val="none"/>
              </w:rPr>
              <w:t>产品方案一览表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7"/>
              <w:gridCol w:w="647"/>
              <w:gridCol w:w="1180"/>
              <w:gridCol w:w="1675"/>
              <w:gridCol w:w="811"/>
              <w:gridCol w:w="1711"/>
              <w:gridCol w:w="661"/>
              <w:gridCol w:w="868"/>
            </w:tblGrid>
            <w:tr w14:paraId="73A1CF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67" w:type="pct"/>
                  <w:tcBorders>
                    <w:tl2br w:val="nil"/>
                    <w:tr2bl w:val="nil"/>
                  </w:tcBorders>
                  <w:vAlign w:val="center"/>
                </w:tcPr>
                <w:p w14:paraId="6CA10FB2">
                  <w:pPr>
                    <w:jc w:val="center"/>
                    <w:rPr>
                      <w:b/>
                      <w:bCs/>
                      <w:color w:val="FF0000"/>
                      <w:szCs w:val="21"/>
                      <w:highlight w:val="none"/>
                    </w:rPr>
                  </w:pPr>
                  <w:r>
                    <w:rPr>
                      <w:b/>
                      <w:bCs/>
                      <w:color w:val="FF0000"/>
                      <w:szCs w:val="21"/>
                      <w:highlight w:val="none"/>
                    </w:rPr>
                    <w:t>序号</w:t>
                  </w:r>
                </w:p>
              </w:tc>
              <w:tc>
                <w:tcPr>
                  <w:tcW w:w="405" w:type="pct"/>
                  <w:tcBorders>
                    <w:tl2br w:val="nil"/>
                    <w:tr2bl w:val="nil"/>
                  </w:tcBorders>
                  <w:vAlign w:val="center"/>
                </w:tcPr>
                <w:p w14:paraId="1F0A9A10">
                  <w:pPr>
                    <w:jc w:val="center"/>
                    <w:rPr>
                      <w:b/>
                      <w:bCs/>
                      <w:color w:val="FF0000"/>
                      <w:szCs w:val="21"/>
                      <w:highlight w:val="none"/>
                    </w:rPr>
                  </w:pPr>
                  <w:r>
                    <w:rPr>
                      <w:b/>
                      <w:bCs/>
                      <w:color w:val="FF0000"/>
                      <w:szCs w:val="21"/>
                      <w:highlight w:val="none"/>
                    </w:rPr>
                    <w:t>生产线</w:t>
                  </w:r>
                </w:p>
              </w:tc>
              <w:tc>
                <w:tcPr>
                  <w:tcW w:w="739" w:type="pct"/>
                  <w:tcBorders>
                    <w:tl2br w:val="nil"/>
                    <w:tr2bl w:val="nil"/>
                  </w:tcBorders>
                  <w:vAlign w:val="center"/>
                </w:tcPr>
                <w:p w14:paraId="5C967E73">
                  <w:pPr>
                    <w:jc w:val="center"/>
                    <w:rPr>
                      <w:b/>
                      <w:bCs/>
                      <w:color w:val="FF0000"/>
                      <w:szCs w:val="21"/>
                      <w:highlight w:val="none"/>
                    </w:rPr>
                  </w:pPr>
                  <w:r>
                    <w:rPr>
                      <w:b/>
                      <w:bCs/>
                      <w:color w:val="FF0000"/>
                      <w:szCs w:val="21"/>
                      <w:highlight w:val="none"/>
                    </w:rPr>
                    <w:t>产品</w:t>
                  </w:r>
                </w:p>
              </w:tc>
              <w:tc>
                <w:tcPr>
                  <w:tcW w:w="1049" w:type="pct"/>
                  <w:tcBorders>
                    <w:tl2br w:val="nil"/>
                    <w:tr2bl w:val="nil"/>
                  </w:tcBorders>
                  <w:vAlign w:val="center"/>
                </w:tcPr>
                <w:p w14:paraId="5F6B52BF">
                  <w:pPr>
                    <w:jc w:val="center"/>
                    <w:rPr>
                      <w:b/>
                      <w:bCs/>
                      <w:color w:val="FF0000"/>
                      <w:szCs w:val="21"/>
                      <w:highlight w:val="none"/>
                    </w:rPr>
                  </w:pPr>
                  <w:r>
                    <w:rPr>
                      <w:b/>
                      <w:bCs/>
                      <w:color w:val="FF0000"/>
                      <w:szCs w:val="21"/>
                      <w:highlight w:val="none"/>
                    </w:rPr>
                    <w:t>粒径规格</w:t>
                  </w:r>
                </w:p>
              </w:tc>
              <w:tc>
                <w:tcPr>
                  <w:tcW w:w="508" w:type="pct"/>
                  <w:tcBorders>
                    <w:tl2br w:val="nil"/>
                    <w:tr2bl w:val="nil"/>
                  </w:tcBorders>
                  <w:vAlign w:val="center"/>
                </w:tcPr>
                <w:p w14:paraId="05C707DD">
                  <w:pPr>
                    <w:widowControl/>
                    <w:jc w:val="center"/>
                    <w:rPr>
                      <w:b/>
                      <w:bCs/>
                      <w:color w:val="FF0000"/>
                      <w:szCs w:val="21"/>
                      <w:highlight w:val="none"/>
                    </w:rPr>
                  </w:pPr>
                  <w:r>
                    <w:rPr>
                      <w:b/>
                      <w:bCs/>
                      <w:color w:val="FF0000"/>
                      <w:szCs w:val="21"/>
                      <w:highlight w:val="none"/>
                    </w:rPr>
                    <w:t>产量(t/a）</w:t>
                  </w:r>
                </w:p>
              </w:tc>
              <w:tc>
                <w:tcPr>
                  <w:tcW w:w="1071" w:type="pct"/>
                  <w:tcBorders>
                    <w:tl2br w:val="nil"/>
                    <w:tr2bl w:val="nil"/>
                  </w:tcBorders>
                  <w:vAlign w:val="center"/>
                </w:tcPr>
                <w:p w14:paraId="6CEA967D">
                  <w:pPr>
                    <w:jc w:val="center"/>
                    <w:rPr>
                      <w:b/>
                      <w:bCs/>
                      <w:color w:val="FF0000"/>
                      <w:szCs w:val="21"/>
                      <w:highlight w:val="none"/>
                    </w:rPr>
                  </w:pPr>
                  <w:r>
                    <w:rPr>
                      <w:b/>
                      <w:bCs/>
                      <w:color w:val="FF0000"/>
                      <w:szCs w:val="21"/>
                      <w:highlight w:val="none"/>
                    </w:rPr>
                    <w:t>执行标准</w:t>
                  </w:r>
                </w:p>
              </w:tc>
              <w:tc>
                <w:tcPr>
                  <w:tcW w:w="414" w:type="pct"/>
                  <w:tcBorders>
                    <w:tl2br w:val="nil"/>
                    <w:tr2bl w:val="nil"/>
                  </w:tcBorders>
                  <w:vAlign w:val="center"/>
                </w:tcPr>
                <w:p w14:paraId="4CEEF5ED">
                  <w:pPr>
                    <w:jc w:val="center"/>
                    <w:rPr>
                      <w:b/>
                      <w:bCs/>
                      <w:color w:val="FF0000"/>
                      <w:szCs w:val="21"/>
                      <w:highlight w:val="none"/>
                    </w:rPr>
                  </w:pPr>
                  <w:r>
                    <w:rPr>
                      <w:b/>
                      <w:bCs/>
                      <w:color w:val="FF0000"/>
                      <w:szCs w:val="21"/>
                      <w:highlight w:val="none"/>
                    </w:rPr>
                    <w:t>包装</w:t>
                  </w:r>
                </w:p>
                <w:p w14:paraId="6494187D">
                  <w:pPr>
                    <w:jc w:val="center"/>
                    <w:rPr>
                      <w:b/>
                      <w:bCs/>
                      <w:color w:val="FF0000"/>
                      <w:szCs w:val="21"/>
                      <w:highlight w:val="none"/>
                    </w:rPr>
                  </w:pPr>
                  <w:r>
                    <w:rPr>
                      <w:b/>
                      <w:bCs/>
                      <w:color w:val="FF0000"/>
                      <w:szCs w:val="21"/>
                      <w:highlight w:val="none"/>
                    </w:rPr>
                    <w:t>方式</w:t>
                  </w:r>
                </w:p>
              </w:tc>
              <w:tc>
                <w:tcPr>
                  <w:tcW w:w="543" w:type="pct"/>
                  <w:tcBorders>
                    <w:tl2br w:val="nil"/>
                    <w:tr2bl w:val="nil"/>
                  </w:tcBorders>
                  <w:vAlign w:val="center"/>
                </w:tcPr>
                <w:p w14:paraId="202C52AA">
                  <w:pPr>
                    <w:jc w:val="center"/>
                    <w:rPr>
                      <w:b/>
                      <w:bCs/>
                      <w:color w:val="FF0000"/>
                      <w:szCs w:val="21"/>
                      <w:highlight w:val="none"/>
                    </w:rPr>
                  </w:pPr>
                  <w:r>
                    <w:rPr>
                      <w:b/>
                      <w:bCs/>
                      <w:color w:val="FF0000"/>
                      <w:szCs w:val="21"/>
                      <w:highlight w:val="none"/>
                    </w:rPr>
                    <w:t>备注</w:t>
                  </w:r>
                </w:p>
              </w:tc>
            </w:tr>
            <w:tr w14:paraId="65F41B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267" w:type="pct"/>
                  <w:tcBorders>
                    <w:tl2br w:val="nil"/>
                    <w:tr2bl w:val="nil"/>
                  </w:tcBorders>
                  <w:vAlign w:val="center"/>
                </w:tcPr>
                <w:p w14:paraId="657AD321">
                  <w:pPr>
                    <w:jc w:val="center"/>
                    <w:rPr>
                      <w:color w:val="FF0000"/>
                      <w:szCs w:val="21"/>
                      <w:highlight w:val="none"/>
                    </w:rPr>
                  </w:pPr>
                  <w:r>
                    <w:rPr>
                      <w:color w:val="FF0000"/>
                      <w:szCs w:val="21"/>
                      <w:highlight w:val="none"/>
                    </w:rPr>
                    <w:t>1</w:t>
                  </w:r>
                </w:p>
              </w:tc>
              <w:tc>
                <w:tcPr>
                  <w:tcW w:w="405" w:type="pct"/>
                  <w:vMerge w:val="restart"/>
                  <w:tcBorders>
                    <w:tl2br w:val="nil"/>
                    <w:tr2bl w:val="nil"/>
                  </w:tcBorders>
                  <w:vAlign w:val="center"/>
                </w:tcPr>
                <w:p w14:paraId="3DAC383B">
                  <w:pPr>
                    <w:jc w:val="center"/>
                    <w:rPr>
                      <w:color w:val="FF0000"/>
                      <w:szCs w:val="21"/>
                      <w:highlight w:val="none"/>
                    </w:rPr>
                  </w:pPr>
                  <w:r>
                    <w:rPr>
                      <w:rFonts w:hint="eastAsia"/>
                      <w:color w:val="FF0000"/>
                      <w:szCs w:val="21"/>
                      <w:highlight w:val="none"/>
                      <w:lang w:val="en-US" w:eastAsia="zh-CN"/>
                    </w:rPr>
                    <w:t>碎石</w:t>
                  </w:r>
                  <w:r>
                    <w:rPr>
                      <w:color w:val="FF0000"/>
                      <w:szCs w:val="21"/>
                      <w:highlight w:val="none"/>
                    </w:rPr>
                    <w:t>生产线</w:t>
                  </w:r>
                </w:p>
              </w:tc>
              <w:tc>
                <w:tcPr>
                  <w:tcW w:w="739" w:type="pct"/>
                  <w:tcBorders>
                    <w:tl2br w:val="nil"/>
                    <w:tr2bl w:val="nil"/>
                  </w:tcBorders>
                  <w:vAlign w:val="center"/>
                </w:tcPr>
                <w:p w14:paraId="69B6EEB2">
                  <w:pPr>
                    <w:jc w:val="center"/>
                    <w:rPr>
                      <w:rFonts w:hint="default" w:ascii="Times New Roman" w:hAnsi="Times New Roman" w:eastAsia="宋体" w:cs="Times New Roman"/>
                      <w:color w:val="FF0000"/>
                      <w:kern w:val="2"/>
                      <w:sz w:val="21"/>
                      <w:szCs w:val="21"/>
                      <w:highlight w:val="none"/>
                      <w:lang w:val="en-US" w:eastAsia="zh-CN" w:bidi="ar-SA"/>
                    </w:rPr>
                  </w:pPr>
                  <w:r>
                    <w:rPr>
                      <w:rFonts w:hint="eastAsia"/>
                      <w:color w:val="FF0000"/>
                      <w:kern w:val="0"/>
                      <w:szCs w:val="21"/>
                      <w:highlight w:val="none"/>
                      <w:lang w:val="en-US" w:eastAsia="zh-CN" w:bidi="ar"/>
                    </w:rPr>
                    <w:t>花岗岩</w:t>
                  </w:r>
                  <w:r>
                    <w:rPr>
                      <w:rFonts w:hint="default" w:ascii="Times New Roman" w:hAnsi="Times New Roman" w:eastAsia="宋体" w:cs="Times New Roman"/>
                      <w:color w:val="FF0000"/>
                      <w:sz w:val="21"/>
                      <w:szCs w:val="21"/>
                      <w:highlight w:val="none"/>
                      <w:lang w:val="en-US" w:eastAsia="zh-CN"/>
                    </w:rPr>
                    <w:t>建筑用石</w:t>
                  </w:r>
                </w:p>
              </w:tc>
              <w:tc>
                <w:tcPr>
                  <w:tcW w:w="1049" w:type="pct"/>
                  <w:tcBorders>
                    <w:tl2br w:val="nil"/>
                    <w:tr2bl w:val="nil"/>
                  </w:tcBorders>
                  <w:vAlign w:val="center"/>
                </w:tcPr>
                <w:p w14:paraId="3427E867">
                  <w:pPr>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40.0</w:t>
                  </w:r>
                  <w:r>
                    <w:rPr>
                      <w:rFonts w:hint="default" w:ascii="Times New Roman" w:hAnsi="Times New Roman" w:eastAsia="宋体" w:cs="Times New Roman"/>
                      <w:color w:val="FF0000"/>
                      <w:sz w:val="21"/>
                      <w:szCs w:val="21"/>
                      <w:highlight w:val="none"/>
                      <w:lang w:val="en-US" w:eastAsia="zh-CN"/>
                    </w:rPr>
                    <w:t>mm-</w:t>
                  </w:r>
                  <w:r>
                    <w:rPr>
                      <w:rFonts w:hint="eastAsia" w:ascii="Times New Roman" w:hAnsi="Times New Roman" w:eastAsia="宋体" w:cs="Times New Roman"/>
                      <w:color w:val="FF0000"/>
                      <w:sz w:val="21"/>
                      <w:szCs w:val="21"/>
                      <w:highlight w:val="none"/>
                      <w:lang w:val="en-US" w:eastAsia="zh-CN"/>
                    </w:rPr>
                    <w:t>63.0</w:t>
                  </w:r>
                  <w:r>
                    <w:rPr>
                      <w:rFonts w:hint="default" w:ascii="Times New Roman" w:hAnsi="Times New Roman" w:eastAsia="宋体" w:cs="Times New Roman"/>
                      <w:color w:val="FF0000"/>
                      <w:sz w:val="21"/>
                      <w:szCs w:val="21"/>
                      <w:highlight w:val="none"/>
                      <w:lang w:val="en-US" w:eastAsia="zh-CN"/>
                    </w:rPr>
                    <w:t>mm</w:t>
                  </w:r>
                </w:p>
              </w:tc>
              <w:tc>
                <w:tcPr>
                  <w:tcW w:w="508" w:type="pct"/>
                  <w:tcBorders>
                    <w:tl2br w:val="nil"/>
                    <w:tr2bl w:val="nil"/>
                  </w:tcBorders>
                  <w:vAlign w:val="center"/>
                </w:tcPr>
                <w:p w14:paraId="73816346">
                  <w:pPr>
                    <w:jc w:val="center"/>
                    <w:rPr>
                      <w:rFonts w:hint="default" w:ascii="Times New Roman" w:hAnsi="Times New Roman" w:eastAsia="宋体" w:cs="Times New Roman"/>
                      <w:color w:val="FF0000"/>
                      <w:kern w:val="2"/>
                      <w:sz w:val="21"/>
                      <w:szCs w:val="21"/>
                      <w:highlight w:val="none"/>
                      <w:lang w:val="en-US" w:eastAsia="zh-CN" w:bidi="ar-SA"/>
                    </w:rPr>
                  </w:pPr>
                  <w:r>
                    <w:rPr>
                      <w:rFonts w:hint="eastAsia" w:cs="Times New Roman"/>
                      <w:color w:val="FF0000"/>
                      <w:sz w:val="21"/>
                      <w:szCs w:val="21"/>
                      <w:highlight w:val="none"/>
                      <w:lang w:val="en-US" w:eastAsia="zh-CN"/>
                    </w:rPr>
                    <w:t>10</w:t>
                  </w:r>
                  <w:r>
                    <w:rPr>
                      <w:rFonts w:hint="default" w:ascii="Times New Roman" w:hAnsi="Times New Roman" w:eastAsia="宋体" w:cs="Times New Roman"/>
                      <w:color w:val="FF0000"/>
                      <w:sz w:val="21"/>
                      <w:szCs w:val="21"/>
                      <w:highlight w:val="none"/>
                      <w:lang w:val="en-US" w:eastAsia="zh-CN"/>
                    </w:rPr>
                    <w:t>万</w:t>
                  </w:r>
                </w:p>
              </w:tc>
              <w:tc>
                <w:tcPr>
                  <w:tcW w:w="1071" w:type="pct"/>
                  <w:vMerge w:val="restart"/>
                  <w:tcBorders>
                    <w:tl2br w:val="nil"/>
                    <w:tr2bl w:val="nil"/>
                  </w:tcBorders>
                  <w:vAlign w:val="center"/>
                </w:tcPr>
                <w:p w14:paraId="2CBFE2BC">
                  <w:pPr>
                    <w:widowControl/>
                    <w:jc w:val="center"/>
                    <w:rPr>
                      <w:color w:val="FF0000"/>
                      <w:szCs w:val="21"/>
                      <w:highlight w:val="none"/>
                    </w:rPr>
                  </w:pPr>
                  <w:r>
                    <w:rPr>
                      <w:rFonts w:hint="default" w:ascii="Times New Roman" w:hAnsi="Times New Roman" w:eastAsia="宋体" w:cs="Times New Roman"/>
                      <w:color w:val="FF0000"/>
                      <w:kern w:val="0"/>
                      <w:sz w:val="21"/>
                      <w:szCs w:val="21"/>
                      <w:highlight w:val="none"/>
                      <w:lang w:val="en-US" w:eastAsia="zh-CN" w:bidi="ar"/>
                    </w:rPr>
                    <w:t>GB/T14685-2011</w:t>
                  </w:r>
                  <w:r>
                    <w:rPr>
                      <w:rFonts w:hint="eastAsia" w:ascii="Times New Roman" w:hAnsi="Times New Roman" w:eastAsia="宋体" w:cs="Times New Roman"/>
                      <w:color w:val="FF0000"/>
                      <w:kern w:val="0"/>
                      <w:sz w:val="21"/>
                      <w:szCs w:val="21"/>
                      <w:highlight w:val="none"/>
                      <w:lang w:val="en-US" w:eastAsia="zh-CN" w:bidi="ar"/>
                    </w:rPr>
                    <w:t>《建筑用卵石、碎石》</w:t>
                  </w:r>
                </w:p>
              </w:tc>
              <w:tc>
                <w:tcPr>
                  <w:tcW w:w="414" w:type="pct"/>
                  <w:vMerge w:val="restart"/>
                  <w:tcBorders>
                    <w:tl2br w:val="nil"/>
                    <w:tr2bl w:val="nil"/>
                  </w:tcBorders>
                  <w:vAlign w:val="center"/>
                </w:tcPr>
                <w:p w14:paraId="27A8FF1F">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szCs w:val="21"/>
                      <w:highlight w:val="none"/>
                      <w:lang w:val="en-US" w:eastAsia="zh-CN"/>
                    </w:rPr>
                    <w:t>密闭成品库内散装</w:t>
                  </w:r>
                  <w:r>
                    <w:rPr>
                      <w:rFonts w:hint="eastAsia"/>
                      <w:color w:val="FF0000"/>
                      <w:szCs w:val="21"/>
                      <w:highlight w:val="none"/>
                    </w:rPr>
                    <w:t>堆存</w:t>
                  </w:r>
                </w:p>
              </w:tc>
              <w:tc>
                <w:tcPr>
                  <w:tcW w:w="543" w:type="pct"/>
                  <w:vMerge w:val="restart"/>
                  <w:tcBorders>
                    <w:tl2br w:val="nil"/>
                    <w:tr2bl w:val="nil"/>
                  </w:tcBorders>
                  <w:vAlign w:val="center"/>
                </w:tcPr>
                <w:p w14:paraId="5F2B4780">
                  <w:pPr>
                    <w:widowControl/>
                    <w:jc w:val="center"/>
                    <w:rPr>
                      <w:rFonts w:hint="eastAsia" w:ascii="Times New Roman" w:hAnsi="Times New Roman" w:eastAsia="宋体" w:cs="Times New Roman"/>
                      <w:color w:val="FF0000"/>
                      <w:kern w:val="2"/>
                      <w:sz w:val="21"/>
                      <w:szCs w:val="21"/>
                      <w:highlight w:val="none"/>
                      <w:lang w:val="en-US" w:eastAsia="zh-CN" w:bidi="ar-SA"/>
                    </w:rPr>
                  </w:pPr>
                  <w:r>
                    <w:rPr>
                      <w:color w:val="FF0000"/>
                      <w:kern w:val="0"/>
                      <w:szCs w:val="21"/>
                      <w:highlight w:val="none"/>
                      <w:lang w:bidi="ar"/>
                    </w:rPr>
                    <w:t>通过苫布遮盖卡车运输</w:t>
                  </w:r>
                  <w:r>
                    <w:rPr>
                      <w:color w:val="FF0000"/>
                      <w:szCs w:val="21"/>
                      <w:highlight w:val="none"/>
                    </w:rPr>
                    <w:t>，用作</w:t>
                  </w:r>
                  <w:r>
                    <w:rPr>
                      <w:rFonts w:hint="eastAsia"/>
                      <w:color w:val="FF0000"/>
                      <w:szCs w:val="21"/>
                      <w:highlight w:val="none"/>
                      <w:lang w:val="en-US" w:eastAsia="zh-CN"/>
                    </w:rPr>
                    <w:t>建筑材料</w:t>
                  </w:r>
                </w:p>
              </w:tc>
            </w:tr>
            <w:tr w14:paraId="1F47DC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267" w:type="pct"/>
                  <w:tcBorders>
                    <w:tl2br w:val="nil"/>
                    <w:tr2bl w:val="nil"/>
                  </w:tcBorders>
                  <w:vAlign w:val="center"/>
                </w:tcPr>
                <w:p w14:paraId="73C08030">
                  <w:pPr>
                    <w:jc w:val="center"/>
                    <w:rPr>
                      <w:rFonts w:hint="eastAsia" w:eastAsia="宋体"/>
                      <w:color w:val="FF0000"/>
                      <w:szCs w:val="21"/>
                      <w:highlight w:val="none"/>
                      <w:lang w:val="en-US" w:eastAsia="zh-CN"/>
                    </w:rPr>
                  </w:pPr>
                  <w:r>
                    <w:rPr>
                      <w:rFonts w:hint="eastAsia"/>
                      <w:color w:val="FF0000"/>
                      <w:szCs w:val="21"/>
                      <w:highlight w:val="none"/>
                      <w:lang w:val="en-US" w:eastAsia="zh-CN"/>
                    </w:rPr>
                    <w:t>2</w:t>
                  </w:r>
                </w:p>
              </w:tc>
              <w:tc>
                <w:tcPr>
                  <w:tcW w:w="405" w:type="pct"/>
                  <w:vMerge w:val="continue"/>
                  <w:tcBorders>
                    <w:tl2br w:val="nil"/>
                    <w:tr2bl w:val="nil"/>
                  </w:tcBorders>
                  <w:vAlign w:val="center"/>
                </w:tcPr>
                <w:p w14:paraId="73921787">
                  <w:pPr>
                    <w:jc w:val="center"/>
                    <w:rPr>
                      <w:rFonts w:hint="eastAsia"/>
                      <w:color w:val="FF0000"/>
                      <w:szCs w:val="21"/>
                      <w:highlight w:val="none"/>
                    </w:rPr>
                  </w:pPr>
                </w:p>
              </w:tc>
              <w:tc>
                <w:tcPr>
                  <w:tcW w:w="739" w:type="pct"/>
                  <w:tcBorders>
                    <w:tl2br w:val="nil"/>
                    <w:tr2bl w:val="nil"/>
                  </w:tcBorders>
                  <w:vAlign w:val="center"/>
                </w:tcPr>
                <w:p w14:paraId="6E00F85D">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kern w:val="0"/>
                      <w:szCs w:val="21"/>
                      <w:highlight w:val="none"/>
                      <w:lang w:val="en-US" w:eastAsia="zh-CN" w:bidi="ar"/>
                    </w:rPr>
                    <w:t>花岗岩</w:t>
                  </w:r>
                  <w:r>
                    <w:rPr>
                      <w:rFonts w:hint="default" w:ascii="Times New Roman" w:hAnsi="Times New Roman" w:eastAsia="宋体" w:cs="Times New Roman"/>
                      <w:color w:val="FF0000"/>
                      <w:sz w:val="21"/>
                      <w:szCs w:val="21"/>
                      <w:highlight w:val="none"/>
                      <w:lang w:val="en-US" w:eastAsia="zh-CN"/>
                    </w:rPr>
                    <w:t>建筑用石</w:t>
                  </w:r>
                </w:p>
              </w:tc>
              <w:tc>
                <w:tcPr>
                  <w:tcW w:w="1049" w:type="pct"/>
                  <w:tcBorders>
                    <w:tl2br w:val="nil"/>
                    <w:tr2bl w:val="nil"/>
                  </w:tcBorders>
                  <w:vAlign w:val="center"/>
                </w:tcPr>
                <w:p w14:paraId="52D287AD">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19.0</w:t>
                  </w:r>
                  <w:r>
                    <w:rPr>
                      <w:rFonts w:hint="default" w:ascii="Times New Roman" w:hAnsi="Times New Roman" w:eastAsia="宋体" w:cs="Times New Roman"/>
                      <w:color w:val="FF0000"/>
                      <w:sz w:val="21"/>
                      <w:szCs w:val="21"/>
                      <w:highlight w:val="none"/>
                      <w:lang w:val="en-US" w:eastAsia="zh-CN"/>
                    </w:rPr>
                    <w:t>mm-</w:t>
                  </w:r>
                  <w:r>
                    <w:rPr>
                      <w:rFonts w:hint="eastAsia" w:ascii="Times New Roman" w:hAnsi="Times New Roman" w:eastAsia="宋体" w:cs="Times New Roman"/>
                      <w:color w:val="FF0000"/>
                      <w:sz w:val="21"/>
                      <w:szCs w:val="21"/>
                      <w:highlight w:val="none"/>
                      <w:lang w:val="en-US" w:eastAsia="zh-CN"/>
                    </w:rPr>
                    <w:t>31.5</w:t>
                  </w:r>
                  <w:r>
                    <w:rPr>
                      <w:rFonts w:hint="default" w:ascii="Times New Roman" w:hAnsi="Times New Roman" w:eastAsia="宋体" w:cs="Times New Roman"/>
                      <w:color w:val="FF0000"/>
                      <w:sz w:val="21"/>
                      <w:szCs w:val="21"/>
                      <w:highlight w:val="none"/>
                      <w:lang w:val="en-US" w:eastAsia="zh-CN"/>
                    </w:rPr>
                    <w:t>mm</w:t>
                  </w:r>
                </w:p>
              </w:tc>
              <w:tc>
                <w:tcPr>
                  <w:tcW w:w="508" w:type="pct"/>
                  <w:tcBorders>
                    <w:tl2br w:val="nil"/>
                    <w:tr2bl w:val="nil"/>
                  </w:tcBorders>
                  <w:vAlign w:val="center"/>
                </w:tcPr>
                <w:p w14:paraId="7A9A717F">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cs="Times New Roman"/>
                      <w:color w:val="FF0000"/>
                      <w:sz w:val="21"/>
                      <w:szCs w:val="21"/>
                      <w:highlight w:val="none"/>
                      <w:lang w:val="en-US" w:eastAsia="zh-CN"/>
                    </w:rPr>
                    <w:t>6</w:t>
                  </w:r>
                  <w:r>
                    <w:rPr>
                      <w:rFonts w:hint="default" w:ascii="Times New Roman" w:hAnsi="Times New Roman" w:eastAsia="宋体" w:cs="Times New Roman"/>
                      <w:color w:val="FF0000"/>
                      <w:sz w:val="21"/>
                      <w:szCs w:val="21"/>
                      <w:highlight w:val="none"/>
                      <w:lang w:val="en-US" w:eastAsia="zh-CN"/>
                    </w:rPr>
                    <w:t>万</w:t>
                  </w:r>
                </w:p>
              </w:tc>
              <w:tc>
                <w:tcPr>
                  <w:tcW w:w="1071" w:type="pct"/>
                  <w:vMerge w:val="continue"/>
                  <w:tcBorders>
                    <w:tl2br w:val="nil"/>
                    <w:tr2bl w:val="nil"/>
                  </w:tcBorders>
                  <w:vAlign w:val="center"/>
                </w:tcPr>
                <w:p w14:paraId="5E822E0B">
                  <w:pPr>
                    <w:widowControl/>
                    <w:jc w:val="center"/>
                    <w:rPr>
                      <w:rFonts w:hint="eastAsia"/>
                      <w:color w:val="FF0000"/>
                      <w:kern w:val="0"/>
                      <w:szCs w:val="21"/>
                      <w:highlight w:val="none"/>
                      <w:lang w:bidi="ar"/>
                    </w:rPr>
                  </w:pPr>
                </w:p>
              </w:tc>
              <w:tc>
                <w:tcPr>
                  <w:tcW w:w="414" w:type="pct"/>
                  <w:vMerge w:val="continue"/>
                  <w:tcBorders>
                    <w:tl2br w:val="nil"/>
                    <w:tr2bl w:val="nil"/>
                  </w:tcBorders>
                  <w:vAlign w:val="center"/>
                </w:tcPr>
                <w:p w14:paraId="5201F23F">
                  <w:pPr>
                    <w:jc w:val="center"/>
                    <w:rPr>
                      <w:rFonts w:hint="eastAsia"/>
                      <w:color w:val="FF0000"/>
                      <w:szCs w:val="21"/>
                      <w:highlight w:val="none"/>
                    </w:rPr>
                  </w:pPr>
                </w:p>
              </w:tc>
              <w:tc>
                <w:tcPr>
                  <w:tcW w:w="543" w:type="pct"/>
                  <w:vMerge w:val="continue"/>
                  <w:tcBorders>
                    <w:tl2br w:val="nil"/>
                    <w:tr2bl w:val="nil"/>
                  </w:tcBorders>
                  <w:vAlign w:val="center"/>
                </w:tcPr>
                <w:p w14:paraId="739A99B7">
                  <w:pPr>
                    <w:widowControl/>
                    <w:jc w:val="center"/>
                    <w:rPr>
                      <w:color w:val="FF0000"/>
                      <w:kern w:val="0"/>
                      <w:szCs w:val="21"/>
                      <w:highlight w:val="none"/>
                      <w:lang w:bidi="ar"/>
                    </w:rPr>
                  </w:pPr>
                </w:p>
              </w:tc>
            </w:tr>
            <w:tr w14:paraId="0D4BDC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23" w:hRule="atLeast"/>
              </w:trPr>
              <w:tc>
                <w:tcPr>
                  <w:tcW w:w="267" w:type="pct"/>
                  <w:tcBorders>
                    <w:tl2br w:val="nil"/>
                    <w:tr2bl w:val="nil"/>
                  </w:tcBorders>
                  <w:vAlign w:val="center"/>
                </w:tcPr>
                <w:p w14:paraId="1572D881">
                  <w:pPr>
                    <w:jc w:val="center"/>
                    <w:rPr>
                      <w:rFonts w:hint="eastAsia" w:eastAsia="宋体"/>
                      <w:color w:val="FF0000"/>
                      <w:szCs w:val="21"/>
                      <w:highlight w:val="none"/>
                      <w:lang w:val="en-US" w:eastAsia="zh-CN"/>
                    </w:rPr>
                  </w:pPr>
                  <w:r>
                    <w:rPr>
                      <w:rFonts w:hint="eastAsia"/>
                      <w:color w:val="FF0000"/>
                      <w:szCs w:val="21"/>
                      <w:highlight w:val="none"/>
                      <w:lang w:val="en-US" w:eastAsia="zh-CN"/>
                    </w:rPr>
                    <w:t>3</w:t>
                  </w:r>
                </w:p>
              </w:tc>
              <w:tc>
                <w:tcPr>
                  <w:tcW w:w="405" w:type="pct"/>
                  <w:vMerge w:val="continue"/>
                  <w:tcBorders>
                    <w:tl2br w:val="nil"/>
                    <w:tr2bl w:val="nil"/>
                  </w:tcBorders>
                  <w:vAlign w:val="center"/>
                </w:tcPr>
                <w:p w14:paraId="2AAF279D">
                  <w:pPr>
                    <w:jc w:val="center"/>
                    <w:rPr>
                      <w:rFonts w:hint="eastAsia"/>
                      <w:color w:val="FF0000"/>
                      <w:szCs w:val="21"/>
                      <w:highlight w:val="none"/>
                    </w:rPr>
                  </w:pPr>
                </w:p>
              </w:tc>
              <w:tc>
                <w:tcPr>
                  <w:tcW w:w="739" w:type="pct"/>
                  <w:tcBorders>
                    <w:tl2br w:val="nil"/>
                    <w:tr2bl w:val="nil"/>
                  </w:tcBorders>
                  <w:vAlign w:val="center"/>
                </w:tcPr>
                <w:p w14:paraId="37584593">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kern w:val="0"/>
                      <w:szCs w:val="21"/>
                      <w:highlight w:val="none"/>
                      <w:lang w:val="en-US" w:eastAsia="zh-CN" w:bidi="ar"/>
                    </w:rPr>
                    <w:t>花岗岩</w:t>
                  </w:r>
                  <w:r>
                    <w:rPr>
                      <w:rFonts w:hint="eastAsia"/>
                      <w:color w:val="FF0000"/>
                      <w:szCs w:val="21"/>
                      <w:highlight w:val="none"/>
                      <w:lang w:val="en-US" w:eastAsia="zh-CN"/>
                    </w:rPr>
                    <w:t>石粉</w:t>
                  </w:r>
                </w:p>
              </w:tc>
              <w:tc>
                <w:tcPr>
                  <w:tcW w:w="1049" w:type="pct"/>
                  <w:tcBorders>
                    <w:tl2br w:val="nil"/>
                    <w:tr2bl w:val="nil"/>
                  </w:tcBorders>
                  <w:vAlign w:val="center"/>
                </w:tcPr>
                <w:p w14:paraId="7BC9E99D">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szCs w:val="21"/>
                      <w:highlight w:val="none"/>
                    </w:rPr>
                    <w:t>≤</w:t>
                  </w:r>
                  <w:r>
                    <w:rPr>
                      <w:rFonts w:hint="eastAsia"/>
                      <w:color w:val="FF0000"/>
                      <w:szCs w:val="21"/>
                      <w:highlight w:val="none"/>
                      <w:lang w:val="en-US" w:eastAsia="zh-CN"/>
                    </w:rPr>
                    <w:t>5</w:t>
                  </w:r>
                  <w:r>
                    <w:rPr>
                      <w:color w:val="FF0000"/>
                      <w:szCs w:val="21"/>
                      <w:highlight w:val="none"/>
                    </w:rPr>
                    <w:t>mm</w:t>
                  </w:r>
                </w:p>
              </w:tc>
              <w:tc>
                <w:tcPr>
                  <w:tcW w:w="508" w:type="pct"/>
                  <w:tcBorders>
                    <w:tl2br w:val="nil"/>
                    <w:tr2bl w:val="nil"/>
                  </w:tcBorders>
                  <w:vAlign w:val="center"/>
                </w:tcPr>
                <w:p w14:paraId="0FF8E18F">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szCs w:val="21"/>
                      <w:highlight w:val="none"/>
                      <w:lang w:val="en-US" w:eastAsia="zh-CN"/>
                    </w:rPr>
                    <w:t>10</w:t>
                  </w:r>
                  <w:r>
                    <w:rPr>
                      <w:color w:val="FF0000"/>
                      <w:szCs w:val="21"/>
                      <w:highlight w:val="none"/>
                    </w:rPr>
                    <w:t>万</w:t>
                  </w:r>
                </w:p>
              </w:tc>
              <w:tc>
                <w:tcPr>
                  <w:tcW w:w="1071" w:type="pct"/>
                  <w:tcBorders>
                    <w:tl2br w:val="nil"/>
                    <w:tr2bl w:val="nil"/>
                  </w:tcBorders>
                  <w:vAlign w:val="center"/>
                </w:tcPr>
                <w:p w14:paraId="2936FFFF">
                  <w:pPr>
                    <w:widowControl/>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kern w:val="0"/>
                      <w:szCs w:val="21"/>
                      <w:highlight w:val="none"/>
                      <w:lang w:bidi="ar"/>
                    </w:rPr>
                    <w:t>GB/T14684 《建设用砂》</w:t>
                  </w:r>
                </w:p>
              </w:tc>
              <w:tc>
                <w:tcPr>
                  <w:tcW w:w="414" w:type="pct"/>
                  <w:vMerge w:val="continue"/>
                  <w:tcBorders>
                    <w:tl2br w:val="nil"/>
                    <w:tr2bl w:val="nil"/>
                  </w:tcBorders>
                  <w:vAlign w:val="center"/>
                </w:tcPr>
                <w:p w14:paraId="090EA990">
                  <w:pPr>
                    <w:jc w:val="center"/>
                    <w:rPr>
                      <w:rFonts w:hint="eastAsia" w:ascii="Times New Roman" w:hAnsi="Times New Roman" w:eastAsia="宋体" w:cs="Times New Roman"/>
                      <w:color w:val="FF0000"/>
                      <w:kern w:val="2"/>
                      <w:sz w:val="21"/>
                      <w:szCs w:val="21"/>
                      <w:highlight w:val="none"/>
                      <w:lang w:val="en-US" w:eastAsia="zh-CN" w:bidi="ar-SA"/>
                    </w:rPr>
                  </w:pPr>
                </w:p>
              </w:tc>
              <w:tc>
                <w:tcPr>
                  <w:tcW w:w="543" w:type="pct"/>
                  <w:vMerge w:val="continue"/>
                  <w:tcBorders>
                    <w:tl2br w:val="nil"/>
                    <w:tr2bl w:val="nil"/>
                  </w:tcBorders>
                  <w:vAlign w:val="center"/>
                </w:tcPr>
                <w:p w14:paraId="53F05721">
                  <w:pPr>
                    <w:widowControl/>
                    <w:jc w:val="center"/>
                    <w:rPr>
                      <w:rFonts w:ascii="Times New Roman" w:hAnsi="Times New Roman" w:eastAsia="宋体" w:cs="Times New Roman"/>
                      <w:color w:val="FF0000"/>
                      <w:kern w:val="2"/>
                      <w:sz w:val="21"/>
                      <w:szCs w:val="21"/>
                      <w:highlight w:val="none"/>
                      <w:lang w:val="en-US" w:eastAsia="zh-CN" w:bidi="ar-SA"/>
                    </w:rPr>
                  </w:pPr>
                </w:p>
              </w:tc>
            </w:tr>
          </w:tbl>
          <w:p w14:paraId="5592094B">
            <w:pPr>
              <w:keepNext w:val="0"/>
              <w:keepLines w:val="0"/>
              <w:pageBreakBefore w:val="0"/>
              <w:widowControl/>
              <w:kinsoku/>
              <w:wordWrap/>
              <w:overflowPunct/>
              <w:topLinePunct w:val="0"/>
              <w:autoSpaceDE/>
              <w:autoSpaceDN/>
              <w:bidi w:val="0"/>
              <w:adjustRightInd/>
              <w:snapToGrid/>
              <w:spacing w:before="157" w:beforeLines="50" w:line="360" w:lineRule="auto"/>
              <w:ind w:firstLine="480" w:firstLineChars="200"/>
              <w:jc w:val="left"/>
              <w:textAlignment w:val="auto"/>
              <w:rPr>
                <w:rFonts w:hint="eastAsia"/>
                <w:b w:val="0"/>
                <w:bCs w:val="0"/>
                <w:color w:val="FF0000"/>
                <w:sz w:val="24"/>
                <w:highlight w:val="none"/>
                <w:lang w:val="en-US" w:eastAsia="zh-CN"/>
              </w:rPr>
            </w:pPr>
            <w:r>
              <w:rPr>
                <w:rFonts w:hint="eastAsia"/>
                <w:b w:val="0"/>
                <w:bCs w:val="0"/>
                <w:color w:val="FF0000"/>
                <w:sz w:val="24"/>
                <w:highlight w:val="none"/>
                <w:lang w:val="en-US" w:eastAsia="zh-CN"/>
              </w:rPr>
              <w:t>本项目主要生产设备为颚式破碎机和锤式破碎机，项目产品方案可行性分析见下表：</w:t>
            </w:r>
          </w:p>
          <w:p w14:paraId="3A7C4C5D">
            <w:pPr>
              <w:pStyle w:val="23"/>
              <w:ind w:left="0"/>
              <w:jc w:val="center"/>
              <w:rPr>
                <w:rFonts w:ascii="Times New Roman" w:hAnsi="Times New Roman"/>
                <w:b/>
                <w:bCs/>
                <w:color w:val="FF0000"/>
                <w:szCs w:val="21"/>
                <w:highlight w:val="none"/>
              </w:rPr>
            </w:pPr>
            <w:r>
              <w:rPr>
                <w:rFonts w:ascii="Times New Roman" w:hAnsi="Times New Roman"/>
                <w:b/>
                <w:bCs/>
                <w:color w:val="FF0000"/>
                <w:szCs w:val="21"/>
                <w:highlight w:val="none"/>
              </w:rPr>
              <w:t>表</w:t>
            </w:r>
            <w:r>
              <w:rPr>
                <w:rFonts w:hint="eastAsia" w:ascii="Times New Roman" w:hAnsi="Times New Roman"/>
                <w:b/>
                <w:bCs/>
                <w:color w:val="FF0000"/>
                <w:szCs w:val="21"/>
                <w:highlight w:val="none"/>
              </w:rPr>
              <w:t>2-</w:t>
            </w:r>
            <w:r>
              <w:rPr>
                <w:rFonts w:hint="eastAsia" w:ascii="Times New Roman" w:hAnsi="Times New Roman"/>
                <w:b/>
                <w:bCs/>
                <w:color w:val="FF0000"/>
                <w:szCs w:val="21"/>
                <w:highlight w:val="none"/>
                <w:lang w:val="en-US" w:eastAsia="zh-CN"/>
              </w:rPr>
              <w:t>4</w:t>
            </w:r>
            <w:r>
              <w:rPr>
                <w:rFonts w:hint="eastAsia" w:ascii="Times New Roman" w:hAnsi="Times New Roman"/>
                <w:b/>
                <w:bCs/>
                <w:color w:val="FF0000"/>
                <w:szCs w:val="21"/>
                <w:highlight w:val="none"/>
              </w:rPr>
              <w:t xml:space="preserve">  </w:t>
            </w:r>
            <w:r>
              <w:rPr>
                <w:rFonts w:ascii="Times New Roman" w:hAnsi="Times New Roman"/>
                <w:b/>
                <w:bCs/>
                <w:color w:val="FF0000"/>
                <w:szCs w:val="21"/>
                <w:highlight w:val="none"/>
              </w:rPr>
              <w:t>产品方案</w:t>
            </w:r>
            <w:r>
              <w:rPr>
                <w:rFonts w:hint="eastAsia" w:ascii="Times New Roman" w:hAnsi="Times New Roman"/>
                <w:b/>
                <w:bCs/>
                <w:color w:val="FF0000"/>
                <w:szCs w:val="21"/>
                <w:highlight w:val="none"/>
                <w:lang w:val="en-US" w:eastAsia="zh-CN"/>
              </w:rPr>
              <w:t>及设备适配性</w:t>
            </w:r>
            <w:r>
              <w:rPr>
                <w:rFonts w:ascii="Times New Roman" w:hAnsi="Times New Roman"/>
                <w:b/>
                <w:bCs/>
                <w:color w:val="FF0000"/>
                <w:szCs w:val="21"/>
                <w:highlight w:val="none"/>
              </w:rPr>
              <w:t>一览表</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88"/>
              <w:gridCol w:w="1305"/>
              <w:gridCol w:w="1680"/>
              <w:gridCol w:w="1110"/>
              <w:gridCol w:w="1260"/>
              <w:gridCol w:w="1137"/>
            </w:tblGrid>
            <w:tr w14:paraId="5AD32E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932" w:type="pct"/>
                  <w:tcBorders>
                    <w:tl2br w:val="nil"/>
                    <w:tr2bl w:val="nil"/>
                  </w:tcBorders>
                  <w:vAlign w:val="center"/>
                </w:tcPr>
                <w:p w14:paraId="6573A53A">
                  <w:pPr>
                    <w:jc w:val="center"/>
                    <w:rPr>
                      <w:rFonts w:hint="default" w:eastAsia="宋体"/>
                      <w:b/>
                      <w:bCs/>
                      <w:color w:val="FF0000"/>
                      <w:szCs w:val="21"/>
                      <w:highlight w:val="none"/>
                      <w:lang w:val="en-US" w:eastAsia="zh-CN"/>
                    </w:rPr>
                  </w:pPr>
                  <w:r>
                    <w:rPr>
                      <w:rFonts w:hint="eastAsia"/>
                      <w:b/>
                      <w:bCs/>
                      <w:color w:val="FF0000"/>
                      <w:szCs w:val="21"/>
                      <w:highlight w:val="none"/>
                      <w:lang w:val="en-US" w:eastAsia="zh-CN"/>
                    </w:rPr>
                    <w:t>设备名称</w:t>
                  </w:r>
                </w:p>
              </w:tc>
              <w:tc>
                <w:tcPr>
                  <w:tcW w:w="817" w:type="pct"/>
                  <w:tcBorders>
                    <w:tl2br w:val="nil"/>
                    <w:tr2bl w:val="nil"/>
                  </w:tcBorders>
                  <w:vAlign w:val="center"/>
                </w:tcPr>
                <w:p w14:paraId="33F0D32F">
                  <w:pPr>
                    <w:jc w:val="center"/>
                    <w:rPr>
                      <w:rFonts w:hint="default" w:eastAsia="宋体"/>
                      <w:b/>
                      <w:bCs/>
                      <w:color w:val="FF0000"/>
                      <w:szCs w:val="21"/>
                      <w:highlight w:val="none"/>
                      <w:lang w:val="en-US" w:eastAsia="zh-CN"/>
                    </w:rPr>
                  </w:pPr>
                  <w:r>
                    <w:rPr>
                      <w:rFonts w:hint="eastAsia"/>
                      <w:b/>
                      <w:bCs/>
                      <w:color w:val="FF0000"/>
                      <w:szCs w:val="21"/>
                      <w:highlight w:val="none"/>
                      <w:lang w:val="en-US" w:eastAsia="zh-CN"/>
                    </w:rPr>
                    <w:t>处理能力</w:t>
                  </w:r>
                </w:p>
              </w:tc>
              <w:tc>
                <w:tcPr>
                  <w:tcW w:w="1052" w:type="pct"/>
                  <w:tcBorders>
                    <w:tl2br w:val="nil"/>
                    <w:tr2bl w:val="nil"/>
                  </w:tcBorders>
                  <w:vAlign w:val="center"/>
                </w:tcPr>
                <w:p w14:paraId="60562E84">
                  <w:pPr>
                    <w:jc w:val="center"/>
                    <w:rPr>
                      <w:rFonts w:hint="default" w:eastAsia="宋体"/>
                      <w:b/>
                      <w:bCs/>
                      <w:color w:val="FF0000"/>
                      <w:szCs w:val="21"/>
                      <w:highlight w:val="none"/>
                      <w:lang w:val="en-US" w:eastAsia="zh-CN"/>
                    </w:rPr>
                  </w:pPr>
                  <w:r>
                    <w:rPr>
                      <w:rFonts w:hint="eastAsia"/>
                      <w:b/>
                      <w:bCs/>
                      <w:color w:val="FF0000"/>
                      <w:szCs w:val="21"/>
                      <w:highlight w:val="none"/>
                      <w:lang w:val="en-US" w:eastAsia="zh-CN"/>
                    </w:rPr>
                    <w:t>粒径</w:t>
                  </w:r>
                </w:p>
              </w:tc>
              <w:tc>
                <w:tcPr>
                  <w:tcW w:w="695" w:type="pct"/>
                  <w:tcBorders>
                    <w:tl2br w:val="nil"/>
                    <w:tr2bl w:val="nil"/>
                  </w:tcBorders>
                  <w:vAlign w:val="center"/>
                </w:tcPr>
                <w:p w14:paraId="7074F5B0">
                  <w:pPr>
                    <w:jc w:val="center"/>
                    <w:rPr>
                      <w:rFonts w:hint="default" w:eastAsia="宋体"/>
                      <w:b/>
                      <w:bCs/>
                      <w:color w:val="FF0000"/>
                      <w:szCs w:val="21"/>
                      <w:highlight w:val="none"/>
                      <w:lang w:val="en-US" w:eastAsia="zh-CN"/>
                    </w:rPr>
                  </w:pPr>
                  <w:r>
                    <w:rPr>
                      <w:rFonts w:hint="eastAsia"/>
                      <w:b/>
                      <w:bCs/>
                      <w:color w:val="FF0000"/>
                      <w:szCs w:val="21"/>
                      <w:highlight w:val="none"/>
                      <w:lang w:val="en-US" w:eastAsia="zh-CN"/>
                    </w:rPr>
                    <w:t>生产时间</w:t>
                  </w:r>
                </w:p>
              </w:tc>
              <w:tc>
                <w:tcPr>
                  <w:tcW w:w="789" w:type="pct"/>
                  <w:tcBorders>
                    <w:tl2br w:val="nil"/>
                    <w:tr2bl w:val="nil"/>
                  </w:tcBorders>
                  <w:vAlign w:val="center"/>
                </w:tcPr>
                <w:p w14:paraId="70580045">
                  <w:pPr>
                    <w:widowControl/>
                    <w:jc w:val="center"/>
                    <w:rPr>
                      <w:rFonts w:hint="default" w:eastAsia="宋体"/>
                      <w:b/>
                      <w:bCs/>
                      <w:color w:val="FF0000"/>
                      <w:szCs w:val="21"/>
                      <w:highlight w:val="none"/>
                      <w:lang w:val="en-US" w:eastAsia="zh-CN"/>
                    </w:rPr>
                  </w:pPr>
                  <w:r>
                    <w:rPr>
                      <w:rFonts w:hint="eastAsia"/>
                      <w:b/>
                      <w:bCs/>
                      <w:color w:val="FF0000"/>
                      <w:szCs w:val="21"/>
                      <w:highlight w:val="none"/>
                      <w:lang w:val="en-US" w:eastAsia="zh-CN"/>
                    </w:rPr>
                    <w:t>生产能力</w:t>
                  </w:r>
                </w:p>
              </w:tc>
              <w:tc>
                <w:tcPr>
                  <w:tcW w:w="712" w:type="pct"/>
                  <w:tcBorders>
                    <w:tl2br w:val="nil"/>
                    <w:tr2bl w:val="nil"/>
                  </w:tcBorders>
                  <w:vAlign w:val="center"/>
                </w:tcPr>
                <w:p w14:paraId="400B66F9">
                  <w:pPr>
                    <w:jc w:val="center"/>
                    <w:rPr>
                      <w:rFonts w:hint="default" w:eastAsia="宋体"/>
                      <w:b/>
                      <w:bCs/>
                      <w:color w:val="FF0000"/>
                      <w:szCs w:val="21"/>
                      <w:highlight w:val="none"/>
                      <w:lang w:val="en-US" w:eastAsia="zh-CN"/>
                    </w:rPr>
                  </w:pPr>
                  <w:r>
                    <w:rPr>
                      <w:rFonts w:hint="eastAsia"/>
                      <w:b/>
                      <w:bCs/>
                      <w:color w:val="FF0000"/>
                      <w:szCs w:val="21"/>
                      <w:highlight w:val="none"/>
                      <w:lang w:val="en-US" w:eastAsia="zh-CN"/>
                    </w:rPr>
                    <w:t>设计产能</w:t>
                  </w:r>
                </w:p>
              </w:tc>
            </w:tr>
            <w:tr w14:paraId="77B250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932" w:type="pct"/>
                  <w:tcBorders>
                    <w:tl2br w:val="nil"/>
                    <w:tr2bl w:val="nil"/>
                  </w:tcBorders>
                  <w:vAlign w:val="center"/>
                </w:tcPr>
                <w:p w14:paraId="39098A41">
                  <w:pPr>
                    <w:jc w:val="center"/>
                    <w:rPr>
                      <w:rFonts w:hint="default" w:eastAsia="宋体"/>
                      <w:color w:val="FF0000"/>
                      <w:szCs w:val="21"/>
                      <w:highlight w:val="none"/>
                      <w:lang w:val="en-US" w:eastAsia="zh-CN"/>
                    </w:rPr>
                  </w:pPr>
                  <w:r>
                    <w:rPr>
                      <w:rFonts w:hint="eastAsia" w:eastAsia="宋体"/>
                      <w:color w:val="FF0000"/>
                      <w:szCs w:val="21"/>
                      <w:highlight w:val="none"/>
                      <w:lang w:val="en-US" w:eastAsia="zh-CN"/>
                    </w:rPr>
                    <w:t>鄂式破碎机</w:t>
                  </w:r>
                </w:p>
              </w:tc>
              <w:tc>
                <w:tcPr>
                  <w:tcW w:w="817" w:type="pct"/>
                  <w:tcBorders>
                    <w:tl2br w:val="nil"/>
                    <w:tr2bl w:val="nil"/>
                  </w:tcBorders>
                  <w:vAlign w:val="center"/>
                </w:tcPr>
                <w:p w14:paraId="02E09952">
                  <w:pPr>
                    <w:jc w:val="center"/>
                    <w:rPr>
                      <w:rFonts w:hint="default" w:eastAsia="宋体"/>
                      <w:color w:val="FF0000"/>
                      <w:szCs w:val="21"/>
                      <w:highlight w:val="none"/>
                      <w:lang w:val="en-US" w:eastAsia="zh-CN"/>
                    </w:rPr>
                  </w:pPr>
                  <w:r>
                    <w:rPr>
                      <w:rFonts w:hint="eastAsia"/>
                      <w:color w:val="FF0000"/>
                      <w:szCs w:val="21"/>
                      <w:highlight w:val="none"/>
                      <w:lang w:val="en-US" w:eastAsia="zh-CN"/>
                    </w:rPr>
                    <w:t>210t/h</w:t>
                  </w:r>
                </w:p>
              </w:tc>
              <w:tc>
                <w:tcPr>
                  <w:tcW w:w="1052" w:type="pct"/>
                  <w:tcBorders>
                    <w:tl2br w:val="nil"/>
                    <w:tr2bl w:val="nil"/>
                  </w:tcBorders>
                  <w:vAlign w:val="center"/>
                </w:tcPr>
                <w:p w14:paraId="78376955">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sz w:val="21"/>
                      <w:szCs w:val="21"/>
                      <w:highlight w:val="none"/>
                      <w:lang w:val="en-US" w:eastAsia="zh-CN"/>
                    </w:rPr>
                    <w:t>19.0</w:t>
                  </w:r>
                  <w:r>
                    <w:rPr>
                      <w:rFonts w:hint="default" w:ascii="Times New Roman" w:hAnsi="Times New Roman" w:eastAsia="宋体" w:cs="Times New Roman"/>
                      <w:color w:val="FF0000"/>
                      <w:sz w:val="21"/>
                      <w:szCs w:val="21"/>
                      <w:highlight w:val="none"/>
                      <w:lang w:val="en-US" w:eastAsia="zh-CN"/>
                    </w:rPr>
                    <w:t>mm-</w:t>
                  </w:r>
                  <w:r>
                    <w:rPr>
                      <w:rFonts w:hint="eastAsia" w:ascii="Times New Roman" w:hAnsi="Times New Roman" w:eastAsia="宋体" w:cs="Times New Roman"/>
                      <w:color w:val="FF0000"/>
                      <w:sz w:val="21"/>
                      <w:szCs w:val="21"/>
                      <w:highlight w:val="none"/>
                      <w:lang w:val="en-US" w:eastAsia="zh-CN"/>
                    </w:rPr>
                    <w:t>63.0</w:t>
                  </w:r>
                  <w:r>
                    <w:rPr>
                      <w:rFonts w:hint="default" w:ascii="Times New Roman" w:hAnsi="Times New Roman" w:eastAsia="宋体" w:cs="Times New Roman"/>
                      <w:color w:val="FF0000"/>
                      <w:sz w:val="21"/>
                      <w:szCs w:val="21"/>
                      <w:highlight w:val="none"/>
                      <w:lang w:val="en-US" w:eastAsia="zh-CN"/>
                    </w:rPr>
                    <w:t>mm</w:t>
                  </w:r>
                </w:p>
              </w:tc>
              <w:tc>
                <w:tcPr>
                  <w:tcW w:w="695" w:type="pct"/>
                  <w:tcBorders>
                    <w:tl2br w:val="nil"/>
                    <w:tr2bl w:val="nil"/>
                  </w:tcBorders>
                  <w:vAlign w:val="center"/>
                </w:tcPr>
                <w:p w14:paraId="16F1A1CB">
                  <w:pPr>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1920h</w:t>
                  </w:r>
                </w:p>
              </w:tc>
              <w:tc>
                <w:tcPr>
                  <w:tcW w:w="789" w:type="pct"/>
                  <w:tcBorders>
                    <w:tl2br w:val="nil"/>
                    <w:tr2bl w:val="nil"/>
                  </w:tcBorders>
                  <w:vAlign w:val="center"/>
                </w:tcPr>
                <w:p w14:paraId="39AA54BE">
                  <w:pPr>
                    <w:jc w:val="center"/>
                    <w:rPr>
                      <w:rFonts w:hint="default"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40.32万t</w:t>
                  </w:r>
                </w:p>
              </w:tc>
              <w:tc>
                <w:tcPr>
                  <w:tcW w:w="712" w:type="pct"/>
                  <w:tcBorders>
                    <w:tl2br w:val="nil"/>
                    <w:tr2bl w:val="nil"/>
                  </w:tcBorders>
                  <w:vAlign w:val="center"/>
                </w:tcPr>
                <w:p w14:paraId="77D40764">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16</w:t>
                  </w:r>
                  <w:r>
                    <w:rPr>
                      <w:rFonts w:hint="eastAsia" w:ascii="Times New Roman" w:hAnsi="Times New Roman" w:eastAsia="宋体" w:cs="Times New Roman"/>
                      <w:color w:val="FF0000"/>
                      <w:kern w:val="2"/>
                      <w:sz w:val="21"/>
                      <w:szCs w:val="21"/>
                      <w:highlight w:val="none"/>
                      <w:lang w:val="en-US" w:eastAsia="zh-CN" w:bidi="ar-SA"/>
                    </w:rPr>
                    <w:t>万t</w:t>
                  </w:r>
                </w:p>
              </w:tc>
            </w:tr>
            <w:tr w14:paraId="34B797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932" w:type="pct"/>
                  <w:tcBorders>
                    <w:tl2br w:val="nil"/>
                    <w:tr2bl w:val="nil"/>
                  </w:tcBorders>
                  <w:vAlign w:val="center"/>
                </w:tcPr>
                <w:p w14:paraId="097800D7">
                  <w:pPr>
                    <w:jc w:val="center"/>
                    <w:rPr>
                      <w:rFonts w:hint="default" w:eastAsia="宋体"/>
                      <w:color w:val="FF0000"/>
                      <w:szCs w:val="21"/>
                      <w:highlight w:val="none"/>
                      <w:lang w:val="en-US" w:eastAsia="zh-CN"/>
                    </w:rPr>
                  </w:pPr>
                  <w:r>
                    <w:rPr>
                      <w:rFonts w:hint="eastAsia" w:eastAsia="宋体"/>
                      <w:color w:val="FF0000"/>
                      <w:szCs w:val="21"/>
                      <w:highlight w:val="none"/>
                      <w:lang w:val="en-US" w:eastAsia="zh-CN"/>
                    </w:rPr>
                    <w:t>锤式破碎机</w:t>
                  </w:r>
                </w:p>
              </w:tc>
              <w:tc>
                <w:tcPr>
                  <w:tcW w:w="817" w:type="pct"/>
                  <w:tcBorders>
                    <w:tl2br w:val="nil"/>
                    <w:tr2bl w:val="nil"/>
                  </w:tcBorders>
                  <w:vAlign w:val="center"/>
                </w:tcPr>
                <w:p w14:paraId="5A6BDC13">
                  <w:pPr>
                    <w:jc w:val="center"/>
                    <w:rPr>
                      <w:rFonts w:hint="default" w:eastAsia="宋体"/>
                      <w:color w:val="FF0000"/>
                      <w:szCs w:val="21"/>
                      <w:highlight w:val="none"/>
                      <w:lang w:val="en-US" w:eastAsia="zh-CN"/>
                    </w:rPr>
                  </w:pPr>
                  <w:r>
                    <w:rPr>
                      <w:rFonts w:hint="eastAsia"/>
                      <w:color w:val="FF0000"/>
                      <w:szCs w:val="21"/>
                      <w:highlight w:val="none"/>
                      <w:lang w:val="en-US" w:eastAsia="zh-CN"/>
                    </w:rPr>
                    <w:t>70t/h</w:t>
                  </w:r>
                </w:p>
              </w:tc>
              <w:tc>
                <w:tcPr>
                  <w:tcW w:w="1052" w:type="pct"/>
                  <w:tcBorders>
                    <w:tl2br w:val="nil"/>
                    <w:tr2bl w:val="nil"/>
                  </w:tcBorders>
                  <w:vAlign w:val="center"/>
                </w:tcPr>
                <w:p w14:paraId="0214EF18">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szCs w:val="21"/>
                      <w:highlight w:val="none"/>
                    </w:rPr>
                    <w:t>≤</w:t>
                  </w:r>
                  <w:r>
                    <w:rPr>
                      <w:rFonts w:hint="eastAsia"/>
                      <w:color w:val="FF0000"/>
                      <w:szCs w:val="21"/>
                      <w:highlight w:val="none"/>
                      <w:lang w:val="en-US" w:eastAsia="zh-CN"/>
                    </w:rPr>
                    <w:t>5</w:t>
                  </w:r>
                  <w:r>
                    <w:rPr>
                      <w:color w:val="FF0000"/>
                      <w:szCs w:val="21"/>
                      <w:highlight w:val="none"/>
                    </w:rPr>
                    <w:t>mm</w:t>
                  </w:r>
                </w:p>
              </w:tc>
              <w:tc>
                <w:tcPr>
                  <w:tcW w:w="695" w:type="pct"/>
                  <w:tcBorders>
                    <w:tl2br w:val="nil"/>
                    <w:tr2bl w:val="nil"/>
                  </w:tcBorders>
                  <w:vAlign w:val="center"/>
                </w:tcPr>
                <w:p w14:paraId="4F151318">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1920h</w:t>
                  </w:r>
                </w:p>
              </w:tc>
              <w:tc>
                <w:tcPr>
                  <w:tcW w:w="789" w:type="pct"/>
                  <w:tcBorders>
                    <w:tl2br w:val="nil"/>
                    <w:tr2bl w:val="nil"/>
                  </w:tcBorders>
                  <w:vAlign w:val="center"/>
                </w:tcPr>
                <w:p w14:paraId="2FD2E0CD">
                  <w:pPr>
                    <w:jc w:val="center"/>
                    <w:rPr>
                      <w:rFonts w:hint="eastAsia" w:ascii="Times New Roman" w:hAnsi="Times New Roman" w:eastAsia="宋体" w:cs="Times New Roman"/>
                      <w:color w:val="FF0000"/>
                      <w:kern w:val="2"/>
                      <w:sz w:val="21"/>
                      <w:szCs w:val="21"/>
                      <w:highlight w:val="none"/>
                      <w:lang w:val="en-US" w:eastAsia="zh-CN" w:bidi="ar-SA"/>
                    </w:rPr>
                  </w:pPr>
                  <w:r>
                    <w:rPr>
                      <w:rFonts w:hint="eastAsia" w:ascii="Times New Roman" w:hAnsi="Times New Roman" w:eastAsia="宋体" w:cs="Times New Roman"/>
                      <w:color w:val="FF0000"/>
                      <w:kern w:val="2"/>
                      <w:sz w:val="21"/>
                      <w:szCs w:val="21"/>
                      <w:highlight w:val="none"/>
                      <w:lang w:val="en-US" w:eastAsia="zh-CN" w:bidi="ar-SA"/>
                    </w:rPr>
                    <w:t>13.44万t</w:t>
                  </w:r>
                </w:p>
              </w:tc>
              <w:tc>
                <w:tcPr>
                  <w:tcW w:w="712" w:type="pct"/>
                  <w:tcBorders>
                    <w:tl2br w:val="nil"/>
                    <w:tr2bl w:val="nil"/>
                  </w:tcBorders>
                  <w:vAlign w:val="center"/>
                </w:tcPr>
                <w:p w14:paraId="53F7C94B">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10</w:t>
                  </w:r>
                  <w:r>
                    <w:rPr>
                      <w:rFonts w:hint="eastAsia" w:ascii="Times New Roman" w:hAnsi="Times New Roman" w:eastAsia="宋体" w:cs="Times New Roman"/>
                      <w:color w:val="FF0000"/>
                      <w:kern w:val="2"/>
                      <w:sz w:val="21"/>
                      <w:szCs w:val="21"/>
                      <w:highlight w:val="none"/>
                      <w:lang w:val="en-US" w:eastAsia="zh-CN" w:bidi="ar-SA"/>
                    </w:rPr>
                    <w:t>万t</w:t>
                  </w:r>
                </w:p>
              </w:tc>
            </w:tr>
          </w:tbl>
          <w:p w14:paraId="17D5367F">
            <w:pPr>
              <w:keepNext w:val="0"/>
              <w:keepLines w:val="0"/>
              <w:pageBreakBefore w:val="0"/>
              <w:widowControl/>
              <w:kinsoku/>
              <w:wordWrap/>
              <w:overflowPunct/>
              <w:topLinePunct w:val="0"/>
              <w:autoSpaceDE/>
              <w:autoSpaceDN/>
              <w:bidi w:val="0"/>
              <w:adjustRightInd/>
              <w:snapToGrid/>
              <w:spacing w:before="157" w:beforeLines="50" w:line="360" w:lineRule="auto"/>
              <w:ind w:firstLine="480" w:firstLineChars="200"/>
              <w:jc w:val="left"/>
              <w:textAlignment w:val="auto"/>
              <w:rPr>
                <w:rFonts w:hint="default"/>
                <w:b/>
                <w:bCs/>
                <w:color w:val="FF0000"/>
                <w:sz w:val="24"/>
                <w:highlight w:val="none"/>
                <w:lang w:val="en-US" w:eastAsia="zh-CN"/>
              </w:rPr>
            </w:pPr>
            <w:r>
              <w:rPr>
                <w:rFonts w:hint="eastAsia"/>
                <w:b w:val="0"/>
                <w:bCs w:val="0"/>
                <w:color w:val="FF0000"/>
                <w:sz w:val="24"/>
                <w:highlight w:val="none"/>
                <w:lang w:val="en-US" w:eastAsia="zh-CN"/>
              </w:rPr>
              <w:t>由上表可知，本项目破碎设备能够满足生产需求。项目原料区存储能力为1500m</w:t>
            </w:r>
            <w:r>
              <w:rPr>
                <w:rFonts w:hint="eastAsia"/>
                <w:b w:val="0"/>
                <w:bCs w:val="0"/>
                <w:color w:val="FF0000"/>
                <w:sz w:val="24"/>
                <w:highlight w:val="none"/>
                <w:vertAlign w:val="superscript"/>
                <w:lang w:val="en-US" w:eastAsia="zh-CN"/>
              </w:rPr>
              <w:t>3</w:t>
            </w:r>
            <w:r>
              <w:rPr>
                <w:rFonts w:hint="eastAsia"/>
                <w:b w:val="0"/>
                <w:bCs w:val="0"/>
                <w:color w:val="FF0000"/>
                <w:sz w:val="24"/>
                <w:highlight w:val="none"/>
                <w:lang w:val="en-US" w:eastAsia="zh-CN"/>
              </w:rPr>
              <w:t>，成品区存储能力为3720m</w:t>
            </w:r>
            <w:r>
              <w:rPr>
                <w:rFonts w:hint="eastAsia"/>
                <w:b w:val="0"/>
                <w:bCs w:val="0"/>
                <w:color w:val="FF0000"/>
                <w:sz w:val="24"/>
                <w:highlight w:val="none"/>
                <w:vertAlign w:val="superscript"/>
                <w:lang w:val="en-US" w:eastAsia="zh-CN"/>
              </w:rPr>
              <w:t>3</w:t>
            </w:r>
            <w:r>
              <w:rPr>
                <w:rFonts w:hint="eastAsia"/>
                <w:b w:val="0"/>
                <w:bCs w:val="0"/>
                <w:color w:val="FF0000"/>
                <w:sz w:val="24"/>
                <w:highlight w:val="none"/>
                <w:lang w:val="en-US" w:eastAsia="zh-CN"/>
              </w:rPr>
              <w:t>，花岗岩的密度约2.79-3.07t/m</w:t>
            </w:r>
            <w:r>
              <w:rPr>
                <w:rFonts w:hint="eastAsia"/>
                <w:b w:val="0"/>
                <w:bCs w:val="0"/>
                <w:color w:val="FF0000"/>
                <w:sz w:val="24"/>
                <w:highlight w:val="none"/>
                <w:vertAlign w:val="superscript"/>
                <w:lang w:val="en-US" w:eastAsia="zh-CN"/>
              </w:rPr>
              <w:t>3</w:t>
            </w:r>
            <w:r>
              <w:rPr>
                <w:rFonts w:hint="eastAsia"/>
                <w:b w:val="0"/>
                <w:bCs w:val="0"/>
                <w:color w:val="FF0000"/>
                <w:sz w:val="24"/>
                <w:highlight w:val="none"/>
                <w:lang w:val="en-US" w:eastAsia="zh-CN"/>
              </w:rPr>
              <w:t>，经核算，原料区至少可存储4185t原料，可供使用3.8天；成品区至少可存储10378t原料，产品至少可存储9.5天。</w:t>
            </w:r>
          </w:p>
          <w:p w14:paraId="164843DA">
            <w:pPr>
              <w:keepNext w:val="0"/>
              <w:keepLines w:val="0"/>
              <w:pageBreakBefore w:val="0"/>
              <w:widowControl/>
              <w:kinsoku/>
              <w:wordWrap/>
              <w:overflowPunct/>
              <w:topLinePunct w:val="0"/>
              <w:autoSpaceDE/>
              <w:autoSpaceDN/>
              <w:bidi w:val="0"/>
              <w:adjustRightInd/>
              <w:snapToGrid/>
              <w:spacing w:before="157" w:beforeLines="50" w:line="360" w:lineRule="auto"/>
              <w:jc w:val="left"/>
              <w:textAlignment w:val="auto"/>
              <w:rPr>
                <w:b/>
                <w:bCs/>
                <w:color w:val="FF0000"/>
                <w:sz w:val="24"/>
                <w:highlight w:val="none"/>
              </w:rPr>
            </w:pPr>
            <w:r>
              <w:rPr>
                <w:rFonts w:hint="eastAsia"/>
                <w:b/>
                <w:bCs/>
                <w:color w:val="FF0000"/>
                <w:sz w:val="24"/>
                <w:highlight w:val="none"/>
              </w:rPr>
              <w:t>5、原辅材料及能源消耗情况</w:t>
            </w:r>
          </w:p>
          <w:p w14:paraId="3470EA19">
            <w:pPr>
              <w:pStyle w:val="4"/>
              <w:spacing w:line="360" w:lineRule="auto"/>
              <w:ind w:firstLine="480"/>
              <w:rPr>
                <w:rFonts w:hint="eastAsia"/>
                <w:color w:val="FF0000"/>
                <w:sz w:val="24"/>
                <w:highlight w:val="none"/>
              </w:rPr>
            </w:pPr>
            <w:r>
              <w:rPr>
                <w:rFonts w:hint="eastAsia"/>
                <w:color w:val="FF0000"/>
                <w:sz w:val="24"/>
                <w:highlight w:val="none"/>
              </w:rPr>
              <w:t>本项目</w:t>
            </w:r>
            <w:r>
              <w:rPr>
                <w:rFonts w:hint="eastAsia"/>
                <w:color w:val="FF0000"/>
                <w:sz w:val="24"/>
                <w:highlight w:val="none"/>
                <w:lang w:val="en-US" w:eastAsia="zh-CN"/>
              </w:rPr>
              <w:t>原料花岗岩均从周边城市外购，</w:t>
            </w:r>
            <w:r>
              <w:rPr>
                <w:rFonts w:hint="eastAsia"/>
                <w:color w:val="FF0000"/>
                <w:sz w:val="24"/>
                <w:highlight w:val="none"/>
              </w:rPr>
              <w:t>原辅材料及能源消耗情况详见下表。</w:t>
            </w:r>
          </w:p>
          <w:p w14:paraId="77818E6E">
            <w:pPr>
              <w:widowControl/>
              <w:jc w:val="center"/>
              <w:rPr>
                <w:b/>
                <w:bCs/>
                <w:color w:val="FF0000"/>
                <w:szCs w:val="21"/>
                <w:highlight w:val="none"/>
              </w:rPr>
            </w:pPr>
            <w:r>
              <w:rPr>
                <w:b/>
                <w:bCs/>
                <w:color w:val="FF0000"/>
                <w:szCs w:val="21"/>
                <w:highlight w:val="none"/>
              </w:rPr>
              <w:t>表</w:t>
            </w:r>
            <w:r>
              <w:rPr>
                <w:rFonts w:hint="eastAsia"/>
                <w:b/>
                <w:bCs/>
                <w:color w:val="FF0000"/>
                <w:szCs w:val="21"/>
                <w:highlight w:val="none"/>
              </w:rPr>
              <w:t>2-</w:t>
            </w:r>
            <w:r>
              <w:rPr>
                <w:rFonts w:hint="eastAsia"/>
                <w:b/>
                <w:bCs/>
                <w:color w:val="FF0000"/>
                <w:szCs w:val="21"/>
                <w:highlight w:val="none"/>
                <w:lang w:val="en-US" w:eastAsia="zh-CN"/>
              </w:rPr>
              <w:t>5</w:t>
            </w:r>
            <w:r>
              <w:rPr>
                <w:b/>
                <w:bCs/>
                <w:color w:val="FF0000"/>
                <w:szCs w:val="21"/>
                <w:highlight w:val="none"/>
              </w:rPr>
              <w:t>项目主要原辅材料消耗情况一览表</w:t>
            </w:r>
          </w:p>
          <w:tbl>
            <w:tblPr>
              <w:tblStyle w:val="19"/>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7"/>
              <w:gridCol w:w="872"/>
              <w:gridCol w:w="1338"/>
              <w:gridCol w:w="1220"/>
              <w:gridCol w:w="1100"/>
              <w:gridCol w:w="829"/>
              <w:gridCol w:w="1100"/>
              <w:gridCol w:w="1068"/>
            </w:tblGrid>
            <w:tr w14:paraId="62B567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 w:type="pct"/>
                  <w:tcBorders>
                    <w:tl2br w:val="nil"/>
                    <w:tr2bl w:val="nil"/>
                  </w:tcBorders>
                  <w:vAlign w:val="center"/>
                </w:tcPr>
                <w:p w14:paraId="5390C04B">
                  <w:pPr>
                    <w:pStyle w:val="13"/>
                    <w:jc w:val="center"/>
                    <w:rPr>
                      <w:b/>
                      <w:bCs/>
                      <w:color w:val="FF0000"/>
                      <w:sz w:val="21"/>
                      <w:szCs w:val="21"/>
                      <w:highlight w:val="none"/>
                    </w:rPr>
                  </w:pPr>
                  <w:r>
                    <w:rPr>
                      <w:b/>
                      <w:bCs/>
                      <w:color w:val="FF0000"/>
                      <w:sz w:val="21"/>
                      <w:szCs w:val="21"/>
                      <w:highlight w:val="none"/>
                    </w:rPr>
                    <w:t>序号</w:t>
                  </w:r>
                </w:p>
              </w:tc>
              <w:tc>
                <w:tcPr>
                  <w:tcW w:w="546" w:type="pct"/>
                  <w:tcBorders>
                    <w:tl2br w:val="nil"/>
                    <w:tr2bl w:val="nil"/>
                  </w:tcBorders>
                  <w:vAlign w:val="center"/>
                </w:tcPr>
                <w:p w14:paraId="430BC01F">
                  <w:pPr>
                    <w:pStyle w:val="13"/>
                    <w:jc w:val="center"/>
                    <w:rPr>
                      <w:b/>
                      <w:bCs/>
                      <w:color w:val="FF0000"/>
                      <w:sz w:val="21"/>
                      <w:szCs w:val="21"/>
                      <w:highlight w:val="none"/>
                    </w:rPr>
                  </w:pPr>
                  <w:r>
                    <w:rPr>
                      <w:b/>
                      <w:bCs/>
                      <w:color w:val="FF0000"/>
                      <w:sz w:val="21"/>
                      <w:szCs w:val="21"/>
                      <w:highlight w:val="none"/>
                    </w:rPr>
                    <w:t>名称</w:t>
                  </w:r>
                </w:p>
              </w:tc>
              <w:tc>
                <w:tcPr>
                  <w:tcW w:w="838" w:type="pct"/>
                  <w:tcBorders>
                    <w:tl2br w:val="nil"/>
                    <w:tr2bl w:val="nil"/>
                  </w:tcBorders>
                  <w:vAlign w:val="center"/>
                </w:tcPr>
                <w:p w14:paraId="3B4B22F7">
                  <w:pPr>
                    <w:pStyle w:val="13"/>
                    <w:jc w:val="center"/>
                    <w:rPr>
                      <w:b/>
                      <w:bCs/>
                      <w:color w:val="FF0000"/>
                      <w:sz w:val="21"/>
                      <w:szCs w:val="21"/>
                      <w:highlight w:val="none"/>
                    </w:rPr>
                  </w:pPr>
                  <w:r>
                    <w:rPr>
                      <w:b/>
                      <w:bCs/>
                      <w:color w:val="FF0000"/>
                      <w:sz w:val="21"/>
                      <w:szCs w:val="21"/>
                      <w:highlight w:val="none"/>
                    </w:rPr>
                    <w:t>规格</w:t>
                  </w:r>
                </w:p>
              </w:tc>
              <w:tc>
                <w:tcPr>
                  <w:tcW w:w="764" w:type="pct"/>
                  <w:tcBorders>
                    <w:tl2br w:val="nil"/>
                    <w:tr2bl w:val="nil"/>
                  </w:tcBorders>
                  <w:vAlign w:val="center"/>
                </w:tcPr>
                <w:p w14:paraId="062DB254">
                  <w:pPr>
                    <w:pStyle w:val="13"/>
                    <w:jc w:val="center"/>
                    <w:rPr>
                      <w:b/>
                      <w:bCs/>
                      <w:color w:val="FF0000"/>
                      <w:sz w:val="21"/>
                      <w:szCs w:val="21"/>
                      <w:highlight w:val="none"/>
                    </w:rPr>
                  </w:pPr>
                  <w:r>
                    <w:rPr>
                      <w:b/>
                      <w:bCs/>
                      <w:color w:val="FF0000"/>
                      <w:sz w:val="21"/>
                      <w:szCs w:val="21"/>
                      <w:highlight w:val="none"/>
                    </w:rPr>
                    <w:t>用量(t/a）</w:t>
                  </w:r>
                </w:p>
              </w:tc>
              <w:tc>
                <w:tcPr>
                  <w:tcW w:w="689" w:type="pct"/>
                  <w:tcBorders>
                    <w:tl2br w:val="nil"/>
                    <w:tr2bl w:val="nil"/>
                  </w:tcBorders>
                  <w:vAlign w:val="center"/>
                </w:tcPr>
                <w:p w14:paraId="40FF4B45">
                  <w:pPr>
                    <w:pStyle w:val="13"/>
                    <w:jc w:val="center"/>
                    <w:rPr>
                      <w:b/>
                      <w:bCs/>
                      <w:color w:val="FF0000"/>
                      <w:sz w:val="21"/>
                      <w:szCs w:val="21"/>
                      <w:highlight w:val="none"/>
                    </w:rPr>
                  </w:pPr>
                  <w:r>
                    <w:rPr>
                      <w:rFonts w:hint="eastAsia"/>
                      <w:b/>
                      <w:bCs/>
                      <w:color w:val="FF0000"/>
                      <w:sz w:val="21"/>
                      <w:szCs w:val="21"/>
                      <w:highlight w:val="none"/>
                    </w:rPr>
                    <w:t>日常存储量</w:t>
                  </w:r>
                  <w:r>
                    <w:rPr>
                      <w:b/>
                      <w:bCs/>
                      <w:color w:val="FF0000"/>
                      <w:sz w:val="21"/>
                      <w:szCs w:val="21"/>
                      <w:highlight w:val="none"/>
                    </w:rPr>
                    <w:t>(t）</w:t>
                  </w:r>
                </w:p>
              </w:tc>
              <w:tc>
                <w:tcPr>
                  <w:tcW w:w="519" w:type="pct"/>
                  <w:tcBorders>
                    <w:tl2br w:val="nil"/>
                    <w:tr2bl w:val="nil"/>
                  </w:tcBorders>
                  <w:vAlign w:val="center"/>
                </w:tcPr>
                <w:p w14:paraId="3107131A">
                  <w:pPr>
                    <w:pStyle w:val="13"/>
                    <w:jc w:val="center"/>
                    <w:rPr>
                      <w:b/>
                      <w:bCs/>
                      <w:color w:val="FF0000"/>
                      <w:sz w:val="21"/>
                      <w:szCs w:val="21"/>
                      <w:highlight w:val="none"/>
                    </w:rPr>
                  </w:pPr>
                  <w:r>
                    <w:rPr>
                      <w:b/>
                      <w:bCs/>
                      <w:color w:val="FF0000"/>
                      <w:sz w:val="21"/>
                      <w:szCs w:val="21"/>
                      <w:highlight w:val="none"/>
                    </w:rPr>
                    <w:t>来源</w:t>
                  </w:r>
                </w:p>
              </w:tc>
              <w:tc>
                <w:tcPr>
                  <w:tcW w:w="689" w:type="pct"/>
                  <w:tcBorders>
                    <w:tl2br w:val="nil"/>
                    <w:tr2bl w:val="nil"/>
                  </w:tcBorders>
                  <w:vAlign w:val="center"/>
                </w:tcPr>
                <w:p w14:paraId="4E36B4E8">
                  <w:pPr>
                    <w:pStyle w:val="13"/>
                    <w:jc w:val="center"/>
                    <w:rPr>
                      <w:b/>
                      <w:bCs/>
                      <w:color w:val="FF0000"/>
                      <w:sz w:val="21"/>
                      <w:szCs w:val="21"/>
                      <w:highlight w:val="none"/>
                    </w:rPr>
                  </w:pPr>
                  <w:r>
                    <w:rPr>
                      <w:rFonts w:hint="eastAsia"/>
                      <w:b/>
                      <w:bCs/>
                      <w:color w:val="FF0000"/>
                      <w:sz w:val="21"/>
                      <w:szCs w:val="21"/>
                      <w:highlight w:val="none"/>
                    </w:rPr>
                    <w:t>用途</w:t>
                  </w:r>
                </w:p>
              </w:tc>
              <w:tc>
                <w:tcPr>
                  <w:tcW w:w="669" w:type="pct"/>
                  <w:tcBorders>
                    <w:tl2br w:val="nil"/>
                    <w:tr2bl w:val="nil"/>
                  </w:tcBorders>
                  <w:vAlign w:val="center"/>
                </w:tcPr>
                <w:p w14:paraId="1EE7DD6F">
                  <w:pPr>
                    <w:pStyle w:val="13"/>
                    <w:jc w:val="center"/>
                    <w:rPr>
                      <w:b/>
                      <w:bCs/>
                      <w:color w:val="FF0000"/>
                      <w:sz w:val="21"/>
                      <w:szCs w:val="21"/>
                      <w:highlight w:val="none"/>
                    </w:rPr>
                  </w:pPr>
                  <w:r>
                    <w:rPr>
                      <w:b/>
                      <w:bCs/>
                      <w:color w:val="FF0000"/>
                      <w:sz w:val="21"/>
                      <w:szCs w:val="21"/>
                      <w:highlight w:val="none"/>
                    </w:rPr>
                    <w:t>运输方式</w:t>
                  </w:r>
                </w:p>
              </w:tc>
            </w:tr>
            <w:tr w14:paraId="4D40B1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 w:type="pct"/>
                  <w:tcBorders>
                    <w:tl2br w:val="nil"/>
                    <w:tr2bl w:val="nil"/>
                  </w:tcBorders>
                </w:tcPr>
                <w:p w14:paraId="584A7CFA">
                  <w:pPr>
                    <w:pStyle w:val="13"/>
                    <w:jc w:val="center"/>
                    <w:rPr>
                      <w:color w:val="FF0000"/>
                      <w:sz w:val="21"/>
                      <w:szCs w:val="21"/>
                      <w:highlight w:val="none"/>
                    </w:rPr>
                  </w:pPr>
                  <w:r>
                    <w:rPr>
                      <w:color w:val="FF0000"/>
                      <w:sz w:val="21"/>
                      <w:szCs w:val="21"/>
                      <w:highlight w:val="none"/>
                    </w:rPr>
                    <w:t>1</w:t>
                  </w:r>
                </w:p>
              </w:tc>
              <w:tc>
                <w:tcPr>
                  <w:tcW w:w="546" w:type="pct"/>
                  <w:tcBorders>
                    <w:tl2br w:val="nil"/>
                    <w:tr2bl w:val="nil"/>
                  </w:tcBorders>
                </w:tcPr>
                <w:p w14:paraId="40116472">
                  <w:pPr>
                    <w:pStyle w:val="13"/>
                    <w:jc w:val="center"/>
                    <w:rPr>
                      <w:rFonts w:hint="eastAsia" w:eastAsia="宋体"/>
                      <w:color w:val="FF0000"/>
                      <w:sz w:val="21"/>
                      <w:szCs w:val="21"/>
                      <w:highlight w:val="none"/>
                      <w:lang w:eastAsia="zh-CN"/>
                    </w:rPr>
                  </w:pPr>
                  <w:r>
                    <w:rPr>
                      <w:rFonts w:hint="eastAsia"/>
                      <w:color w:val="FF0000"/>
                      <w:sz w:val="21"/>
                      <w:szCs w:val="21"/>
                      <w:highlight w:val="none"/>
                      <w:lang w:val="en-US" w:eastAsia="zh-CN"/>
                    </w:rPr>
                    <w:t>花岗岩</w:t>
                  </w:r>
                </w:p>
              </w:tc>
              <w:tc>
                <w:tcPr>
                  <w:tcW w:w="838" w:type="pct"/>
                  <w:tcBorders>
                    <w:tl2br w:val="nil"/>
                    <w:tr2bl w:val="nil"/>
                  </w:tcBorders>
                </w:tcPr>
                <w:p w14:paraId="2ABBFA2C">
                  <w:pPr>
                    <w:pStyle w:val="13"/>
                    <w:jc w:val="center"/>
                    <w:rPr>
                      <w:color w:val="FF0000"/>
                      <w:sz w:val="21"/>
                      <w:szCs w:val="21"/>
                      <w:highlight w:val="none"/>
                    </w:rPr>
                  </w:pPr>
                  <w:r>
                    <w:rPr>
                      <w:rFonts w:hint="eastAsia"/>
                      <w:color w:val="FF0000"/>
                      <w:sz w:val="21"/>
                      <w:szCs w:val="21"/>
                      <w:highlight w:val="none"/>
                    </w:rPr>
                    <w:t>100-400mm</w:t>
                  </w:r>
                </w:p>
              </w:tc>
              <w:tc>
                <w:tcPr>
                  <w:tcW w:w="764" w:type="pct"/>
                  <w:tcBorders>
                    <w:tl2br w:val="nil"/>
                    <w:tr2bl w:val="nil"/>
                  </w:tcBorders>
                </w:tcPr>
                <w:p w14:paraId="0F5F7CD7">
                  <w:pPr>
                    <w:pStyle w:val="13"/>
                    <w:jc w:val="center"/>
                    <w:rPr>
                      <w:rFonts w:hint="default" w:eastAsia="宋体"/>
                      <w:color w:val="FF0000"/>
                      <w:sz w:val="21"/>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bidi="ar-SA"/>
                    </w:rPr>
                    <w:t>260</w:t>
                  </w:r>
                  <w:r>
                    <w:rPr>
                      <w:rFonts w:hint="eastAsia" w:cs="Times New Roman"/>
                      <w:color w:val="FF0000"/>
                      <w:kern w:val="0"/>
                      <w:sz w:val="21"/>
                      <w:szCs w:val="21"/>
                      <w:highlight w:val="none"/>
                      <w:lang w:val="en-US" w:eastAsia="zh-CN" w:bidi="ar-SA"/>
                    </w:rPr>
                    <w:t>505.301</w:t>
                  </w:r>
                </w:p>
              </w:tc>
              <w:tc>
                <w:tcPr>
                  <w:tcW w:w="689" w:type="pct"/>
                  <w:tcBorders>
                    <w:tl2br w:val="nil"/>
                    <w:tr2bl w:val="nil"/>
                  </w:tcBorders>
                </w:tcPr>
                <w:p w14:paraId="5EB4E8D4">
                  <w:pPr>
                    <w:pStyle w:val="13"/>
                    <w:jc w:val="center"/>
                    <w:rPr>
                      <w:color w:val="FF0000"/>
                      <w:sz w:val="21"/>
                      <w:szCs w:val="21"/>
                      <w:highlight w:val="none"/>
                    </w:rPr>
                  </w:pPr>
                  <w:r>
                    <w:rPr>
                      <w:rFonts w:hint="eastAsia"/>
                      <w:color w:val="FF0000"/>
                      <w:sz w:val="21"/>
                      <w:szCs w:val="21"/>
                      <w:highlight w:val="none"/>
                      <w:lang w:val="en-US" w:eastAsia="zh-CN"/>
                    </w:rPr>
                    <w:t>2</w:t>
                  </w:r>
                  <w:r>
                    <w:rPr>
                      <w:rFonts w:hint="eastAsia"/>
                      <w:color w:val="FF0000"/>
                      <w:sz w:val="21"/>
                      <w:szCs w:val="21"/>
                      <w:highlight w:val="none"/>
                    </w:rPr>
                    <w:t>000</w:t>
                  </w:r>
                </w:p>
              </w:tc>
              <w:tc>
                <w:tcPr>
                  <w:tcW w:w="519" w:type="pct"/>
                  <w:tcBorders>
                    <w:tl2br w:val="nil"/>
                    <w:tr2bl w:val="nil"/>
                  </w:tcBorders>
                </w:tcPr>
                <w:p w14:paraId="4AB13F35">
                  <w:pPr>
                    <w:pStyle w:val="13"/>
                    <w:jc w:val="center"/>
                    <w:rPr>
                      <w:color w:val="FF0000"/>
                      <w:sz w:val="21"/>
                      <w:szCs w:val="21"/>
                      <w:highlight w:val="none"/>
                    </w:rPr>
                  </w:pPr>
                  <w:r>
                    <w:rPr>
                      <w:color w:val="FF0000"/>
                      <w:sz w:val="21"/>
                      <w:szCs w:val="21"/>
                      <w:highlight w:val="none"/>
                    </w:rPr>
                    <w:t>外购</w:t>
                  </w:r>
                </w:p>
              </w:tc>
              <w:tc>
                <w:tcPr>
                  <w:tcW w:w="689" w:type="pct"/>
                  <w:tcBorders>
                    <w:tl2br w:val="nil"/>
                    <w:tr2bl w:val="nil"/>
                  </w:tcBorders>
                </w:tcPr>
                <w:p w14:paraId="290A6524">
                  <w:pPr>
                    <w:pStyle w:val="13"/>
                    <w:jc w:val="center"/>
                    <w:rPr>
                      <w:color w:val="FF0000"/>
                      <w:sz w:val="21"/>
                      <w:szCs w:val="21"/>
                      <w:highlight w:val="none"/>
                    </w:rPr>
                  </w:pPr>
                  <w:r>
                    <w:rPr>
                      <w:rFonts w:hint="eastAsia"/>
                      <w:color w:val="FF0000"/>
                      <w:sz w:val="21"/>
                      <w:szCs w:val="21"/>
                      <w:highlight w:val="none"/>
                    </w:rPr>
                    <w:t>产品原料</w:t>
                  </w:r>
                </w:p>
              </w:tc>
              <w:tc>
                <w:tcPr>
                  <w:tcW w:w="669" w:type="pct"/>
                  <w:tcBorders>
                    <w:tl2br w:val="nil"/>
                    <w:tr2bl w:val="nil"/>
                  </w:tcBorders>
                </w:tcPr>
                <w:p w14:paraId="61B1D07F">
                  <w:pPr>
                    <w:pStyle w:val="13"/>
                    <w:jc w:val="center"/>
                    <w:rPr>
                      <w:color w:val="FF0000"/>
                      <w:sz w:val="21"/>
                      <w:szCs w:val="21"/>
                      <w:highlight w:val="none"/>
                    </w:rPr>
                  </w:pPr>
                  <w:r>
                    <w:rPr>
                      <w:color w:val="FF0000"/>
                      <w:sz w:val="21"/>
                      <w:szCs w:val="21"/>
                      <w:highlight w:val="none"/>
                    </w:rPr>
                    <w:t>卡车运输</w:t>
                  </w:r>
                </w:p>
              </w:tc>
            </w:tr>
            <w:tr w14:paraId="2B5646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0" w:type="pct"/>
                  <w:tcBorders>
                    <w:tl2br w:val="nil"/>
                    <w:tr2bl w:val="nil"/>
                  </w:tcBorders>
                </w:tcPr>
                <w:p w14:paraId="2601F617">
                  <w:pPr>
                    <w:pStyle w:val="13"/>
                    <w:jc w:val="center"/>
                    <w:rPr>
                      <w:rFonts w:hint="eastAsia" w:eastAsia="宋体"/>
                      <w:color w:val="FF0000"/>
                      <w:sz w:val="21"/>
                      <w:szCs w:val="21"/>
                      <w:highlight w:val="none"/>
                      <w:lang w:val="en-US" w:eastAsia="zh-CN"/>
                    </w:rPr>
                  </w:pPr>
                  <w:r>
                    <w:rPr>
                      <w:rFonts w:hint="eastAsia"/>
                      <w:color w:val="FF0000"/>
                      <w:sz w:val="21"/>
                      <w:szCs w:val="21"/>
                      <w:highlight w:val="none"/>
                      <w:lang w:val="en-US" w:eastAsia="zh-CN"/>
                    </w:rPr>
                    <w:t>2</w:t>
                  </w:r>
                </w:p>
              </w:tc>
              <w:tc>
                <w:tcPr>
                  <w:tcW w:w="546" w:type="pct"/>
                  <w:tcBorders>
                    <w:tl2br w:val="nil"/>
                    <w:tr2bl w:val="nil"/>
                  </w:tcBorders>
                </w:tcPr>
                <w:p w14:paraId="041AE796">
                  <w:pPr>
                    <w:pStyle w:val="13"/>
                    <w:jc w:val="center"/>
                    <w:rPr>
                      <w:color w:val="FF0000"/>
                      <w:sz w:val="21"/>
                      <w:szCs w:val="21"/>
                      <w:highlight w:val="none"/>
                    </w:rPr>
                  </w:pPr>
                  <w:r>
                    <w:rPr>
                      <w:rFonts w:hint="eastAsia"/>
                      <w:color w:val="FF0000"/>
                      <w:sz w:val="21"/>
                      <w:szCs w:val="21"/>
                      <w:highlight w:val="none"/>
                    </w:rPr>
                    <w:t>润滑油</w:t>
                  </w:r>
                </w:p>
              </w:tc>
              <w:tc>
                <w:tcPr>
                  <w:tcW w:w="838" w:type="pct"/>
                  <w:tcBorders>
                    <w:tl2br w:val="nil"/>
                    <w:tr2bl w:val="nil"/>
                  </w:tcBorders>
                </w:tcPr>
                <w:p w14:paraId="6CD48EDF">
                  <w:pPr>
                    <w:pStyle w:val="13"/>
                    <w:jc w:val="center"/>
                    <w:rPr>
                      <w:color w:val="FF0000"/>
                      <w:sz w:val="21"/>
                      <w:szCs w:val="21"/>
                      <w:highlight w:val="none"/>
                    </w:rPr>
                  </w:pPr>
                  <w:r>
                    <w:rPr>
                      <w:rFonts w:hint="eastAsia"/>
                      <w:color w:val="FF0000"/>
                      <w:sz w:val="21"/>
                      <w:szCs w:val="21"/>
                      <w:highlight w:val="none"/>
                    </w:rPr>
                    <w:t>200L/桶</w:t>
                  </w:r>
                </w:p>
              </w:tc>
              <w:tc>
                <w:tcPr>
                  <w:tcW w:w="764" w:type="pct"/>
                  <w:tcBorders>
                    <w:tl2br w:val="nil"/>
                    <w:tr2bl w:val="nil"/>
                  </w:tcBorders>
                </w:tcPr>
                <w:p w14:paraId="6B10A6A1">
                  <w:pPr>
                    <w:pStyle w:val="13"/>
                    <w:jc w:val="center"/>
                    <w:rPr>
                      <w:color w:val="FF0000"/>
                      <w:sz w:val="21"/>
                      <w:szCs w:val="21"/>
                      <w:highlight w:val="none"/>
                    </w:rPr>
                  </w:pPr>
                  <w:r>
                    <w:rPr>
                      <w:rFonts w:hint="eastAsia"/>
                      <w:color w:val="FF0000"/>
                      <w:sz w:val="21"/>
                      <w:szCs w:val="21"/>
                      <w:highlight w:val="none"/>
                    </w:rPr>
                    <w:t>0.12</w:t>
                  </w:r>
                </w:p>
              </w:tc>
              <w:tc>
                <w:tcPr>
                  <w:tcW w:w="689" w:type="pct"/>
                  <w:tcBorders>
                    <w:tl2br w:val="nil"/>
                    <w:tr2bl w:val="nil"/>
                  </w:tcBorders>
                </w:tcPr>
                <w:p w14:paraId="5E514AF8">
                  <w:pPr>
                    <w:pStyle w:val="13"/>
                    <w:jc w:val="center"/>
                    <w:rPr>
                      <w:color w:val="FF0000"/>
                      <w:sz w:val="21"/>
                      <w:szCs w:val="21"/>
                      <w:highlight w:val="none"/>
                    </w:rPr>
                  </w:pPr>
                  <w:r>
                    <w:rPr>
                      <w:color w:val="FF0000"/>
                      <w:sz w:val="21"/>
                      <w:szCs w:val="21"/>
                      <w:highlight w:val="none"/>
                    </w:rPr>
                    <w:t>随买随用</w:t>
                  </w:r>
                </w:p>
              </w:tc>
              <w:tc>
                <w:tcPr>
                  <w:tcW w:w="519" w:type="pct"/>
                  <w:tcBorders>
                    <w:tl2br w:val="nil"/>
                    <w:tr2bl w:val="nil"/>
                  </w:tcBorders>
                </w:tcPr>
                <w:p w14:paraId="1D22AF25">
                  <w:pPr>
                    <w:pStyle w:val="13"/>
                    <w:jc w:val="center"/>
                    <w:rPr>
                      <w:color w:val="FF0000"/>
                      <w:sz w:val="21"/>
                      <w:szCs w:val="21"/>
                      <w:highlight w:val="none"/>
                    </w:rPr>
                  </w:pPr>
                  <w:r>
                    <w:rPr>
                      <w:color w:val="FF0000"/>
                      <w:sz w:val="21"/>
                      <w:szCs w:val="21"/>
                      <w:highlight w:val="none"/>
                    </w:rPr>
                    <w:t>外购</w:t>
                  </w:r>
                </w:p>
              </w:tc>
              <w:tc>
                <w:tcPr>
                  <w:tcW w:w="689" w:type="pct"/>
                  <w:tcBorders>
                    <w:tl2br w:val="nil"/>
                    <w:tr2bl w:val="nil"/>
                  </w:tcBorders>
                </w:tcPr>
                <w:p w14:paraId="5AB96DE9">
                  <w:pPr>
                    <w:pStyle w:val="13"/>
                    <w:jc w:val="center"/>
                    <w:rPr>
                      <w:color w:val="FF0000"/>
                      <w:sz w:val="21"/>
                      <w:szCs w:val="21"/>
                      <w:highlight w:val="none"/>
                    </w:rPr>
                  </w:pPr>
                  <w:r>
                    <w:rPr>
                      <w:rFonts w:hint="eastAsia"/>
                      <w:color w:val="FF0000"/>
                      <w:sz w:val="21"/>
                      <w:szCs w:val="21"/>
                      <w:highlight w:val="none"/>
                    </w:rPr>
                    <w:t>设备检修</w:t>
                  </w:r>
                </w:p>
              </w:tc>
              <w:tc>
                <w:tcPr>
                  <w:tcW w:w="669" w:type="pct"/>
                  <w:tcBorders>
                    <w:tl2br w:val="nil"/>
                    <w:tr2bl w:val="nil"/>
                  </w:tcBorders>
                </w:tcPr>
                <w:p w14:paraId="2D6F6ABD">
                  <w:pPr>
                    <w:pStyle w:val="13"/>
                    <w:jc w:val="center"/>
                    <w:rPr>
                      <w:color w:val="FF0000"/>
                      <w:sz w:val="21"/>
                      <w:szCs w:val="21"/>
                      <w:highlight w:val="none"/>
                    </w:rPr>
                  </w:pPr>
                  <w:r>
                    <w:rPr>
                      <w:color w:val="FF0000"/>
                      <w:sz w:val="21"/>
                      <w:szCs w:val="21"/>
                      <w:highlight w:val="none"/>
                    </w:rPr>
                    <w:t>卡车运输</w:t>
                  </w:r>
                </w:p>
              </w:tc>
            </w:tr>
          </w:tbl>
          <w:p w14:paraId="0F86021B">
            <w:pPr>
              <w:widowControl/>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w:t>
            </w:r>
            <w:r>
              <w:rPr>
                <w:rFonts w:hint="eastAsia"/>
                <w:b/>
                <w:bCs/>
                <w:color w:val="000000" w:themeColor="text1"/>
                <w:szCs w:val="21"/>
                <w:highlight w:val="none"/>
                <w14:textFill>
                  <w14:solidFill>
                    <w14:schemeClr w14:val="tx1"/>
                  </w14:solidFill>
                </w14:textFill>
              </w:rPr>
              <w:t>2</w:t>
            </w:r>
            <w:r>
              <w:rPr>
                <w:rFonts w:hint="eastAsia"/>
                <w:b/>
                <w:bCs/>
                <w:color w:val="000000" w:themeColor="text1"/>
                <w:szCs w:val="21"/>
                <w:highlight w:val="none"/>
                <w:lang w:val="en-US" w:eastAsia="zh-CN"/>
                <w14:textFill>
                  <w14:solidFill>
                    <w14:schemeClr w14:val="tx1"/>
                  </w14:solidFill>
                </w14:textFill>
              </w:rPr>
              <w:t>6</w:t>
            </w:r>
            <w:r>
              <w:rPr>
                <w:b/>
                <w:bCs/>
                <w:color w:val="000000" w:themeColor="text1"/>
                <w:szCs w:val="21"/>
                <w:highlight w:val="none"/>
                <w14:textFill>
                  <w14:solidFill>
                    <w14:schemeClr w14:val="tx1"/>
                  </w14:solidFill>
                </w14:textFill>
              </w:rPr>
              <w:t xml:space="preserve"> 主要能源消耗一览表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87"/>
              <w:gridCol w:w="900"/>
              <w:gridCol w:w="991"/>
              <w:gridCol w:w="1471"/>
              <w:gridCol w:w="3828"/>
            </w:tblGrid>
            <w:tr w14:paraId="465578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3" w:type="pct"/>
                  <w:tcBorders>
                    <w:tl2br w:val="nil"/>
                    <w:tr2bl w:val="nil"/>
                  </w:tcBorders>
                </w:tcPr>
                <w:p w14:paraId="169ACD31">
                  <w:pPr>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序号</w:t>
                  </w:r>
                </w:p>
              </w:tc>
              <w:tc>
                <w:tcPr>
                  <w:tcW w:w="564" w:type="pct"/>
                  <w:tcBorders>
                    <w:tl2br w:val="nil"/>
                    <w:tr2bl w:val="nil"/>
                  </w:tcBorders>
                </w:tcPr>
                <w:p w14:paraId="6B7E969B">
                  <w:pPr>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名称</w:t>
                  </w:r>
                </w:p>
              </w:tc>
              <w:tc>
                <w:tcPr>
                  <w:tcW w:w="621" w:type="pct"/>
                  <w:tcBorders>
                    <w:tl2br w:val="nil"/>
                    <w:tr2bl w:val="nil"/>
                  </w:tcBorders>
                </w:tcPr>
                <w:p w14:paraId="387C6462">
                  <w:pPr>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单位</w:t>
                  </w:r>
                </w:p>
              </w:tc>
              <w:tc>
                <w:tcPr>
                  <w:tcW w:w="922" w:type="pct"/>
                  <w:tcBorders>
                    <w:tl2br w:val="nil"/>
                    <w:tr2bl w:val="nil"/>
                  </w:tcBorders>
                </w:tcPr>
                <w:p w14:paraId="4C907168">
                  <w:pPr>
                    <w:widowControl/>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消耗量</w:t>
                  </w:r>
                </w:p>
              </w:tc>
              <w:tc>
                <w:tcPr>
                  <w:tcW w:w="2399" w:type="pct"/>
                  <w:tcBorders>
                    <w:tl2br w:val="nil"/>
                    <w:tr2bl w:val="nil"/>
                  </w:tcBorders>
                </w:tcPr>
                <w:p w14:paraId="43A1D5D9">
                  <w:pPr>
                    <w:widowControl/>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备注</w:t>
                  </w:r>
                </w:p>
              </w:tc>
            </w:tr>
            <w:tr w14:paraId="222332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3" w:type="pct"/>
                  <w:tcBorders>
                    <w:tl2br w:val="nil"/>
                    <w:tr2bl w:val="nil"/>
                  </w:tcBorders>
                  <w:vAlign w:val="center"/>
                </w:tcPr>
                <w:p w14:paraId="5B18CFA3">
                  <w:pPr>
                    <w:jc w:val="center"/>
                    <w:rPr>
                      <w:color w:val="FF0000"/>
                      <w:szCs w:val="21"/>
                      <w:highlight w:val="none"/>
                    </w:rPr>
                  </w:pPr>
                  <w:r>
                    <w:rPr>
                      <w:color w:val="FF0000"/>
                      <w:szCs w:val="21"/>
                      <w:highlight w:val="none"/>
                    </w:rPr>
                    <w:t>1</w:t>
                  </w:r>
                </w:p>
              </w:tc>
              <w:tc>
                <w:tcPr>
                  <w:tcW w:w="564" w:type="pct"/>
                  <w:tcBorders>
                    <w:tl2br w:val="nil"/>
                    <w:tr2bl w:val="nil"/>
                  </w:tcBorders>
                  <w:vAlign w:val="center"/>
                </w:tcPr>
                <w:p w14:paraId="4784E860">
                  <w:pPr>
                    <w:jc w:val="center"/>
                    <w:rPr>
                      <w:color w:val="FF0000"/>
                      <w:szCs w:val="21"/>
                      <w:highlight w:val="none"/>
                    </w:rPr>
                  </w:pPr>
                  <w:r>
                    <w:rPr>
                      <w:color w:val="FF0000"/>
                      <w:szCs w:val="21"/>
                      <w:highlight w:val="none"/>
                    </w:rPr>
                    <w:t>水</w:t>
                  </w:r>
                </w:p>
              </w:tc>
              <w:tc>
                <w:tcPr>
                  <w:tcW w:w="621" w:type="pct"/>
                  <w:tcBorders>
                    <w:tl2br w:val="nil"/>
                    <w:tr2bl w:val="nil"/>
                  </w:tcBorders>
                  <w:vAlign w:val="center"/>
                </w:tcPr>
                <w:p w14:paraId="497AFA29">
                  <w:pPr>
                    <w:widowControl/>
                    <w:jc w:val="center"/>
                    <w:rPr>
                      <w:color w:val="FF0000"/>
                      <w:szCs w:val="21"/>
                      <w:highlight w:val="none"/>
                    </w:rPr>
                  </w:pPr>
                  <w:r>
                    <w:rPr>
                      <w:color w:val="FF0000"/>
                      <w:szCs w:val="21"/>
                      <w:highlight w:val="none"/>
                    </w:rPr>
                    <w:t>t/a</w:t>
                  </w:r>
                </w:p>
              </w:tc>
              <w:tc>
                <w:tcPr>
                  <w:tcW w:w="922" w:type="pct"/>
                  <w:tcBorders>
                    <w:tl2br w:val="nil"/>
                    <w:tr2bl w:val="nil"/>
                  </w:tcBorders>
                  <w:vAlign w:val="center"/>
                </w:tcPr>
                <w:p w14:paraId="27A6B91C">
                  <w:pPr>
                    <w:jc w:val="center"/>
                    <w:rPr>
                      <w:rFonts w:hint="default" w:eastAsia="宋体"/>
                      <w:color w:val="FF0000"/>
                      <w:szCs w:val="21"/>
                      <w:highlight w:val="none"/>
                      <w:lang w:val="en-US" w:eastAsia="zh-CN"/>
                    </w:rPr>
                  </w:pPr>
                  <w:r>
                    <w:rPr>
                      <w:rFonts w:hint="eastAsia"/>
                      <w:color w:val="FF0000"/>
                      <w:szCs w:val="21"/>
                      <w:highlight w:val="none"/>
                      <w:lang w:val="en-US" w:eastAsia="zh-CN"/>
                    </w:rPr>
                    <w:t>1432.825</w:t>
                  </w:r>
                </w:p>
              </w:tc>
              <w:tc>
                <w:tcPr>
                  <w:tcW w:w="2399" w:type="pct"/>
                  <w:tcBorders>
                    <w:tl2br w:val="nil"/>
                    <w:tr2bl w:val="nil"/>
                  </w:tcBorders>
                  <w:vAlign w:val="center"/>
                </w:tcPr>
                <w:p w14:paraId="4BCEDDB0">
                  <w:pPr>
                    <w:jc w:val="center"/>
                    <w:rPr>
                      <w:rFonts w:hint="default" w:eastAsia="宋体"/>
                      <w:color w:val="FF0000"/>
                      <w:szCs w:val="21"/>
                      <w:highlight w:val="none"/>
                      <w:lang w:val="en-US" w:eastAsia="zh-CN"/>
                    </w:rPr>
                  </w:pPr>
                  <w:r>
                    <w:rPr>
                      <w:rFonts w:hint="eastAsia"/>
                      <w:color w:val="FF0000"/>
                      <w:szCs w:val="21"/>
                      <w:highlight w:val="none"/>
                    </w:rPr>
                    <w:t>外购</w:t>
                  </w:r>
                  <w:r>
                    <w:rPr>
                      <w:rFonts w:hint="eastAsia"/>
                      <w:color w:val="FF0000"/>
                      <w:szCs w:val="21"/>
                      <w:highlight w:val="none"/>
                      <w:lang w:eastAsia="zh-CN"/>
                    </w:rPr>
                    <w:t>，</w:t>
                  </w:r>
                  <w:r>
                    <w:rPr>
                      <w:rFonts w:hint="eastAsia"/>
                      <w:color w:val="FF0000"/>
                      <w:szCs w:val="21"/>
                      <w:highlight w:val="none"/>
                      <w:lang w:val="en-US" w:eastAsia="zh-CN"/>
                    </w:rPr>
                    <w:t>两个10m</w:t>
                  </w:r>
                  <w:r>
                    <w:rPr>
                      <w:rFonts w:hint="eastAsia"/>
                      <w:color w:val="FF0000"/>
                      <w:szCs w:val="21"/>
                      <w:highlight w:val="none"/>
                      <w:vertAlign w:val="superscript"/>
                      <w:lang w:val="en-US" w:eastAsia="zh-CN"/>
                    </w:rPr>
                    <w:t>3</w:t>
                  </w:r>
                  <w:r>
                    <w:rPr>
                      <w:rFonts w:hint="eastAsia"/>
                      <w:color w:val="FF0000"/>
                      <w:szCs w:val="21"/>
                      <w:highlight w:val="none"/>
                      <w:lang w:val="en-US" w:eastAsia="zh-CN"/>
                    </w:rPr>
                    <w:t>的水箱交替运输，每日一次</w:t>
                  </w:r>
                </w:p>
              </w:tc>
            </w:tr>
            <w:tr w14:paraId="6EBB5D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93" w:type="pct"/>
                  <w:tcBorders>
                    <w:tl2br w:val="nil"/>
                    <w:tr2bl w:val="nil"/>
                  </w:tcBorders>
                </w:tcPr>
                <w:p w14:paraId="025D54B1">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2</w:t>
                  </w:r>
                </w:p>
              </w:tc>
              <w:tc>
                <w:tcPr>
                  <w:tcW w:w="564" w:type="pct"/>
                  <w:tcBorders>
                    <w:tl2br w:val="nil"/>
                    <w:tr2bl w:val="nil"/>
                  </w:tcBorders>
                </w:tcPr>
                <w:p w14:paraId="3BDB5FFD">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电</w:t>
                  </w:r>
                </w:p>
              </w:tc>
              <w:tc>
                <w:tcPr>
                  <w:tcW w:w="621" w:type="pct"/>
                  <w:tcBorders>
                    <w:tl2br w:val="nil"/>
                    <w:tr2bl w:val="nil"/>
                  </w:tcBorders>
                </w:tcPr>
                <w:p w14:paraId="48DDD55D">
                  <w:pPr>
                    <w:widowControl/>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kW•h/a</w:t>
                  </w:r>
                </w:p>
              </w:tc>
              <w:tc>
                <w:tcPr>
                  <w:tcW w:w="922" w:type="pct"/>
                  <w:tcBorders>
                    <w:tl2br w:val="nil"/>
                    <w:tr2bl w:val="nil"/>
                  </w:tcBorders>
                </w:tcPr>
                <w:p w14:paraId="4251A5E7">
                  <w:pPr>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128</w:t>
                  </w:r>
                  <w:r>
                    <w:rPr>
                      <w:color w:val="000000" w:themeColor="text1"/>
                      <w:szCs w:val="21"/>
                      <w:highlight w:val="none"/>
                      <w14:textFill>
                        <w14:solidFill>
                          <w14:schemeClr w14:val="tx1"/>
                        </w14:solidFill>
                      </w14:textFill>
                    </w:rPr>
                    <w:t>万</w:t>
                  </w:r>
                </w:p>
              </w:tc>
              <w:tc>
                <w:tcPr>
                  <w:tcW w:w="2399" w:type="pct"/>
                  <w:tcBorders>
                    <w:tl2br w:val="nil"/>
                    <w:tr2bl w:val="nil"/>
                  </w:tcBorders>
                </w:tcPr>
                <w:p w14:paraId="72909D86">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市政电网</w:t>
                  </w:r>
                </w:p>
              </w:tc>
            </w:tr>
          </w:tbl>
          <w:p w14:paraId="7AC31AAD">
            <w:pPr>
              <w:widowControl/>
              <w:spacing w:line="360" w:lineRule="auto"/>
              <w:jc w:val="left"/>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6</w:t>
            </w:r>
            <w:r>
              <w:rPr>
                <w:b/>
                <w:bCs/>
                <w:color w:val="000000" w:themeColor="text1"/>
                <w:sz w:val="24"/>
                <w:highlight w:val="none"/>
                <w14:textFill>
                  <w14:solidFill>
                    <w14:schemeClr w14:val="tx1"/>
                  </w14:solidFill>
                </w14:textFill>
              </w:rPr>
              <w:t>、公用工程</w:t>
            </w:r>
          </w:p>
          <w:p w14:paraId="70A1D768">
            <w:pPr>
              <w:widowControl/>
              <w:spacing w:line="360" w:lineRule="auto"/>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（1）</w:t>
            </w:r>
            <w:r>
              <w:rPr>
                <w:color w:val="000000" w:themeColor="text1"/>
                <w:sz w:val="24"/>
                <w:highlight w:val="none"/>
                <w14:textFill>
                  <w14:solidFill>
                    <w14:schemeClr w14:val="tx1"/>
                  </w14:solidFill>
                </w14:textFill>
              </w:rPr>
              <w:t>给水</w:t>
            </w:r>
          </w:p>
          <w:p w14:paraId="584FB59F">
            <w:pPr>
              <w:widowControl/>
              <w:spacing w:line="360" w:lineRule="auto"/>
              <w:ind w:firstLine="480" w:firstLineChars="200"/>
              <w:jc w:val="both"/>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厂区内不设置办公区，依托</w:t>
            </w:r>
            <w:r>
              <w:rPr>
                <w:rFonts w:hint="eastAsia"/>
                <w:color w:val="000000" w:themeColor="text1"/>
                <w:sz w:val="24"/>
                <w:highlight w:val="none"/>
                <w14:textFill>
                  <w14:solidFill>
                    <w14:schemeClr w14:val="tx1"/>
                  </w14:solidFill>
                </w14:textFill>
              </w:rPr>
              <w:t>抚顺县哈达林场III号采矿场</w:t>
            </w:r>
            <w:r>
              <w:rPr>
                <w:rFonts w:hint="eastAsia"/>
                <w:color w:val="000000" w:themeColor="text1"/>
                <w:sz w:val="24"/>
                <w:highlight w:val="none"/>
                <w:lang w:val="en-US" w:eastAsia="zh-CN"/>
                <w14:textFill>
                  <w14:solidFill>
                    <w14:schemeClr w14:val="tx1"/>
                  </w14:solidFill>
                </w14:textFill>
              </w:rPr>
              <w:t>内的办公区进行办公，项目运营期职工日常依托采矿场内的盥洗设施和防渗旱厕。</w:t>
            </w:r>
          </w:p>
          <w:p w14:paraId="6EF01ECD">
            <w:pPr>
              <w:widowControl/>
              <w:spacing w:line="360" w:lineRule="auto"/>
              <w:ind w:firstLine="480" w:firstLineChars="200"/>
              <w:jc w:val="both"/>
              <w:rPr>
                <w:rFonts w:hint="default"/>
                <w:color w:val="FF0000"/>
                <w:sz w:val="24"/>
                <w:highlight w:val="none"/>
                <w:lang w:val="en-US"/>
              </w:rPr>
            </w:pPr>
            <w:r>
              <w:rPr>
                <w:rFonts w:hint="eastAsia"/>
                <w:color w:val="FF0000"/>
                <w:sz w:val="24"/>
                <w:highlight w:val="none"/>
              </w:rPr>
              <w:t>①运输车辆清洗补水：</w:t>
            </w:r>
            <w:r>
              <w:rPr>
                <w:rFonts w:hint="eastAsia" w:cs="Times New Roman"/>
                <w:color w:val="FF0000"/>
                <w:sz w:val="24"/>
                <w:szCs w:val="24"/>
                <w:highlight w:val="none"/>
                <w:lang w:val="en-US" w:eastAsia="zh-CN"/>
              </w:rPr>
              <w:t>厂区出入口设置有清洗平台</w:t>
            </w:r>
            <w:r>
              <w:rPr>
                <w:rFonts w:hint="default" w:ascii="Times New Roman" w:hAnsi="Times New Roman" w:eastAsia="宋体" w:cs="Times New Roman"/>
                <w:color w:val="FF0000"/>
                <w:sz w:val="24"/>
                <w:szCs w:val="24"/>
                <w:highlight w:val="none"/>
                <w:lang w:val="en-US" w:eastAsia="zh-CN"/>
              </w:rPr>
              <w:t>（四面斜坡，不影响车辆通行），目的是为了打湿/清洁轮胎，削减车辆进出厂区的扬尘，在该过程中水分会产生蒸发损耗以及车轮带走水量，需定期补充</w:t>
            </w:r>
            <w:r>
              <w:rPr>
                <w:rFonts w:hint="eastAsia" w:cs="Times New Roman"/>
                <w:color w:val="FF0000"/>
                <w:sz w:val="24"/>
                <w:szCs w:val="24"/>
                <w:highlight w:val="none"/>
                <w:lang w:val="en-US" w:eastAsia="zh-CN"/>
              </w:rPr>
              <w:t>。本项目原料和产品运输车辆均为30t卡车，每日进出厂100车次，每车次损耗水量约0.006m</w:t>
            </w:r>
            <w:r>
              <w:rPr>
                <w:rFonts w:hint="eastAsia" w:cs="Times New Roman"/>
                <w:color w:val="FF0000"/>
                <w:sz w:val="24"/>
                <w:szCs w:val="24"/>
                <w:highlight w:val="none"/>
                <w:vertAlign w:val="superscript"/>
                <w:lang w:val="en-US" w:eastAsia="zh-CN"/>
              </w:rPr>
              <w:t>3</w:t>
            </w:r>
            <w:r>
              <w:rPr>
                <w:rFonts w:hint="eastAsia" w:cs="Times New Roman"/>
                <w:color w:val="FF0000"/>
                <w:sz w:val="24"/>
                <w:szCs w:val="24"/>
                <w:highlight w:val="none"/>
                <w:vertAlign w:val="baseline"/>
                <w:lang w:val="en-US" w:eastAsia="zh-CN"/>
              </w:rPr>
              <w:t>，则</w:t>
            </w:r>
            <w:r>
              <w:rPr>
                <w:rFonts w:hint="default" w:ascii="Times New Roman" w:hAnsi="Times New Roman" w:eastAsia="宋体" w:cs="Times New Roman"/>
                <w:color w:val="FF0000"/>
                <w:sz w:val="24"/>
                <w:szCs w:val="24"/>
                <w:highlight w:val="none"/>
                <w:lang w:val="en-US" w:eastAsia="zh-CN"/>
              </w:rPr>
              <w:t>每天需补充0.</w:t>
            </w:r>
            <w:r>
              <w:rPr>
                <w:rFonts w:hint="eastAsia" w:cs="Times New Roman"/>
                <w:color w:val="FF0000"/>
                <w:sz w:val="24"/>
                <w:szCs w:val="24"/>
                <w:highlight w:val="none"/>
                <w:lang w:val="en-US" w:eastAsia="zh-CN"/>
              </w:rPr>
              <w:t>6</w:t>
            </w:r>
            <w:r>
              <w:rPr>
                <w:color w:val="FF0000"/>
                <w:sz w:val="24"/>
                <w:highlight w:val="none"/>
              </w:rPr>
              <w:t>m</w:t>
            </w:r>
            <w:r>
              <w:rPr>
                <w:color w:val="FF0000"/>
                <w:sz w:val="24"/>
                <w:highlight w:val="none"/>
                <w:vertAlign w:val="superscript"/>
              </w:rPr>
              <w:t>3</w:t>
            </w:r>
            <w:r>
              <w:rPr>
                <w:rFonts w:hint="default" w:ascii="Times New Roman" w:hAnsi="Times New Roman" w:eastAsia="宋体" w:cs="Times New Roman"/>
                <w:color w:val="FF0000"/>
                <w:sz w:val="24"/>
                <w:szCs w:val="24"/>
                <w:highlight w:val="none"/>
                <w:lang w:val="en-US" w:eastAsia="zh-CN"/>
              </w:rPr>
              <w:t>新水，</w:t>
            </w:r>
            <w:r>
              <w:rPr>
                <w:rFonts w:hint="eastAsia" w:cs="Times New Roman"/>
                <w:color w:val="FF0000"/>
                <w:sz w:val="24"/>
                <w:szCs w:val="24"/>
                <w:highlight w:val="none"/>
                <w:lang w:val="en-US" w:eastAsia="zh-CN"/>
              </w:rPr>
              <w:t>沉淀池</w:t>
            </w:r>
            <w:r>
              <w:rPr>
                <w:rFonts w:hint="eastAsia" w:ascii="Times New Roman" w:hAnsi="Times New Roman" w:eastAsia="宋体" w:cs="Times New Roman"/>
                <w:color w:val="FF0000"/>
                <w:sz w:val="24"/>
                <w:szCs w:val="24"/>
                <w:highlight w:val="none"/>
                <w:lang w:val="en-US" w:eastAsia="zh-CN"/>
              </w:rPr>
              <w:t>（</w:t>
            </w:r>
            <w:r>
              <w:rPr>
                <w:rFonts w:hint="eastAsia" w:cs="Times New Roman"/>
                <w:color w:val="FF0000"/>
                <w:sz w:val="24"/>
                <w:szCs w:val="24"/>
                <w:highlight w:val="none"/>
                <w:lang w:val="en-US" w:eastAsia="zh-CN"/>
              </w:rPr>
              <w:t>5m</w:t>
            </w:r>
            <w:r>
              <w:rPr>
                <w:rFonts w:hint="eastAsia" w:cs="Times New Roman"/>
                <w:color w:val="FF0000"/>
                <w:sz w:val="24"/>
                <w:szCs w:val="24"/>
                <w:highlight w:val="none"/>
                <w:vertAlign w:val="superscript"/>
                <w:lang w:val="en-US" w:eastAsia="zh-CN"/>
              </w:rPr>
              <w:t>3</w:t>
            </w:r>
            <w:r>
              <w:rPr>
                <w:rFonts w:hint="eastAsia" w:ascii="Times New Roman" w:hAnsi="Times New Roman" w:eastAsia="宋体" w:cs="Times New Roman"/>
                <w:color w:val="FF0000"/>
                <w:sz w:val="24"/>
                <w:szCs w:val="24"/>
                <w:highlight w:val="none"/>
                <w:lang w:val="en-US" w:eastAsia="zh-CN"/>
              </w:rPr>
              <w:t>）</w:t>
            </w:r>
            <w:r>
              <w:rPr>
                <w:rFonts w:hint="default" w:ascii="Times New Roman" w:hAnsi="Times New Roman" w:eastAsia="宋体" w:cs="Times New Roman"/>
                <w:color w:val="FF0000"/>
                <w:sz w:val="24"/>
                <w:szCs w:val="24"/>
                <w:highlight w:val="none"/>
                <w:lang w:val="en-US" w:eastAsia="zh-CN"/>
              </w:rPr>
              <w:t>内水量保持在</w:t>
            </w:r>
            <w:r>
              <w:rPr>
                <w:rFonts w:hint="eastAsia" w:cs="Times New Roman"/>
                <w:color w:val="FF0000"/>
                <w:sz w:val="24"/>
                <w:szCs w:val="24"/>
                <w:highlight w:val="none"/>
                <w:lang w:val="en-US" w:eastAsia="zh-CN"/>
              </w:rPr>
              <w:t>3</w:t>
            </w:r>
            <w:r>
              <w:rPr>
                <w:color w:val="FF0000"/>
                <w:sz w:val="24"/>
                <w:highlight w:val="none"/>
              </w:rPr>
              <w:t>m</w:t>
            </w:r>
            <w:r>
              <w:rPr>
                <w:color w:val="FF0000"/>
                <w:sz w:val="24"/>
                <w:highlight w:val="none"/>
                <w:vertAlign w:val="superscript"/>
              </w:rPr>
              <w:t>3</w:t>
            </w:r>
            <w:r>
              <w:rPr>
                <w:rFonts w:hint="default" w:ascii="Times New Roman" w:hAnsi="Times New Roman" w:eastAsia="宋体" w:cs="Times New Roman"/>
                <w:color w:val="FF0000"/>
                <w:sz w:val="24"/>
                <w:szCs w:val="24"/>
                <w:highlight w:val="none"/>
                <w:lang w:val="en-US" w:eastAsia="zh-CN"/>
              </w:rPr>
              <w:t>左右</w:t>
            </w:r>
            <w:r>
              <w:rPr>
                <w:rFonts w:hint="eastAsia" w:cs="Times New Roman"/>
                <w:color w:val="FF0000"/>
                <w:sz w:val="24"/>
                <w:szCs w:val="24"/>
                <w:highlight w:val="none"/>
                <w:lang w:val="en-US" w:eastAsia="zh-CN"/>
              </w:rPr>
              <w:t>；此外，沉淀池泥渣定期清掏，带出水分约0.225t/a，则</w:t>
            </w:r>
            <w:r>
              <w:rPr>
                <w:rFonts w:hint="default" w:ascii="Times New Roman" w:hAnsi="Times New Roman" w:eastAsia="宋体" w:cs="Times New Roman"/>
                <w:color w:val="FF0000"/>
                <w:sz w:val="24"/>
                <w:szCs w:val="24"/>
                <w:highlight w:val="none"/>
                <w:lang w:val="en-US" w:eastAsia="zh-CN"/>
              </w:rPr>
              <w:t>全年补水量大约</w:t>
            </w:r>
            <w:r>
              <w:rPr>
                <w:rFonts w:hint="eastAsia" w:cs="Times New Roman"/>
                <w:color w:val="FF0000"/>
                <w:sz w:val="24"/>
                <w:szCs w:val="24"/>
                <w:highlight w:val="none"/>
                <w:lang w:val="en-US" w:eastAsia="zh-CN"/>
              </w:rPr>
              <w:t>144.025</w:t>
            </w:r>
            <w:r>
              <w:rPr>
                <w:color w:val="FF0000"/>
                <w:sz w:val="24"/>
                <w:highlight w:val="none"/>
              </w:rPr>
              <w:t>m</w:t>
            </w:r>
            <w:r>
              <w:rPr>
                <w:color w:val="FF0000"/>
                <w:sz w:val="24"/>
                <w:highlight w:val="none"/>
                <w:vertAlign w:val="superscript"/>
              </w:rPr>
              <w:t>3</w:t>
            </w:r>
            <w:r>
              <w:rPr>
                <w:rFonts w:hint="default" w:ascii="Times New Roman" w:hAnsi="Times New Roman" w:eastAsia="宋体" w:cs="Times New Roman"/>
                <w:color w:val="FF0000"/>
                <w:sz w:val="24"/>
                <w:szCs w:val="24"/>
                <w:highlight w:val="none"/>
                <w:lang w:val="en-US" w:eastAsia="zh-CN"/>
              </w:rPr>
              <w:t>/a。</w:t>
            </w:r>
          </w:p>
          <w:p w14:paraId="0BCDB085">
            <w:pPr>
              <w:widowControl/>
              <w:spacing w:line="360" w:lineRule="auto"/>
              <w:ind w:firstLine="480" w:firstLineChars="200"/>
              <w:jc w:val="left"/>
              <w:rPr>
                <w:rFonts w:hint="eastAsia"/>
                <w:color w:val="auto"/>
                <w:sz w:val="24"/>
                <w:highlight w:val="none"/>
              </w:rPr>
            </w:pPr>
            <w:r>
              <w:rPr>
                <w:rFonts w:hint="eastAsia"/>
                <w:color w:val="auto"/>
                <w:sz w:val="24"/>
                <w:highlight w:val="none"/>
              </w:rPr>
              <w:t>②</w:t>
            </w:r>
            <w:r>
              <w:rPr>
                <w:color w:val="auto"/>
                <w:sz w:val="24"/>
                <w:highlight w:val="none"/>
              </w:rPr>
              <w:t>洒水抑尘用水：项目厂内</w:t>
            </w:r>
            <w:r>
              <w:rPr>
                <w:rFonts w:hint="eastAsia"/>
                <w:color w:val="auto"/>
                <w:sz w:val="24"/>
                <w:highlight w:val="none"/>
              </w:rPr>
              <w:t>原料</w:t>
            </w:r>
            <w:r>
              <w:rPr>
                <w:rFonts w:hint="eastAsia"/>
                <w:color w:val="auto"/>
                <w:sz w:val="24"/>
                <w:highlight w:val="none"/>
                <w:lang w:val="en-US" w:eastAsia="zh-CN"/>
              </w:rPr>
              <w:t>区</w:t>
            </w:r>
            <w:r>
              <w:rPr>
                <w:rFonts w:hint="eastAsia"/>
                <w:color w:val="auto"/>
                <w:sz w:val="24"/>
                <w:highlight w:val="none"/>
              </w:rPr>
              <w:t>、生产</w:t>
            </w:r>
            <w:r>
              <w:rPr>
                <w:rFonts w:hint="eastAsia"/>
                <w:color w:val="auto"/>
                <w:sz w:val="24"/>
                <w:highlight w:val="none"/>
                <w:lang w:val="en-US" w:eastAsia="zh-CN"/>
              </w:rPr>
              <w:t>车间</w:t>
            </w:r>
            <w:r>
              <w:rPr>
                <w:rFonts w:hint="eastAsia"/>
                <w:color w:val="auto"/>
                <w:sz w:val="24"/>
                <w:highlight w:val="none"/>
              </w:rPr>
              <w:t>、成品库及</w:t>
            </w:r>
            <w:r>
              <w:rPr>
                <w:color w:val="auto"/>
                <w:sz w:val="24"/>
                <w:highlight w:val="none"/>
              </w:rPr>
              <w:t>道路面积约</w:t>
            </w:r>
            <w:r>
              <w:rPr>
                <w:rFonts w:hint="eastAsia"/>
                <w:color w:val="auto"/>
                <w:sz w:val="24"/>
                <w:highlight w:val="none"/>
                <w:lang w:val="en-US" w:eastAsia="zh-CN"/>
              </w:rPr>
              <w:t>17</w:t>
            </w:r>
            <w:r>
              <w:rPr>
                <w:rFonts w:hint="eastAsia"/>
                <w:color w:val="auto"/>
                <w:sz w:val="24"/>
                <w:highlight w:val="none"/>
              </w:rPr>
              <w:t>00</w:t>
            </w:r>
            <w:r>
              <w:rPr>
                <w:color w:val="auto"/>
                <w:sz w:val="24"/>
                <w:highlight w:val="none"/>
              </w:rPr>
              <w:t>m</w:t>
            </w:r>
            <w:r>
              <w:rPr>
                <w:color w:val="auto"/>
                <w:sz w:val="24"/>
                <w:highlight w:val="none"/>
                <w:vertAlign w:val="superscript"/>
              </w:rPr>
              <w:t>2</w:t>
            </w:r>
            <w:r>
              <w:rPr>
                <w:color w:val="auto"/>
                <w:sz w:val="24"/>
                <w:highlight w:val="none"/>
              </w:rPr>
              <w:t>，按平均2L/ m</w:t>
            </w:r>
            <w:r>
              <w:rPr>
                <w:color w:val="auto"/>
                <w:sz w:val="24"/>
                <w:highlight w:val="none"/>
                <w:vertAlign w:val="superscript"/>
              </w:rPr>
              <w:t>2</w:t>
            </w:r>
            <w:r>
              <w:rPr>
                <w:color w:val="auto"/>
                <w:sz w:val="24"/>
                <w:highlight w:val="none"/>
              </w:rPr>
              <w:t>·次，每天洒水</w:t>
            </w:r>
            <w:r>
              <w:rPr>
                <w:rFonts w:hint="eastAsia"/>
                <w:color w:val="auto"/>
                <w:sz w:val="24"/>
                <w:highlight w:val="none"/>
              </w:rPr>
              <w:t>2</w:t>
            </w:r>
            <w:r>
              <w:rPr>
                <w:color w:val="auto"/>
                <w:sz w:val="24"/>
                <w:highlight w:val="none"/>
              </w:rPr>
              <w:t>次（雨天不进行喷洒）。本项目</w:t>
            </w:r>
            <w:r>
              <w:rPr>
                <w:rFonts w:hint="eastAsia"/>
                <w:color w:val="auto"/>
                <w:sz w:val="24"/>
                <w:highlight w:val="none"/>
              </w:rPr>
              <w:t>全年生产</w:t>
            </w:r>
            <w:r>
              <w:rPr>
                <w:color w:val="auto"/>
                <w:sz w:val="24"/>
                <w:highlight w:val="none"/>
              </w:rPr>
              <w:t>2</w:t>
            </w:r>
            <w:r>
              <w:rPr>
                <w:rFonts w:hint="eastAsia"/>
                <w:color w:val="auto"/>
                <w:sz w:val="24"/>
                <w:highlight w:val="none"/>
                <w:lang w:val="en-US" w:eastAsia="zh-CN"/>
              </w:rPr>
              <w:t>4</w:t>
            </w:r>
            <w:r>
              <w:rPr>
                <w:color w:val="auto"/>
                <w:sz w:val="24"/>
                <w:highlight w:val="none"/>
              </w:rPr>
              <w:t>0天，</w:t>
            </w:r>
            <w:r>
              <w:rPr>
                <w:rFonts w:hint="eastAsia"/>
                <w:color w:val="auto"/>
                <w:sz w:val="24"/>
                <w:highlight w:val="none"/>
              </w:rPr>
              <w:t>其中</w:t>
            </w:r>
            <w:r>
              <w:rPr>
                <w:color w:val="auto"/>
                <w:sz w:val="24"/>
                <w:highlight w:val="none"/>
              </w:rPr>
              <w:t>雨天按</w:t>
            </w:r>
            <w:r>
              <w:rPr>
                <w:rFonts w:hint="eastAsia"/>
                <w:color w:val="auto"/>
                <w:sz w:val="24"/>
                <w:highlight w:val="none"/>
              </w:rPr>
              <w:t>6</w:t>
            </w:r>
            <w:r>
              <w:rPr>
                <w:color w:val="auto"/>
                <w:sz w:val="24"/>
                <w:highlight w:val="none"/>
              </w:rPr>
              <w:t>0天计算，</w:t>
            </w:r>
            <w:r>
              <w:rPr>
                <w:rFonts w:hint="eastAsia"/>
                <w:color w:val="auto"/>
                <w:sz w:val="24"/>
                <w:highlight w:val="none"/>
              </w:rPr>
              <w:t>则</w:t>
            </w:r>
            <w:r>
              <w:rPr>
                <w:color w:val="auto"/>
                <w:sz w:val="24"/>
                <w:highlight w:val="none"/>
              </w:rPr>
              <w:t>非雨天为</w:t>
            </w:r>
            <w:r>
              <w:rPr>
                <w:rFonts w:hint="eastAsia"/>
                <w:color w:val="auto"/>
                <w:sz w:val="24"/>
                <w:highlight w:val="none"/>
              </w:rPr>
              <w:t>1</w:t>
            </w:r>
            <w:r>
              <w:rPr>
                <w:rFonts w:hint="eastAsia"/>
                <w:color w:val="auto"/>
                <w:sz w:val="24"/>
                <w:highlight w:val="none"/>
                <w:lang w:val="en-US" w:eastAsia="zh-CN"/>
              </w:rPr>
              <w:t>8</w:t>
            </w:r>
            <w:r>
              <w:rPr>
                <w:rFonts w:hint="eastAsia"/>
                <w:color w:val="auto"/>
                <w:sz w:val="24"/>
                <w:highlight w:val="none"/>
              </w:rPr>
              <w:t>0</w:t>
            </w:r>
            <w:r>
              <w:rPr>
                <w:color w:val="auto"/>
                <w:sz w:val="24"/>
                <w:highlight w:val="none"/>
              </w:rPr>
              <w:t>天，则道路洒水抑尘用水量约</w:t>
            </w:r>
            <w:r>
              <w:rPr>
                <w:rFonts w:hint="eastAsia"/>
                <w:color w:val="auto"/>
                <w:sz w:val="24"/>
                <w:highlight w:val="none"/>
                <w:lang w:val="en-US" w:eastAsia="zh-CN"/>
              </w:rPr>
              <w:t>1224</w:t>
            </w:r>
            <w:r>
              <w:rPr>
                <w:color w:val="auto"/>
                <w:sz w:val="24"/>
                <w:highlight w:val="none"/>
              </w:rPr>
              <w:t>m</w:t>
            </w:r>
            <w:r>
              <w:rPr>
                <w:color w:val="auto"/>
                <w:sz w:val="24"/>
                <w:highlight w:val="none"/>
                <w:vertAlign w:val="superscript"/>
              </w:rPr>
              <w:t>3</w:t>
            </w:r>
            <w:r>
              <w:rPr>
                <w:color w:val="auto"/>
                <w:sz w:val="24"/>
                <w:highlight w:val="none"/>
              </w:rPr>
              <w:t>/a</w:t>
            </w:r>
            <w:r>
              <w:rPr>
                <w:rFonts w:hint="eastAsia"/>
                <w:color w:val="auto"/>
                <w:sz w:val="24"/>
                <w:highlight w:val="none"/>
              </w:rPr>
              <w:t>（</w:t>
            </w:r>
            <w:r>
              <w:rPr>
                <w:rFonts w:hint="eastAsia"/>
                <w:color w:val="auto"/>
                <w:sz w:val="24"/>
                <w:highlight w:val="none"/>
                <w:lang w:val="en-US" w:eastAsia="zh-CN"/>
              </w:rPr>
              <w:t>6.8</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rPr>
              <w:t>）</w:t>
            </w:r>
            <w:r>
              <w:rPr>
                <w:color w:val="auto"/>
                <w:sz w:val="24"/>
                <w:highlight w:val="none"/>
              </w:rPr>
              <w:t>。厂区洒水抑尘</w:t>
            </w:r>
            <w:r>
              <w:rPr>
                <w:rFonts w:hint="eastAsia"/>
                <w:color w:val="auto"/>
                <w:sz w:val="24"/>
                <w:highlight w:val="none"/>
              </w:rPr>
              <w:t>用水</w:t>
            </w:r>
            <w:r>
              <w:rPr>
                <w:color w:val="auto"/>
                <w:sz w:val="24"/>
                <w:highlight w:val="none"/>
              </w:rPr>
              <w:t>以自然形式</w:t>
            </w:r>
            <w:r>
              <w:rPr>
                <w:rFonts w:hint="eastAsia"/>
                <w:color w:val="auto"/>
                <w:sz w:val="24"/>
                <w:highlight w:val="none"/>
              </w:rPr>
              <w:t>全部</w:t>
            </w:r>
            <w:r>
              <w:rPr>
                <w:color w:val="auto"/>
                <w:sz w:val="24"/>
                <w:highlight w:val="none"/>
              </w:rPr>
              <w:t>蒸发</w:t>
            </w:r>
            <w:r>
              <w:rPr>
                <w:rFonts w:hint="eastAsia"/>
                <w:color w:val="auto"/>
                <w:sz w:val="24"/>
                <w:highlight w:val="none"/>
              </w:rPr>
              <w:t>。</w:t>
            </w:r>
          </w:p>
          <w:p w14:paraId="2D93788C">
            <w:pPr>
              <w:widowControl/>
              <w:spacing w:line="360" w:lineRule="auto"/>
              <w:ind w:firstLine="480" w:firstLineChars="200"/>
              <w:jc w:val="left"/>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rPr>
              <w:t>③</w:t>
            </w:r>
            <w:r>
              <w:rPr>
                <w:rFonts w:hint="eastAsia" w:ascii="Times New Roman" w:hAnsi="Times New Roman" w:eastAsia="宋体" w:cs="Times New Roman"/>
                <w:color w:val="FF0000"/>
                <w:sz w:val="24"/>
                <w:highlight w:val="none"/>
                <w:lang w:val="en-US" w:eastAsia="zh-CN"/>
              </w:rPr>
              <w:t>生活用水</w:t>
            </w:r>
          </w:p>
          <w:p w14:paraId="49F5B41C">
            <w:pPr>
              <w:widowControl/>
              <w:spacing w:line="360" w:lineRule="auto"/>
              <w:ind w:firstLine="480" w:firstLineChars="200"/>
              <w:jc w:val="left"/>
              <w:rPr>
                <w:rFonts w:hint="default" w:ascii="Times New Roman" w:hAnsi="Times New Roman" w:eastAsia="宋体" w:cs="Times New Roman"/>
                <w:color w:val="FF0000"/>
                <w:sz w:val="24"/>
                <w:highlight w:val="none"/>
                <w:lang w:val="en-US" w:eastAsia="zh-CN"/>
              </w:rPr>
            </w:pPr>
            <w:r>
              <w:rPr>
                <w:rFonts w:hint="eastAsia"/>
                <w:color w:val="FF0000"/>
                <w:sz w:val="24"/>
                <w:highlight w:val="none"/>
              </w:rPr>
              <w:t>本项目工作人员</w:t>
            </w:r>
            <w:r>
              <w:rPr>
                <w:rFonts w:hint="eastAsia"/>
                <w:color w:val="FF0000"/>
                <w:sz w:val="24"/>
                <w:highlight w:val="none"/>
                <w:lang w:val="en-US" w:eastAsia="zh-CN"/>
              </w:rPr>
              <w:t>6</w:t>
            </w:r>
            <w:r>
              <w:rPr>
                <w:rFonts w:hint="eastAsia"/>
                <w:color w:val="FF0000"/>
                <w:sz w:val="24"/>
                <w:highlight w:val="none"/>
              </w:rPr>
              <w:t>名，</w:t>
            </w:r>
            <w:r>
              <w:rPr>
                <w:rFonts w:hint="eastAsia"/>
                <w:color w:val="FF0000"/>
                <w:sz w:val="24"/>
                <w:highlight w:val="none"/>
                <w:lang w:val="en-US" w:eastAsia="zh-CN"/>
              </w:rPr>
              <w:t>年工作240天，</w:t>
            </w:r>
            <w:r>
              <w:rPr>
                <w:rFonts w:hint="eastAsia"/>
                <w:color w:val="FF0000"/>
                <w:sz w:val="24"/>
                <w:highlight w:val="none"/>
              </w:rPr>
              <w:t>生活用水量参照《辽宁省行业用水定额》（DB21/T1237-2020），</w:t>
            </w:r>
            <w:r>
              <w:rPr>
                <w:rFonts w:hint="eastAsia"/>
                <w:color w:val="FF0000"/>
                <w:sz w:val="24"/>
                <w:highlight w:val="none"/>
                <w:lang w:val="en-US" w:eastAsia="zh-CN"/>
              </w:rPr>
              <w:t>项目不设置淋浴、食堂宿舍等，因此</w:t>
            </w:r>
            <w:r>
              <w:rPr>
                <w:rFonts w:hint="eastAsia"/>
                <w:color w:val="FF0000"/>
                <w:sz w:val="24"/>
                <w:highlight w:val="none"/>
              </w:rPr>
              <w:t>职工生活用水按</w:t>
            </w:r>
            <w:r>
              <w:rPr>
                <w:rFonts w:hint="eastAsia"/>
                <w:color w:val="FF0000"/>
                <w:sz w:val="24"/>
                <w:highlight w:val="none"/>
                <w:lang w:val="en-US" w:eastAsia="zh-CN"/>
              </w:rPr>
              <w:t>45</w:t>
            </w:r>
            <w:r>
              <w:rPr>
                <w:rFonts w:hint="eastAsia"/>
                <w:color w:val="FF0000"/>
                <w:sz w:val="24"/>
                <w:highlight w:val="none"/>
              </w:rPr>
              <w:t>L/人•d计，则生活用水量为0.</w:t>
            </w:r>
            <w:r>
              <w:rPr>
                <w:rFonts w:hint="eastAsia"/>
                <w:color w:val="FF0000"/>
                <w:sz w:val="24"/>
                <w:highlight w:val="none"/>
                <w:lang w:val="en-US" w:eastAsia="zh-CN"/>
              </w:rPr>
              <w:t>27m</w:t>
            </w:r>
            <w:r>
              <w:rPr>
                <w:rFonts w:hint="eastAsia"/>
                <w:color w:val="FF0000"/>
                <w:sz w:val="24"/>
                <w:highlight w:val="none"/>
                <w:vertAlign w:val="superscript"/>
                <w:lang w:val="en-US" w:eastAsia="zh-CN"/>
              </w:rPr>
              <w:t>3</w:t>
            </w:r>
            <w:r>
              <w:rPr>
                <w:rFonts w:hint="eastAsia"/>
                <w:color w:val="FF0000"/>
                <w:sz w:val="24"/>
                <w:highlight w:val="none"/>
              </w:rPr>
              <w:t>/d（</w:t>
            </w:r>
            <w:r>
              <w:rPr>
                <w:rFonts w:hint="eastAsia"/>
                <w:color w:val="FF0000"/>
                <w:sz w:val="24"/>
                <w:highlight w:val="none"/>
                <w:lang w:val="en-US" w:eastAsia="zh-CN"/>
              </w:rPr>
              <w:t>64.8m</w:t>
            </w:r>
            <w:r>
              <w:rPr>
                <w:rFonts w:hint="eastAsia"/>
                <w:color w:val="FF0000"/>
                <w:sz w:val="24"/>
                <w:highlight w:val="none"/>
                <w:vertAlign w:val="superscript"/>
                <w:lang w:val="en-US" w:eastAsia="zh-CN"/>
              </w:rPr>
              <w:t>3</w:t>
            </w:r>
            <w:r>
              <w:rPr>
                <w:rFonts w:hint="eastAsia"/>
                <w:color w:val="FF0000"/>
                <w:sz w:val="24"/>
                <w:highlight w:val="none"/>
              </w:rPr>
              <w:t>/a）。</w:t>
            </w:r>
          </w:p>
          <w:p w14:paraId="1E539630">
            <w:pPr>
              <w:widowControl/>
              <w:spacing w:line="360" w:lineRule="auto"/>
              <w:ind w:firstLine="480" w:firstLineChars="200"/>
              <w:jc w:val="left"/>
              <w:rPr>
                <w:color w:val="FF0000"/>
                <w:sz w:val="24"/>
                <w:highlight w:val="none"/>
              </w:rPr>
            </w:pPr>
            <w:r>
              <w:rPr>
                <w:rFonts w:hint="eastAsia"/>
                <w:color w:val="FF0000"/>
                <w:sz w:val="24"/>
                <w:highlight w:val="none"/>
              </w:rPr>
              <w:t>（2）</w:t>
            </w:r>
            <w:r>
              <w:rPr>
                <w:color w:val="FF0000"/>
                <w:sz w:val="24"/>
                <w:highlight w:val="none"/>
              </w:rPr>
              <w:t>排水</w:t>
            </w:r>
          </w:p>
          <w:p w14:paraId="1093B916">
            <w:pPr>
              <w:widowControl/>
              <w:spacing w:line="360" w:lineRule="auto"/>
              <w:ind w:firstLine="480" w:firstLineChars="200"/>
              <w:rPr>
                <w:color w:val="FF0000"/>
                <w:sz w:val="24"/>
                <w:highlight w:val="none"/>
              </w:rPr>
            </w:pPr>
            <w:r>
              <w:rPr>
                <w:rFonts w:hint="eastAsia"/>
                <w:color w:val="FF0000"/>
                <w:sz w:val="24"/>
                <w:highlight w:val="none"/>
                <w:lang w:val="en-US" w:eastAsia="zh-CN"/>
              </w:rPr>
              <w:t>本项目</w:t>
            </w:r>
            <w:r>
              <w:rPr>
                <w:color w:val="FF0000"/>
                <w:sz w:val="24"/>
                <w:highlight w:val="none"/>
              </w:rPr>
              <w:t>运输</w:t>
            </w:r>
            <w:r>
              <w:rPr>
                <w:rFonts w:hint="eastAsia"/>
                <w:color w:val="FF0000"/>
                <w:sz w:val="24"/>
                <w:highlight w:val="none"/>
              </w:rPr>
              <w:t>车辆</w:t>
            </w:r>
            <w:r>
              <w:rPr>
                <w:color w:val="FF0000"/>
                <w:sz w:val="24"/>
                <w:highlight w:val="none"/>
              </w:rPr>
              <w:t>清洗</w:t>
            </w:r>
            <w:r>
              <w:rPr>
                <w:rFonts w:hint="eastAsia"/>
                <w:color w:val="FF0000"/>
                <w:sz w:val="24"/>
                <w:highlight w:val="none"/>
              </w:rPr>
              <w:t>废水经沉淀池沉淀后</w:t>
            </w:r>
            <w:r>
              <w:rPr>
                <w:rFonts w:hint="eastAsia"/>
                <w:color w:val="FF0000"/>
                <w:sz w:val="24"/>
                <w:highlight w:val="none"/>
                <w:lang w:eastAsia="zh-CN"/>
              </w:rPr>
              <w:t>，</w:t>
            </w:r>
            <w:r>
              <w:rPr>
                <w:rFonts w:hint="eastAsia"/>
                <w:color w:val="FF0000"/>
                <w:sz w:val="24"/>
                <w:highlight w:val="none"/>
              </w:rPr>
              <w:t>循环使用不外排</w:t>
            </w:r>
            <w:r>
              <w:rPr>
                <w:rFonts w:hint="eastAsia"/>
                <w:color w:val="FF0000"/>
                <w:sz w:val="24"/>
                <w:highlight w:val="none"/>
                <w:lang w:eastAsia="zh-CN"/>
              </w:rPr>
              <w:t>，</w:t>
            </w:r>
            <w:r>
              <w:rPr>
                <w:rFonts w:hint="eastAsia" w:cs="Times New Roman"/>
                <w:color w:val="FF0000"/>
                <w:sz w:val="24"/>
                <w:szCs w:val="24"/>
                <w:highlight w:val="none"/>
                <w:lang w:val="en-US" w:eastAsia="zh-CN"/>
              </w:rPr>
              <w:t>沉淀池内泥渣定期清掏，清掏后泥渣经沥水筛沥水后送至产品库房内，沥出水约0.2t/a（泥渣总量0.25t/a，含水约90%，经沥水筛沥水后含水率约50%，则沥出水量约0.2t/a）</w:t>
            </w:r>
            <w:r>
              <w:rPr>
                <w:rFonts w:hint="eastAsia"/>
                <w:color w:val="FF0000"/>
                <w:sz w:val="24"/>
                <w:highlight w:val="none"/>
              </w:rPr>
              <w:t>；</w:t>
            </w:r>
            <w:r>
              <w:rPr>
                <w:color w:val="FF0000"/>
                <w:sz w:val="24"/>
                <w:highlight w:val="none"/>
              </w:rPr>
              <w:t>洒水抑尘</w:t>
            </w:r>
            <w:r>
              <w:rPr>
                <w:rFonts w:hint="eastAsia"/>
                <w:color w:val="FF0000"/>
                <w:sz w:val="24"/>
                <w:highlight w:val="none"/>
              </w:rPr>
              <w:t>用水</w:t>
            </w:r>
            <w:r>
              <w:rPr>
                <w:color w:val="FF0000"/>
                <w:sz w:val="24"/>
                <w:highlight w:val="none"/>
              </w:rPr>
              <w:t>以自然形式</w:t>
            </w:r>
            <w:r>
              <w:rPr>
                <w:rFonts w:hint="eastAsia"/>
                <w:color w:val="FF0000"/>
                <w:sz w:val="24"/>
                <w:highlight w:val="none"/>
              </w:rPr>
              <w:t>全部</w:t>
            </w:r>
            <w:r>
              <w:rPr>
                <w:color w:val="FF0000"/>
                <w:sz w:val="24"/>
                <w:highlight w:val="none"/>
              </w:rPr>
              <w:t>蒸发，无</w:t>
            </w:r>
            <w:r>
              <w:rPr>
                <w:rFonts w:hint="eastAsia"/>
                <w:color w:val="FF0000"/>
                <w:sz w:val="24"/>
                <w:highlight w:val="none"/>
              </w:rPr>
              <w:t>生产</w:t>
            </w:r>
            <w:r>
              <w:rPr>
                <w:color w:val="FF0000"/>
                <w:sz w:val="24"/>
                <w:highlight w:val="none"/>
              </w:rPr>
              <w:t>废水产生。</w:t>
            </w:r>
          </w:p>
          <w:p w14:paraId="1029C824">
            <w:pPr>
              <w:widowControl/>
              <w:spacing w:line="360" w:lineRule="auto"/>
              <w:ind w:firstLine="480" w:firstLineChars="200"/>
              <w:rPr>
                <w:rFonts w:hint="eastAsia" w:eastAsia="宋体"/>
                <w:color w:val="FF0000"/>
                <w:sz w:val="24"/>
                <w:highlight w:val="none"/>
                <w:lang w:val="en-US" w:eastAsia="zh-CN"/>
              </w:rPr>
            </w:pPr>
            <w:r>
              <w:rPr>
                <w:rFonts w:hint="eastAsia"/>
                <w:color w:val="FF0000"/>
                <w:sz w:val="24"/>
                <w:highlight w:val="none"/>
                <w:lang w:val="en-US" w:eastAsia="zh-CN"/>
              </w:rPr>
              <w:t>生活污水产生量约为新鲜水的80%，则项目生活污水产生量为0.216</w:t>
            </w:r>
            <w:r>
              <w:rPr>
                <w:rFonts w:hint="eastAsia"/>
                <w:color w:val="FF0000"/>
                <w:sz w:val="24"/>
                <w:highlight w:val="none"/>
                <w:lang w:val="en-US" w:eastAsia="zh-CN"/>
              </w:rPr>
              <w:t>m</w:t>
            </w:r>
            <w:r>
              <w:rPr>
                <w:rFonts w:hint="eastAsia"/>
                <w:color w:val="FF0000"/>
                <w:sz w:val="24"/>
                <w:highlight w:val="none"/>
                <w:vertAlign w:val="superscript"/>
                <w:lang w:val="en-US" w:eastAsia="zh-CN"/>
              </w:rPr>
              <w:t>3</w:t>
            </w:r>
            <w:r>
              <w:rPr>
                <w:rFonts w:hint="eastAsia"/>
                <w:color w:val="FF0000"/>
                <w:sz w:val="24"/>
                <w:highlight w:val="none"/>
              </w:rPr>
              <w:t>/d（</w:t>
            </w:r>
            <w:r>
              <w:rPr>
                <w:rFonts w:hint="eastAsia"/>
                <w:color w:val="FF0000"/>
                <w:sz w:val="24"/>
                <w:highlight w:val="none"/>
                <w:lang w:val="en-US" w:eastAsia="zh-CN"/>
              </w:rPr>
              <w:t>51.84m</w:t>
            </w:r>
            <w:r>
              <w:rPr>
                <w:rFonts w:hint="eastAsia"/>
                <w:color w:val="FF0000"/>
                <w:sz w:val="24"/>
                <w:highlight w:val="none"/>
                <w:vertAlign w:val="superscript"/>
                <w:lang w:val="en-US" w:eastAsia="zh-CN"/>
              </w:rPr>
              <w:t>3</w:t>
            </w:r>
            <w:r>
              <w:rPr>
                <w:rFonts w:hint="eastAsia"/>
                <w:color w:val="FF0000"/>
                <w:sz w:val="24"/>
                <w:highlight w:val="none"/>
              </w:rPr>
              <w:t>/a）</w:t>
            </w:r>
            <w:r>
              <w:rPr>
                <w:rFonts w:hint="eastAsia"/>
                <w:color w:val="FF0000"/>
                <w:sz w:val="24"/>
                <w:highlight w:val="none"/>
                <w:lang w:eastAsia="zh-CN"/>
              </w:rPr>
              <w:t>，</w:t>
            </w:r>
            <w:r>
              <w:rPr>
                <w:rFonts w:hint="eastAsia"/>
                <w:color w:val="FF0000"/>
                <w:sz w:val="24"/>
                <w:highlight w:val="none"/>
                <w:lang w:val="en-US" w:eastAsia="zh-CN"/>
              </w:rPr>
              <w:t>生活污水依托四采区现有旱厕，定期清掏。</w:t>
            </w:r>
          </w:p>
          <w:p w14:paraId="4AFAE1AB">
            <w:pPr>
              <w:widowControl/>
              <w:spacing w:line="360" w:lineRule="auto"/>
              <w:ind w:firstLine="480" w:firstLineChars="200"/>
              <w:rPr>
                <w:color w:val="FF0000"/>
                <w:sz w:val="24"/>
                <w:highlight w:val="none"/>
              </w:rPr>
            </w:pPr>
            <w:r>
              <w:rPr>
                <w:color w:val="FF0000"/>
                <w:sz w:val="24"/>
                <w:highlight w:val="none"/>
              </w:rPr>
              <w:t>本项目</w:t>
            </w:r>
            <w:r>
              <w:rPr>
                <w:rFonts w:hint="eastAsia"/>
                <w:color w:val="FF0000"/>
                <w:sz w:val="24"/>
                <w:highlight w:val="none"/>
              </w:rPr>
              <w:t>给</w:t>
            </w:r>
            <w:r>
              <w:rPr>
                <w:color w:val="FF0000"/>
                <w:sz w:val="24"/>
                <w:highlight w:val="none"/>
              </w:rPr>
              <w:t>排水情况表见表</w:t>
            </w:r>
            <w:r>
              <w:rPr>
                <w:rFonts w:hint="eastAsia"/>
                <w:color w:val="FF0000"/>
                <w:sz w:val="24"/>
                <w:highlight w:val="none"/>
              </w:rPr>
              <w:t>2</w:t>
            </w:r>
            <w:r>
              <w:rPr>
                <w:color w:val="FF0000"/>
                <w:sz w:val="24"/>
                <w:highlight w:val="none"/>
              </w:rPr>
              <w:t>-</w:t>
            </w:r>
            <w:r>
              <w:rPr>
                <w:rFonts w:hint="eastAsia"/>
                <w:color w:val="FF0000"/>
                <w:sz w:val="24"/>
                <w:highlight w:val="none"/>
                <w:lang w:val="en-US" w:eastAsia="zh-CN"/>
              </w:rPr>
              <w:t>6</w:t>
            </w:r>
            <w:r>
              <w:rPr>
                <w:color w:val="FF0000"/>
                <w:sz w:val="24"/>
                <w:highlight w:val="none"/>
              </w:rPr>
              <w:t>，水平衡图见图</w:t>
            </w:r>
            <w:r>
              <w:rPr>
                <w:rFonts w:hint="eastAsia"/>
                <w:color w:val="FF0000"/>
                <w:sz w:val="24"/>
                <w:highlight w:val="none"/>
              </w:rPr>
              <w:t>2-</w:t>
            </w:r>
            <w:r>
              <w:rPr>
                <w:color w:val="FF0000"/>
                <w:sz w:val="24"/>
                <w:highlight w:val="none"/>
              </w:rPr>
              <w:t>1。</w:t>
            </w:r>
          </w:p>
          <w:p w14:paraId="6E30953B">
            <w:pPr>
              <w:widowControl/>
              <w:jc w:val="center"/>
              <w:rPr>
                <w:b/>
                <w:bCs/>
                <w:color w:val="FF0000"/>
                <w:szCs w:val="21"/>
                <w:highlight w:val="none"/>
              </w:rPr>
            </w:pPr>
            <w:r>
              <w:rPr>
                <w:b/>
                <w:bCs/>
                <w:color w:val="FF0000"/>
                <w:szCs w:val="21"/>
                <w:highlight w:val="none"/>
              </w:rPr>
              <w:t>表</w:t>
            </w:r>
            <w:r>
              <w:rPr>
                <w:rFonts w:hint="eastAsia"/>
                <w:b/>
                <w:bCs/>
                <w:color w:val="FF0000"/>
                <w:szCs w:val="21"/>
                <w:highlight w:val="none"/>
              </w:rPr>
              <w:t>2-</w:t>
            </w:r>
            <w:r>
              <w:rPr>
                <w:rFonts w:hint="eastAsia"/>
                <w:b/>
                <w:bCs/>
                <w:color w:val="FF0000"/>
                <w:szCs w:val="21"/>
                <w:highlight w:val="none"/>
                <w:lang w:val="en-US" w:eastAsia="zh-CN"/>
              </w:rPr>
              <w:t>7</w:t>
            </w:r>
            <w:r>
              <w:rPr>
                <w:b/>
                <w:bCs/>
                <w:color w:val="FF0000"/>
                <w:szCs w:val="21"/>
                <w:highlight w:val="none"/>
              </w:rPr>
              <w:t xml:space="preserve"> 本项目给排水情况一览表</w:t>
            </w:r>
          </w:p>
          <w:tbl>
            <w:tblPr>
              <w:tblStyle w:val="19"/>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9"/>
              <w:gridCol w:w="1585"/>
              <w:gridCol w:w="1385"/>
              <w:gridCol w:w="948"/>
              <w:gridCol w:w="1146"/>
              <w:gridCol w:w="2241"/>
            </w:tblGrid>
            <w:tr w14:paraId="09E4EF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9" w:type="pct"/>
                  <w:tcBorders>
                    <w:tl2br w:val="nil"/>
                    <w:tr2bl w:val="nil"/>
                  </w:tcBorders>
                  <w:vAlign w:val="center"/>
                </w:tcPr>
                <w:p w14:paraId="61A5E56A">
                  <w:pPr>
                    <w:jc w:val="center"/>
                    <w:rPr>
                      <w:b/>
                      <w:bCs/>
                      <w:color w:val="FF0000"/>
                      <w:szCs w:val="21"/>
                      <w:highlight w:val="none"/>
                    </w:rPr>
                  </w:pPr>
                  <w:r>
                    <w:rPr>
                      <w:b/>
                      <w:bCs/>
                      <w:color w:val="FF0000"/>
                      <w:szCs w:val="21"/>
                      <w:highlight w:val="none"/>
                    </w:rPr>
                    <w:t>序号</w:t>
                  </w:r>
                </w:p>
              </w:tc>
              <w:tc>
                <w:tcPr>
                  <w:tcW w:w="993" w:type="pct"/>
                  <w:tcBorders>
                    <w:tl2br w:val="nil"/>
                    <w:tr2bl w:val="nil"/>
                  </w:tcBorders>
                  <w:vAlign w:val="center"/>
                </w:tcPr>
                <w:p w14:paraId="399881EF">
                  <w:pPr>
                    <w:jc w:val="center"/>
                    <w:rPr>
                      <w:b/>
                      <w:bCs/>
                      <w:color w:val="FF0000"/>
                      <w:szCs w:val="21"/>
                      <w:highlight w:val="none"/>
                    </w:rPr>
                  </w:pPr>
                  <w:r>
                    <w:rPr>
                      <w:b/>
                      <w:bCs/>
                      <w:color w:val="FF0000"/>
                      <w:szCs w:val="21"/>
                      <w:highlight w:val="none"/>
                    </w:rPr>
                    <w:t>名称</w:t>
                  </w:r>
                </w:p>
              </w:tc>
              <w:tc>
                <w:tcPr>
                  <w:tcW w:w="868" w:type="pct"/>
                  <w:tcBorders>
                    <w:tl2br w:val="nil"/>
                    <w:tr2bl w:val="nil"/>
                  </w:tcBorders>
                  <w:vAlign w:val="center"/>
                </w:tcPr>
                <w:p w14:paraId="5263144E">
                  <w:pPr>
                    <w:jc w:val="center"/>
                    <w:rPr>
                      <w:b/>
                      <w:bCs/>
                      <w:color w:val="FF0000"/>
                      <w:szCs w:val="21"/>
                      <w:highlight w:val="none"/>
                    </w:rPr>
                  </w:pPr>
                  <w:r>
                    <w:rPr>
                      <w:rFonts w:hint="eastAsia"/>
                      <w:b/>
                      <w:bCs/>
                      <w:color w:val="FF0000"/>
                      <w:szCs w:val="21"/>
                      <w:highlight w:val="none"/>
                    </w:rPr>
                    <w:t>规格</w:t>
                  </w:r>
                </w:p>
              </w:tc>
              <w:tc>
                <w:tcPr>
                  <w:tcW w:w="594" w:type="pct"/>
                  <w:tcBorders>
                    <w:tl2br w:val="nil"/>
                    <w:tr2bl w:val="nil"/>
                  </w:tcBorders>
                  <w:vAlign w:val="center"/>
                </w:tcPr>
                <w:p w14:paraId="6AF9772C">
                  <w:pPr>
                    <w:widowControl/>
                    <w:jc w:val="center"/>
                    <w:rPr>
                      <w:b/>
                      <w:bCs/>
                      <w:color w:val="FF0000"/>
                      <w:szCs w:val="21"/>
                      <w:highlight w:val="none"/>
                    </w:rPr>
                  </w:pPr>
                  <w:r>
                    <w:rPr>
                      <w:b/>
                      <w:bCs/>
                      <w:color w:val="FF0000"/>
                      <w:szCs w:val="21"/>
                      <w:highlight w:val="none"/>
                    </w:rPr>
                    <w:t>消耗量</w:t>
                  </w:r>
                  <w:r>
                    <w:rPr>
                      <w:color w:val="FF0000"/>
                      <w:szCs w:val="21"/>
                      <w:highlight w:val="none"/>
                    </w:rPr>
                    <w:t>m</w:t>
                  </w:r>
                  <w:r>
                    <w:rPr>
                      <w:color w:val="FF0000"/>
                      <w:szCs w:val="21"/>
                      <w:highlight w:val="none"/>
                      <w:vertAlign w:val="superscript"/>
                    </w:rPr>
                    <w:t>3</w:t>
                  </w:r>
                  <w:r>
                    <w:rPr>
                      <w:color w:val="FF0000"/>
                      <w:szCs w:val="21"/>
                      <w:highlight w:val="none"/>
                    </w:rPr>
                    <w:t>/a</w:t>
                  </w:r>
                </w:p>
              </w:tc>
              <w:tc>
                <w:tcPr>
                  <w:tcW w:w="718" w:type="pct"/>
                  <w:tcBorders>
                    <w:tl2br w:val="nil"/>
                    <w:tr2bl w:val="nil"/>
                  </w:tcBorders>
                  <w:vAlign w:val="center"/>
                </w:tcPr>
                <w:p w14:paraId="4E55245A">
                  <w:pPr>
                    <w:widowControl/>
                    <w:jc w:val="center"/>
                    <w:rPr>
                      <w:b/>
                      <w:bCs/>
                      <w:color w:val="FF0000"/>
                      <w:szCs w:val="21"/>
                      <w:highlight w:val="none"/>
                    </w:rPr>
                  </w:pPr>
                  <w:r>
                    <w:rPr>
                      <w:rFonts w:hint="eastAsia"/>
                      <w:b/>
                      <w:bCs/>
                      <w:color w:val="FF0000"/>
                      <w:szCs w:val="21"/>
                      <w:highlight w:val="none"/>
                    </w:rPr>
                    <w:t>污水产生量</w:t>
                  </w:r>
                  <w:r>
                    <w:rPr>
                      <w:color w:val="FF0000"/>
                      <w:szCs w:val="21"/>
                      <w:highlight w:val="none"/>
                    </w:rPr>
                    <w:t>m</w:t>
                  </w:r>
                  <w:r>
                    <w:rPr>
                      <w:color w:val="FF0000"/>
                      <w:szCs w:val="21"/>
                      <w:highlight w:val="none"/>
                      <w:vertAlign w:val="superscript"/>
                    </w:rPr>
                    <w:t>3</w:t>
                  </w:r>
                  <w:r>
                    <w:rPr>
                      <w:color w:val="FF0000"/>
                      <w:szCs w:val="21"/>
                      <w:highlight w:val="none"/>
                    </w:rPr>
                    <w:t>/a</w:t>
                  </w:r>
                </w:p>
              </w:tc>
              <w:tc>
                <w:tcPr>
                  <w:tcW w:w="1404" w:type="pct"/>
                  <w:tcBorders>
                    <w:tl2br w:val="nil"/>
                    <w:tr2bl w:val="nil"/>
                  </w:tcBorders>
                  <w:vAlign w:val="center"/>
                </w:tcPr>
                <w:p w14:paraId="69FA5B3E">
                  <w:pPr>
                    <w:widowControl/>
                    <w:jc w:val="center"/>
                    <w:rPr>
                      <w:b/>
                      <w:bCs/>
                      <w:color w:val="FF0000"/>
                      <w:szCs w:val="21"/>
                      <w:highlight w:val="none"/>
                    </w:rPr>
                  </w:pPr>
                  <w:r>
                    <w:rPr>
                      <w:rFonts w:hint="eastAsia"/>
                      <w:b/>
                      <w:bCs/>
                      <w:color w:val="FF0000"/>
                      <w:szCs w:val="21"/>
                      <w:highlight w:val="none"/>
                    </w:rPr>
                    <w:t>污水去向</w:t>
                  </w:r>
                </w:p>
              </w:tc>
            </w:tr>
            <w:tr w14:paraId="35983E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9" w:type="pct"/>
                  <w:tcBorders>
                    <w:tl2br w:val="nil"/>
                    <w:tr2bl w:val="nil"/>
                  </w:tcBorders>
                  <w:vAlign w:val="center"/>
                </w:tcPr>
                <w:p w14:paraId="7B8C2246">
                  <w:pPr>
                    <w:jc w:val="center"/>
                    <w:rPr>
                      <w:color w:val="FF0000"/>
                      <w:szCs w:val="21"/>
                      <w:highlight w:val="none"/>
                    </w:rPr>
                  </w:pPr>
                  <w:r>
                    <w:rPr>
                      <w:color w:val="FF0000"/>
                      <w:szCs w:val="21"/>
                      <w:highlight w:val="none"/>
                    </w:rPr>
                    <w:t>1</w:t>
                  </w:r>
                </w:p>
              </w:tc>
              <w:tc>
                <w:tcPr>
                  <w:tcW w:w="993" w:type="pct"/>
                  <w:tcBorders>
                    <w:tl2br w:val="nil"/>
                    <w:tr2bl w:val="nil"/>
                  </w:tcBorders>
                  <w:vAlign w:val="center"/>
                </w:tcPr>
                <w:p w14:paraId="141CB9A6">
                  <w:pPr>
                    <w:jc w:val="center"/>
                    <w:rPr>
                      <w:color w:val="FF0000"/>
                      <w:szCs w:val="21"/>
                      <w:highlight w:val="none"/>
                    </w:rPr>
                  </w:pPr>
                  <w:r>
                    <w:rPr>
                      <w:color w:val="FF0000"/>
                      <w:szCs w:val="21"/>
                      <w:highlight w:val="none"/>
                    </w:rPr>
                    <w:t>运输</w:t>
                  </w:r>
                  <w:r>
                    <w:rPr>
                      <w:rFonts w:hint="eastAsia"/>
                      <w:color w:val="FF0000"/>
                      <w:szCs w:val="21"/>
                      <w:highlight w:val="none"/>
                    </w:rPr>
                    <w:t>车辆</w:t>
                  </w:r>
                  <w:r>
                    <w:rPr>
                      <w:color w:val="FF0000"/>
                      <w:szCs w:val="21"/>
                      <w:highlight w:val="none"/>
                    </w:rPr>
                    <w:t>清洗</w:t>
                  </w:r>
                  <w:r>
                    <w:rPr>
                      <w:rFonts w:hint="eastAsia"/>
                      <w:color w:val="FF0000"/>
                      <w:szCs w:val="21"/>
                      <w:highlight w:val="none"/>
                    </w:rPr>
                    <w:t>用水</w:t>
                  </w:r>
                </w:p>
              </w:tc>
              <w:tc>
                <w:tcPr>
                  <w:tcW w:w="868" w:type="pct"/>
                  <w:tcBorders>
                    <w:tl2br w:val="nil"/>
                    <w:tr2bl w:val="nil"/>
                  </w:tcBorders>
                  <w:vAlign w:val="center"/>
                </w:tcPr>
                <w:p w14:paraId="654F6714">
                  <w:pPr>
                    <w:widowControl/>
                    <w:jc w:val="center"/>
                    <w:rPr>
                      <w:rFonts w:hint="default" w:eastAsia="宋体"/>
                      <w:color w:val="FF0000"/>
                      <w:szCs w:val="21"/>
                      <w:highlight w:val="none"/>
                      <w:lang w:val="en-US" w:eastAsia="zh-CN"/>
                    </w:rPr>
                  </w:pPr>
                  <w:r>
                    <w:rPr>
                      <w:rFonts w:hint="eastAsia"/>
                      <w:color w:val="FF0000"/>
                      <w:szCs w:val="21"/>
                      <w:highlight w:val="none"/>
                      <w:lang w:val="en-US" w:eastAsia="zh-CN"/>
                    </w:rPr>
                    <w:t>0.006</w:t>
                  </w:r>
                  <w:r>
                    <w:rPr>
                      <w:rFonts w:hint="eastAsia"/>
                      <w:color w:val="FF0000"/>
                      <w:szCs w:val="21"/>
                      <w:highlight w:val="none"/>
                    </w:rPr>
                    <w:t>m</w:t>
                  </w:r>
                  <w:r>
                    <w:rPr>
                      <w:rFonts w:hint="eastAsia"/>
                      <w:color w:val="FF0000"/>
                      <w:szCs w:val="21"/>
                      <w:highlight w:val="none"/>
                      <w:vertAlign w:val="superscript"/>
                    </w:rPr>
                    <w:t>3</w:t>
                  </w:r>
                  <w:r>
                    <w:rPr>
                      <w:rFonts w:hint="eastAsia"/>
                      <w:color w:val="FF0000"/>
                      <w:szCs w:val="21"/>
                      <w:highlight w:val="none"/>
                    </w:rPr>
                    <w:t>/</w:t>
                  </w:r>
                  <w:r>
                    <w:rPr>
                      <w:rFonts w:hint="eastAsia"/>
                      <w:color w:val="FF0000"/>
                      <w:szCs w:val="21"/>
                      <w:highlight w:val="none"/>
                      <w:lang w:val="en-US" w:eastAsia="zh-CN"/>
                    </w:rPr>
                    <w:t>车次</w:t>
                  </w:r>
                </w:p>
              </w:tc>
              <w:tc>
                <w:tcPr>
                  <w:tcW w:w="594" w:type="pct"/>
                  <w:tcBorders>
                    <w:tl2br w:val="nil"/>
                    <w:tr2bl w:val="nil"/>
                  </w:tcBorders>
                  <w:vAlign w:val="center"/>
                </w:tcPr>
                <w:p w14:paraId="409CBF81">
                  <w:pPr>
                    <w:jc w:val="center"/>
                    <w:rPr>
                      <w:rFonts w:hint="default" w:eastAsia="宋体"/>
                      <w:color w:val="FF0000"/>
                      <w:szCs w:val="21"/>
                      <w:highlight w:val="none"/>
                      <w:lang w:val="en-US" w:eastAsia="zh-CN"/>
                    </w:rPr>
                  </w:pPr>
                  <w:r>
                    <w:rPr>
                      <w:rFonts w:hint="eastAsia"/>
                      <w:color w:val="FF0000"/>
                      <w:szCs w:val="21"/>
                      <w:highlight w:val="none"/>
                      <w:lang w:val="en-US" w:eastAsia="zh-CN"/>
                    </w:rPr>
                    <w:t>144.225</w:t>
                  </w:r>
                </w:p>
              </w:tc>
              <w:tc>
                <w:tcPr>
                  <w:tcW w:w="718" w:type="pct"/>
                  <w:tcBorders>
                    <w:tl2br w:val="nil"/>
                    <w:tr2bl w:val="nil"/>
                  </w:tcBorders>
                  <w:vAlign w:val="center"/>
                </w:tcPr>
                <w:p w14:paraId="4015B7D5">
                  <w:pPr>
                    <w:jc w:val="center"/>
                    <w:rPr>
                      <w:color w:val="FF0000"/>
                      <w:szCs w:val="21"/>
                      <w:highlight w:val="none"/>
                    </w:rPr>
                  </w:pPr>
                  <w:r>
                    <w:rPr>
                      <w:rFonts w:hint="eastAsia"/>
                      <w:color w:val="FF0000"/>
                      <w:szCs w:val="21"/>
                      <w:highlight w:val="none"/>
                    </w:rPr>
                    <w:t>/</w:t>
                  </w:r>
                </w:p>
              </w:tc>
              <w:tc>
                <w:tcPr>
                  <w:tcW w:w="1404" w:type="pct"/>
                  <w:tcBorders>
                    <w:tl2br w:val="nil"/>
                    <w:tr2bl w:val="nil"/>
                  </w:tcBorders>
                  <w:vAlign w:val="center"/>
                </w:tcPr>
                <w:p w14:paraId="15901FF9">
                  <w:pPr>
                    <w:jc w:val="center"/>
                    <w:rPr>
                      <w:color w:val="FF0000"/>
                      <w:szCs w:val="21"/>
                      <w:highlight w:val="none"/>
                    </w:rPr>
                  </w:pPr>
                  <w:r>
                    <w:rPr>
                      <w:rFonts w:hint="eastAsia"/>
                      <w:color w:val="FF0000"/>
                      <w:szCs w:val="21"/>
                      <w:highlight w:val="none"/>
                    </w:rPr>
                    <w:t>经沉淀池沉淀后，循环使用不外排</w:t>
                  </w:r>
                </w:p>
              </w:tc>
            </w:tr>
            <w:tr w14:paraId="2D719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9" w:type="pct"/>
                  <w:tcBorders>
                    <w:tl2br w:val="nil"/>
                    <w:tr2bl w:val="nil"/>
                  </w:tcBorders>
                  <w:vAlign w:val="center"/>
                </w:tcPr>
                <w:p w14:paraId="7ABA8386">
                  <w:pPr>
                    <w:jc w:val="center"/>
                    <w:rPr>
                      <w:color w:val="FF0000"/>
                      <w:szCs w:val="21"/>
                      <w:highlight w:val="none"/>
                    </w:rPr>
                  </w:pPr>
                  <w:r>
                    <w:rPr>
                      <w:color w:val="FF0000"/>
                      <w:szCs w:val="21"/>
                      <w:highlight w:val="none"/>
                    </w:rPr>
                    <w:t>2</w:t>
                  </w:r>
                </w:p>
              </w:tc>
              <w:tc>
                <w:tcPr>
                  <w:tcW w:w="993" w:type="pct"/>
                  <w:tcBorders>
                    <w:tl2br w:val="nil"/>
                    <w:tr2bl w:val="nil"/>
                  </w:tcBorders>
                  <w:vAlign w:val="center"/>
                </w:tcPr>
                <w:p w14:paraId="7ED0667F">
                  <w:pPr>
                    <w:jc w:val="center"/>
                    <w:rPr>
                      <w:color w:val="FF0000"/>
                      <w:szCs w:val="21"/>
                      <w:highlight w:val="none"/>
                    </w:rPr>
                  </w:pPr>
                  <w:r>
                    <w:rPr>
                      <w:color w:val="FF0000"/>
                      <w:szCs w:val="21"/>
                      <w:highlight w:val="none"/>
                    </w:rPr>
                    <w:t>洒水抑尘用水</w:t>
                  </w:r>
                </w:p>
              </w:tc>
              <w:tc>
                <w:tcPr>
                  <w:tcW w:w="868" w:type="pct"/>
                  <w:tcBorders>
                    <w:tl2br w:val="nil"/>
                    <w:tr2bl w:val="nil"/>
                  </w:tcBorders>
                  <w:vAlign w:val="center"/>
                </w:tcPr>
                <w:p w14:paraId="3FF160E6">
                  <w:pPr>
                    <w:widowControl/>
                    <w:jc w:val="center"/>
                    <w:rPr>
                      <w:color w:val="FF0000"/>
                      <w:szCs w:val="21"/>
                      <w:highlight w:val="none"/>
                    </w:rPr>
                  </w:pPr>
                  <w:r>
                    <w:rPr>
                      <w:rFonts w:hint="eastAsia"/>
                      <w:color w:val="FF0000"/>
                      <w:szCs w:val="21"/>
                      <w:highlight w:val="none"/>
                    </w:rPr>
                    <w:t>2L/ m</w:t>
                  </w:r>
                  <w:r>
                    <w:rPr>
                      <w:rFonts w:hint="eastAsia"/>
                      <w:color w:val="FF0000"/>
                      <w:szCs w:val="21"/>
                      <w:highlight w:val="none"/>
                      <w:vertAlign w:val="superscript"/>
                    </w:rPr>
                    <w:t>2</w:t>
                  </w:r>
                  <w:r>
                    <w:rPr>
                      <w:rFonts w:hint="eastAsia"/>
                      <w:color w:val="FF0000"/>
                      <w:szCs w:val="21"/>
                      <w:highlight w:val="none"/>
                    </w:rPr>
                    <w:t>·次</w:t>
                  </w:r>
                </w:p>
              </w:tc>
              <w:tc>
                <w:tcPr>
                  <w:tcW w:w="594" w:type="pct"/>
                  <w:tcBorders>
                    <w:tl2br w:val="nil"/>
                    <w:tr2bl w:val="nil"/>
                  </w:tcBorders>
                  <w:vAlign w:val="center"/>
                </w:tcPr>
                <w:p w14:paraId="5BDFB9D0">
                  <w:pPr>
                    <w:jc w:val="center"/>
                    <w:rPr>
                      <w:rFonts w:hint="default" w:eastAsia="宋体"/>
                      <w:color w:val="FF0000"/>
                      <w:szCs w:val="21"/>
                      <w:highlight w:val="none"/>
                      <w:lang w:val="en-US" w:eastAsia="zh-CN"/>
                    </w:rPr>
                  </w:pPr>
                  <w:r>
                    <w:rPr>
                      <w:rFonts w:hint="eastAsia"/>
                      <w:color w:val="FF0000"/>
                      <w:szCs w:val="21"/>
                      <w:highlight w:val="none"/>
                      <w:lang w:val="en-US" w:eastAsia="zh-CN"/>
                    </w:rPr>
                    <w:t>1224</w:t>
                  </w:r>
                </w:p>
              </w:tc>
              <w:tc>
                <w:tcPr>
                  <w:tcW w:w="718" w:type="pct"/>
                  <w:tcBorders>
                    <w:tl2br w:val="nil"/>
                    <w:tr2bl w:val="nil"/>
                  </w:tcBorders>
                  <w:vAlign w:val="center"/>
                </w:tcPr>
                <w:p w14:paraId="6762A750">
                  <w:pPr>
                    <w:jc w:val="center"/>
                    <w:rPr>
                      <w:color w:val="FF0000"/>
                      <w:szCs w:val="21"/>
                      <w:highlight w:val="none"/>
                    </w:rPr>
                  </w:pPr>
                  <w:r>
                    <w:rPr>
                      <w:rFonts w:hint="eastAsia"/>
                      <w:color w:val="FF0000"/>
                      <w:szCs w:val="21"/>
                      <w:highlight w:val="none"/>
                    </w:rPr>
                    <w:t>/</w:t>
                  </w:r>
                </w:p>
              </w:tc>
              <w:tc>
                <w:tcPr>
                  <w:tcW w:w="1404" w:type="pct"/>
                  <w:tcBorders>
                    <w:tl2br w:val="nil"/>
                    <w:tr2bl w:val="nil"/>
                  </w:tcBorders>
                  <w:vAlign w:val="center"/>
                </w:tcPr>
                <w:p w14:paraId="2136D0FF">
                  <w:pPr>
                    <w:jc w:val="center"/>
                    <w:rPr>
                      <w:color w:val="FF0000"/>
                      <w:szCs w:val="21"/>
                      <w:highlight w:val="none"/>
                    </w:rPr>
                  </w:pPr>
                  <w:r>
                    <w:rPr>
                      <w:rFonts w:hint="eastAsia"/>
                      <w:color w:val="FF0000"/>
                      <w:szCs w:val="21"/>
                      <w:highlight w:val="none"/>
                    </w:rPr>
                    <w:t>蒸发损耗</w:t>
                  </w:r>
                </w:p>
              </w:tc>
            </w:tr>
            <w:tr w14:paraId="630675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19" w:type="pct"/>
                  <w:tcBorders>
                    <w:tl2br w:val="nil"/>
                    <w:tr2bl w:val="nil"/>
                  </w:tcBorders>
                  <w:vAlign w:val="center"/>
                </w:tcPr>
                <w:p w14:paraId="6F0862EA">
                  <w:pPr>
                    <w:jc w:val="center"/>
                    <w:rPr>
                      <w:rFonts w:hint="eastAsia" w:eastAsia="宋体"/>
                      <w:color w:val="FF0000"/>
                      <w:szCs w:val="21"/>
                      <w:highlight w:val="none"/>
                      <w:lang w:val="en-US" w:eastAsia="zh-CN"/>
                    </w:rPr>
                  </w:pPr>
                  <w:r>
                    <w:rPr>
                      <w:rFonts w:hint="eastAsia"/>
                      <w:color w:val="FF0000"/>
                      <w:szCs w:val="21"/>
                      <w:highlight w:val="none"/>
                      <w:lang w:val="en-US" w:eastAsia="zh-CN"/>
                    </w:rPr>
                    <w:t>3</w:t>
                  </w:r>
                </w:p>
              </w:tc>
              <w:tc>
                <w:tcPr>
                  <w:tcW w:w="993" w:type="pct"/>
                  <w:tcBorders>
                    <w:tl2br w:val="nil"/>
                    <w:tr2bl w:val="nil"/>
                  </w:tcBorders>
                  <w:vAlign w:val="center"/>
                </w:tcPr>
                <w:p w14:paraId="5DF81892">
                  <w:pPr>
                    <w:jc w:val="center"/>
                    <w:rPr>
                      <w:rFonts w:hint="default" w:eastAsia="宋体"/>
                      <w:color w:val="FF0000"/>
                      <w:szCs w:val="21"/>
                      <w:highlight w:val="none"/>
                      <w:lang w:val="en-US" w:eastAsia="zh-CN"/>
                    </w:rPr>
                  </w:pPr>
                  <w:r>
                    <w:rPr>
                      <w:rFonts w:hint="eastAsia"/>
                      <w:color w:val="FF0000"/>
                      <w:szCs w:val="21"/>
                      <w:highlight w:val="none"/>
                      <w:lang w:val="en-US" w:eastAsia="zh-CN"/>
                    </w:rPr>
                    <w:t>生活用水</w:t>
                  </w:r>
                </w:p>
              </w:tc>
              <w:tc>
                <w:tcPr>
                  <w:tcW w:w="868" w:type="pct"/>
                  <w:tcBorders>
                    <w:tl2br w:val="nil"/>
                    <w:tr2bl w:val="nil"/>
                  </w:tcBorders>
                  <w:vAlign w:val="center"/>
                </w:tcPr>
                <w:p w14:paraId="52521188">
                  <w:pPr>
                    <w:widowControl/>
                    <w:jc w:val="center"/>
                    <w:rPr>
                      <w:rFonts w:hint="default" w:eastAsia="宋体"/>
                      <w:color w:val="FF0000"/>
                      <w:szCs w:val="21"/>
                      <w:highlight w:val="none"/>
                      <w:lang w:val="en-US" w:eastAsia="zh-CN"/>
                    </w:rPr>
                  </w:pPr>
                  <w:r>
                    <w:rPr>
                      <w:rFonts w:hint="eastAsia"/>
                      <w:color w:val="FF0000"/>
                      <w:szCs w:val="21"/>
                      <w:highlight w:val="none"/>
                      <w:lang w:val="en-US" w:eastAsia="zh-CN"/>
                    </w:rPr>
                    <w:t>0.45L/人•d</w:t>
                  </w:r>
                </w:p>
              </w:tc>
              <w:tc>
                <w:tcPr>
                  <w:tcW w:w="594" w:type="pct"/>
                  <w:tcBorders>
                    <w:tl2br w:val="nil"/>
                    <w:tr2bl w:val="nil"/>
                  </w:tcBorders>
                  <w:vAlign w:val="center"/>
                </w:tcPr>
                <w:p w14:paraId="1DC0BE1A">
                  <w:pPr>
                    <w:jc w:val="center"/>
                    <w:rPr>
                      <w:rFonts w:hint="default"/>
                      <w:color w:val="FF0000"/>
                      <w:szCs w:val="21"/>
                      <w:highlight w:val="none"/>
                      <w:lang w:val="en-US" w:eastAsia="zh-CN"/>
                    </w:rPr>
                  </w:pPr>
                  <w:r>
                    <w:rPr>
                      <w:rFonts w:hint="eastAsia"/>
                      <w:color w:val="FF0000"/>
                      <w:szCs w:val="21"/>
                      <w:highlight w:val="none"/>
                      <w:lang w:val="en-US" w:eastAsia="zh-CN"/>
                    </w:rPr>
                    <w:t>64.8</w:t>
                  </w:r>
                </w:p>
              </w:tc>
              <w:tc>
                <w:tcPr>
                  <w:tcW w:w="718" w:type="pct"/>
                  <w:tcBorders>
                    <w:tl2br w:val="nil"/>
                    <w:tr2bl w:val="nil"/>
                  </w:tcBorders>
                  <w:vAlign w:val="center"/>
                </w:tcPr>
                <w:p w14:paraId="5F46C01D">
                  <w:pPr>
                    <w:jc w:val="center"/>
                    <w:rPr>
                      <w:rFonts w:hint="default" w:eastAsia="宋体"/>
                      <w:color w:val="FF0000"/>
                      <w:szCs w:val="21"/>
                      <w:highlight w:val="none"/>
                      <w:lang w:val="en-US" w:eastAsia="zh-CN"/>
                    </w:rPr>
                  </w:pPr>
                  <w:r>
                    <w:rPr>
                      <w:rFonts w:hint="eastAsia"/>
                      <w:color w:val="FF0000"/>
                      <w:szCs w:val="21"/>
                      <w:highlight w:val="none"/>
                      <w:lang w:val="en-US" w:eastAsia="zh-CN"/>
                    </w:rPr>
                    <w:t>51.84</w:t>
                  </w:r>
                </w:p>
              </w:tc>
              <w:tc>
                <w:tcPr>
                  <w:tcW w:w="1404" w:type="pct"/>
                  <w:tcBorders>
                    <w:tl2br w:val="nil"/>
                    <w:tr2bl w:val="nil"/>
                  </w:tcBorders>
                  <w:vAlign w:val="center"/>
                </w:tcPr>
                <w:p w14:paraId="5281CAB8">
                  <w:pPr>
                    <w:jc w:val="center"/>
                    <w:rPr>
                      <w:rFonts w:hint="default" w:eastAsia="宋体"/>
                      <w:color w:val="FF0000"/>
                      <w:szCs w:val="21"/>
                      <w:highlight w:val="none"/>
                      <w:lang w:val="en-US" w:eastAsia="zh-CN"/>
                    </w:rPr>
                  </w:pPr>
                  <w:r>
                    <w:rPr>
                      <w:rFonts w:hint="eastAsia"/>
                      <w:color w:val="FF0000"/>
                      <w:szCs w:val="21"/>
                      <w:highlight w:val="none"/>
                      <w:lang w:val="en-US" w:eastAsia="zh-CN"/>
                    </w:rPr>
                    <w:t>排入旱厕，定期清掏</w:t>
                  </w:r>
                </w:p>
              </w:tc>
            </w:tr>
          </w:tbl>
          <w:p w14:paraId="4F9A0444">
            <w:pPr>
              <w:pStyle w:val="13"/>
              <w:rPr>
                <w:color w:val="000000" w:themeColor="text1"/>
                <w:highlight w:val="none"/>
                <w14:textFill>
                  <w14:solidFill>
                    <w14:schemeClr w14:val="tx1"/>
                  </w14:solidFill>
                </w14:textFill>
              </w:rPr>
            </w:pPr>
          </w:p>
          <w:p w14:paraId="15BA7B9B">
            <w:pPr>
              <w:pStyle w:val="13"/>
              <w:jc w:val="center"/>
              <w:rPr>
                <w:rFonts w:hint="eastAsia" w:eastAsia="宋体"/>
                <w:color w:val="000000" w:themeColor="text1"/>
                <w:highlight w:val="none"/>
                <w:lang w:eastAsia="zh-CN"/>
                <w14:textFill>
                  <w14:solidFill>
                    <w14:schemeClr w14:val="tx1"/>
                  </w14:solidFill>
                </w14:textFill>
              </w:rPr>
            </w:pPr>
            <w:r>
              <w:rPr>
                <w:rFonts w:hint="eastAsia" w:eastAsia="宋体"/>
                <w:color w:val="000000" w:themeColor="text1"/>
                <w:highlight w:val="none"/>
                <w:lang w:eastAsia="zh-CN"/>
                <w14:textFill>
                  <w14:solidFill>
                    <w14:schemeClr w14:val="tx1"/>
                  </w14:solidFill>
                </w14:textFill>
              </w:rPr>
              <w:drawing>
                <wp:inline distT="0" distB="0" distL="114300" distR="114300">
                  <wp:extent cx="5067300" cy="2524125"/>
                  <wp:effectExtent l="0" t="0" r="0" b="9525"/>
                  <wp:docPr id="12" name="图片 12" descr="水平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水平衡"/>
                          <pic:cNvPicPr>
                            <a:picLocks noChangeAspect="1"/>
                          </pic:cNvPicPr>
                        </pic:nvPicPr>
                        <pic:blipFill>
                          <a:blip r:embed="rId18"/>
                          <a:stretch>
                            <a:fillRect/>
                          </a:stretch>
                        </pic:blipFill>
                        <pic:spPr>
                          <a:xfrm>
                            <a:off x="0" y="0"/>
                            <a:ext cx="5067300" cy="2524125"/>
                          </a:xfrm>
                          <a:prstGeom prst="rect">
                            <a:avLst/>
                          </a:prstGeom>
                        </pic:spPr>
                      </pic:pic>
                    </a:graphicData>
                  </a:graphic>
                </wp:inline>
              </w:drawing>
            </w:r>
          </w:p>
          <w:p w14:paraId="37C9A6BC">
            <w:pPr>
              <w:pStyle w:val="23"/>
              <w:ind w:left="0"/>
              <w:jc w:val="center"/>
              <w:rPr>
                <w:rFonts w:ascii="Times New Roman" w:hAnsi="Times New Roman"/>
                <w:b/>
                <w:bCs/>
                <w:color w:val="000000" w:themeColor="text1"/>
                <w:highlight w:val="none"/>
                <w14:textFill>
                  <w14:solidFill>
                    <w14:schemeClr w14:val="tx1"/>
                  </w14:solidFill>
                </w14:textFill>
              </w:rPr>
            </w:pPr>
            <w:r>
              <w:rPr>
                <w:rFonts w:ascii="Times New Roman" w:hAnsi="Times New Roman"/>
                <w:b/>
                <w:bCs/>
                <w:color w:val="000000" w:themeColor="text1"/>
                <w:highlight w:val="none"/>
                <w14:textFill>
                  <w14:solidFill>
                    <w14:schemeClr w14:val="tx1"/>
                  </w14:solidFill>
                </w14:textFill>
              </w:rPr>
              <w:t>图2-1 项目水平衡图</w:t>
            </w:r>
            <w:r>
              <w:rPr>
                <w:rFonts w:hint="eastAsia" w:ascii="Times New Roman" w:hAnsi="Times New Roman"/>
                <w:b/>
                <w:bCs/>
                <w:color w:val="000000" w:themeColor="text1"/>
                <w:highlight w:val="none"/>
                <w14:textFill>
                  <w14:solidFill>
                    <w14:schemeClr w14:val="tx1"/>
                  </w14:solidFill>
                </w14:textFill>
              </w:rPr>
              <w:t xml:space="preserve">  单位t/a</w:t>
            </w:r>
          </w:p>
          <w:p w14:paraId="04A03464">
            <w:pPr>
              <w:widowControl/>
              <w:spacing w:line="360" w:lineRule="auto"/>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w:t>
            </w:r>
            <w:r>
              <w:rPr>
                <w:rFonts w:hint="eastAsia"/>
                <w:color w:val="000000" w:themeColor="text1"/>
                <w:kern w:val="0"/>
                <w:sz w:val="24"/>
                <w:highlight w:val="none"/>
                <w:lang w:bidi="ar"/>
                <w14:textFill>
                  <w14:solidFill>
                    <w14:schemeClr w14:val="tx1"/>
                  </w14:solidFill>
                </w14:textFill>
              </w:rPr>
              <w:t>3）</w:t>
            </w:r>
            <w:r>
              <w:rPr>
                <w:color w:val="000000" w:themeColor="text1"/>
                <w:kern w:val="0"/>
                <w:sz w:val="24"/>
                <w:highlight w:val="none"/>
                <w:lang w:bidi="ar"/>
                <w14:textFill>
                  <w14:solidFill>
                    <w14:schemeClr w14:val="tx1"/>
                  </w14:solidFill>
                </w14:textFill>
              </w:rPr>
              <w:t>供电</w:t>
            </w:r>
          </w:p>
          <w:p w14:paraId="668B11DB">
            <w:pPr>
              <w:widowControl/>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本项目供电采取市政电网，年耗电量约</w:t>
            </w:r>
            <w:r>
              <w:rPr>
                <w:rFonts w:hint="eastAsia"/>
                <w:color w:val="000000" w:themeColor="text1"/>
                <w:kern w:val="0"/>
                <w:sz w:val="24"/>
                <w:highlight w:val="none"/>
                <w:lang w:val="en-US" w:eastAsia="zh-CN" w:bidi="ar"/>
                <w14:textFill>
                  <w14:solidFill>
                    <w14:schemeClr w14:val="tx1"/>
                  </w14:solidFill>
                </w14:textFill>
              </w:rPr>
              <w:t>128</w:t>
            </w:r>
            <w:r>
              <w:rPr>
                <w:color w:val="000000" w:themeColor="text1"/>
                <w:kern w:val="0"/>
                <w:sz w:val="24"/>
                <w:highlight w:val="none"/>
                <w:lang w:bidi="ar"/>
                <w14:textFill>
                  <w14:solidFill>
                    <w14:schemeClr w14:val="tx1"/>
                  </w14:solidFill>
                </w14:textFill>
              </w:rPr>
              <w:t>万kW·h，可以满足生产运行所需。</w:t>
            </w:r>
          </w:p>
          <w:p w14:paraId="083E7973">
            <w:pPr>
              <w:pStyle w:val="23"/>
              <w:spacing w:line="360" w:lineRule="auto"/>
              <w:ind w:left="0" w:firstLine="480" w:firstLineChars="200"/>
              <w:rPr>
                <w:rFonts w:ascii="Times New Roman" w:hAnsi="Times New Roman"/>
                <w:color w:val="000000" w:themeColor="text1"/>
                <w:sz w:val="24"/>
                <w:szCs w:val="24"/>
                <w:highlight w:val="none"/>
                <w14:textFill>
                  <w14:solidFill>
                    <w14:schemeClr w14:val="tx1"/>
                  </w14:solidFill>
                </w14:textFill>
              </w:rPr>
            </w:pPr>
            <w:r>
              <w:rPr>
                <w:rFonts w:hint="eastAsia"/>
                <w:color w:val="000000" w:themeColor="text1"/>
                <w:sz w:val="24"/>
                <w:szCs w:val="24"/>
                <w:highlight w:val="none"/>
                <w14:textFill>
                  <w14:solidFill>
                    <w14:schemeClr w14:val="tx1"/>
                  </w14:solidFill>
                </w14:textFill>
              </w:rPr>
              <w:t>（</w:t>
            </w:r>
            <w:r>
              <w:rPr>
                <w:rFonts w:hint="eastAsia" w:ascii="Times New Roman" w:hAnsi="Times New Roman"/>
                <w:color w:val="000000" w:themeColor="text1"/>
                <w:sz w:val="24"/>
                <w:szCs w:val="24"/>
                <w:highlight w:val="none"/>
                <w14:textFill>
                  <w14:solidFill>
                    <w14:schemeClr w14:val="tx1"/>
                  </w14:solidFill>
                </w14:textFill>
              </w:rPr>
              <w:t>4）</w:t>
            </w:r>
            <w:r>
              <w:rPr>
                <w:rFonts w:ascii="Times New Roman" w:hAnsi="Times New Roman"/>
                <w:color w:val="000000" w:themeColor="text1"/>
                <w:sz w:val="24"/>
                <w:szCs w:val="24"/>
                <w:highlight w:val="none"/>
                <w14:textFill>
                  <w14:solidFill>
                    <w14:schemeClr w14:val="tx1"/>
                  </w14:solidFill>
                </w14:textFill>
              </w:rPr>
              <w:t>供暖</w:t>
            </w:r>
          </w:p>
          <w:p w14:paraId="355195C6">
            <w:pPr>
              <w:widowControl/>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本项目</w:t>
            </w:r>
            <w:r>
              <w:rPr>
                <w:rFonts w:hint="eastAsia"/>
                <w:color w:val="000000" w:themeColor="text1"/>
                <w:kern w:val="0"/>
                <w:sz w:val="24"/>
                <w:highlight w:val="none"/>
                <w:lang w:bidi="ar"/>
                <w14:textFill>
                  <w14:solidFill>
                    <w14:schemeClr w14:val="tx1"/>
                  </w14:solidFill>
                </w14:textFill>
              </w:rPr>
              <w:t>冬季</w:t>
            </w:r>
            <w:r>
              <w:rPr>
                <w:rFonts w:hint="eastAsia"/>
                <w:color w:val="000000" w:themeColor="text1"/>
                <w:kern w:val="0"/>
                <w:sz w:val="24"/>
                <w:highlight w:val="none"/>
                <w:lang w:val="en-US" w:eastAsia="zh-CN" w:bidi="ar"/>
                <w14:textFill>
                  <w14:solidFill>
                    <w14:schemeClr w14:val="tx1"/>
                  </w14:solidFill>
                </w14:textFill>
              </w:rPr>
              <w:t>不</w:t>
            </w:r>
            <w:r>
              <w:rPr>
                <w:rFonts w:hint="eastAsia"/>
                <w:color w:val="000000" w:themeColor="text1"/>
                <w:kern w:val="0"/>
                <w:sz w:val="24"/>
                <w:highlight w:val="none"/>
                <w:lang w:bidi="ar"/>
                <w14:textFill>
                  <w14:solidFill>
                    <w14:schemeClr w14:val="tx1"/>
                  </w14:solidFill>
                </w14:textFill>
              </w:rPr>
              <w:t>生产</w:t>
            </w:r>
            <w:r>
              <w:rPr>
                <w:rFonts w:hint="eastAsia"/>
                <w:color w:val="000000" w:themeColor="text1"/>
                <w:kern w:val="0"/>
                <w:sz w:val="24"/>
                <w:highlight w:val="none"/>
                <w:lang w:eastAsia="zh-CN" w:bidi="ar"/>
                <w14:textFill>
                  <w14:solidFill>
                    <w14:schemeClr w14:val="tx1"/>
                  </w14:solidFill>
                </w14:textFill>
              </w:rPr>
              <w:t>，</w:t>
            </w:r>
            <w:r>
              <w:rPr>
                <w:rFonts w:hint="eastAsia"/>
                <w:color w:val="000000" w:themeColor="text1"/>
                <w:kern w:val="0"/>
                <w:sz w:val="24"/>
                <w:highlight w:val="none"/>
                <w:lang w:bidi="ar"/>
                <w14:textFill>
                  <w14:solidFill>
                    <w14:schemeClr w14:val="tx1"/>
                  </w14:solidFill>
                </w14:textFill>
              </w:rPr>
              <w:t>无需供暖</w:t>
            </w:r>
            <w:r>
              <w:rPr>
                <w:color w:val="000000" w:themeColor="text1"/>
                <w:kern w:val="0"/>
                <w:sz w:val="24"/>
                <w:highlight w:val="none"/>
                <w:lang w:bidi="ar"/>
                <w14:textFill>
                  <w14:solidFill>
                    <w14:schemeClr w14:val="tx1"/>
                  </w14:solidFill>
                </w14:textFill>
              </w:rPr>
              <w:t>。</w:t>
            </w:r>
          </w:p>
          <w:p w14:paraId="0EBA080A">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5</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食宿</w:t>
            </w:r>
          </w:p>
          <w:p w14:paraId="263881A9">
            <w:pPr>
              <w:widowControl/>
              <w:spacing w:line="360" w:lineRule="auto"/>
              <w:ind w:firstLine="480" w:firstLineChars="200"/>
              <w:jc w:val="left"/>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本项目不设食宿。</w:t>
            </w:r>
          </w:p>
          <w:p w14:paraId="3190E437">
            <w:pPr>
              <w:pStyle w:val="13"/>
              <w:spacing w:line="360" w:lineRule="auto"/>
              <w:rPr>
                <w:b/>
                <w:bCs/>
                <w:color w:val="000000" w:themeColor="text1"/>
                <w:sz w:val="21"/>
                <w:szCs w:val="21"/>
                <w:highlight w:val="none"/>
                <w:lang w:bidi="ar"/>
                <w14:textFill>
                  <w14:solidFill>
                    <w14:schemeClr w14:val="tx1"/>
                  </w14:solidFill>
                </w14:textFill>
              </w:rPr>
            </w:pPr>
            <w:r>
              <w:rPr>
                <w:rFonts w:hint="eastAsia" w:ascii="宋体" w:hAnsi="宋体" w:cs="宋体"/>
                <w:b/>
                <w:bCs/>
                <w:color w:val="000000" w:themeColor="text1"/>
                <w:sz w:val="24"/>
                <w:szCs w:val="24"/>
                <w:highlight w:val="none"/>
                <w14:textFill>
                  <w14:solidFill>
                    <w14:schemeClr w14:val="tx1"/>
                  </w14:solidFill>
                </w14:textFill>
              </w:rPr>
              <w:t>7、物料平衡</w:t>
            </w:r>
          </w:p>
          <w:p w14:paraId="47E23FCC">
            <w:pPr>
              <w:widowControl/>
              <w:jc w:val="center"/>
              <w:rPr>
                <w:b/>
                <w:bCs/>
                <w:color w:val="FF0000"/>
                <w:kern w:val="0"/>
                <w:szCs w:val="21"/>
                <w:highlight w:val="none"/>
                <w:lang w:bidi="ar"/>
              </w:rPr>
            </w:pPr>
            <w:r>
              <w:rPr>
                <w:b/>
                <w:bCs/>
                <w:color w:val="FF0000"/>
                <w:kern w:val="0"/>
                <w:szCs w:val="21"/>
                <w:highlight w:val="none"/>
                <w:lang w:bidi="ar"/>
              </w:rPr>
              <w:t>表2</w:t>
            </w:r>
            <w:r>
              <w:rPr>
                <w:rFonts w:hint="eastAsia"/>
                <w:b/>
                <w:bCs/>
                <w:color w:val="FF0000"/>
                <w:kern w:val="0"/>
                <w:szCs w:val="21"/>
                <w:highlight w:val="none"/>
                <w:lang w:val="en-US" w:eastAsia="zh-CN" w:bidi="ar"/>
              </w:rPr>
              <w:t>-8</w:t>
            </w:r>
            <w:r>
              <w:rPr>
                <w:b/>
                <w:bCs/>
                <w:color w:val="FF0000"/>
                <w:kern w:val="0"/>
                <w:szCs w:val="21"/>
                <w:highlight w:val="none"/>
                <w:lang w:bidi="ar"/>
              </w:rPr>
              <w:t xml:space="preserve"> 本项目物料平衡一览表   </w:t>
            </w:r>
            <w:r>
              <w:rPr>
                <w:rFonts w:hint="eastAsia"/>
                <w:b/>
                <w:bCs/>
                <w:color w:val="FF0000"/>
                <w:kern w:val="0"/>
                <w:szCs w:val="21"/>
                <w:highlight w:val="none"/>
                <w:lang w:bidi="ar"/>
              </w:rPr>
              <w:t xml:space="preserve">       </w:t>
            </w:r>
            <w:r>
              <w:rPr>
                <w:b/>
                <w:bCs/>
                <w:color w:val="FF0000"/>
                <w:kern w:val="0"/>
                <w:szCs w:val="21"/>
                <w:highlight w:val="none"/>
                <w:lang w:bidi="ar"/>
              </w:rPr>
              <w:t>单位</w:t>
            </w:r>
            <w:r>
              <w:rPr>
                <w:rFonts w:hint="eastAsia"/>
                <w:b/>
                <w:bCs/>
                <w:color w:val="FF0000"/>
                <w:kern w:val="0"/>
                <w:szCs w:val="21"/>
                <w:highlight w:val="none"/>
                <w:lang w:bidi="ar"/>
              </w:rPr>
              <w:t>：</w:t>
            </w:r>
            <w:r>
              <w:rPr>
                <w:b/>
                <w:bCs/>
                <w:color w:val="FF0000"/>
                <w:kern w:val="0"/>
                <w:szCs w:val="21"/>
                <w:highlight w:val="none"/>
                <w:lang w:bidi="ar"/>
              </w:rPr>
              <w:t>t/a</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35"/>
              <w:gridCol w:w="908"/>
              <w:gridCol w:w="1609"/>
              <w:gridCol w:w="964"/>
              <w:gridCol w:w="2325"/>
              <w:gridCol w:w="1336"/>
            </w:tblGrid>
            <w:tr w14:paraId="0BC737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pct"/>
                  <w:tcBorders>
                    <w:tl2br w:val="nil"/>
                    <w:tr2bl w:val="nil"/>
                  </w:tcBorders>
                  <w:vAlign w:val="center"/>
                </w:tcPr>
                <w:p w14:paraId="3F8D06B7">
                  <w:pPr>
                    <w:pStyle w:val="13"/>
                    <w:jc w:val="center"/>
                    <w:rPr>
                      <w:b/>
                      <w:bCs/>
                      <w:color w:val="FF0000"/>
                      <w:sz w:val="21"/>
                      <w:szCs w:val="21"/>
                      <w:highlight w:val="none"/>
                    </w:rPr>
                  </w:pPr>
                  <w:r>
                    <w:rPr>
                      <w:b/>
                      <w:bCs/>
                      <w:color w:val="FF0000"/>
                      <w:sz w:val="21"/>
                      <w:szCs w:val="21"/>
                      <w:highlight w:val="none"/>
                    </w:rPr>
                    <w:t>序号</w:t>
                  </w:r>
                </w:p>
              </w:tc>
              <w:tc>
                <w:tcPr>
                  <w:tcW w:w="1577" w:type="pct"/>
                  <w:gridSpan w:val="2"/>
                  <w:tcBorders>
                    <w:tl2br w:val="nil"/>
                    <w:tr2bl w:val="nil"/>
                  </w:tcBorders>
                  <w:vAlign w:val="center"/>
                </w:tcPr>
                <w:p w14:paraId="48F41AF5">
                  <w:pPr>
                    <w:pStyle w:val="13"/>
                    <w:jc w:val="center"/>
                    <w:rPr>
                      <w:b/>
                      <w:bCs/>
                      <w:color w:val="FF0000"/>
                      <w:sz w:val="21"/>
                      <w:szCs w:val="21"/>
                      <w:highlight w:val="none"/>
                    </w:rPr>
                  </w:pPr>
                  <w:r>
                    <w:rPr>
                      <w:b/>
                      <w:bCs/>
                      <w:color w:val="FF0000"/>
                      <w:sz w:val="21"/>
                      <w:szCs w:val="21"/>
                      <w:highlight w:val="none"/>
                    </w:rPr>
                    <w:t>投入项</w:t>
                  </w:r>
                </w:p>
              </w:tc>
              <w:tc>
                <w:tcPr>
                  <w:tcW w:w="2898" w:type="pct"/>
                  <w:gridSpan w:val="3"/>
                  <w:tcBorders>
                    <w:tl2br w:val="nil"/>
                    <w:tr2bl w:val="nil"/>
                  </w:tcBorders>
                  <w:vAlign w:val="center"/>
                </w:tcPr>
                <w:p w14:paraId="70BC9A84">
                  <w:pPr>
                    <w:pStyle w:val="13"/>
                    <w:jc w:val="center"/>
                    <w:rPr>
                      <w:b/>
                      <w:bCs/>
                      <w:color w:val="FF0000"/>
                      <w:sz w:val="21"/>
                      <w:szCs w:val="21"/>
                      <w:highlight w:val="none"/>
                    </w:rPr>
                  </w:pPr>
                  <w:r>
                    <w:rPr>
                      <w:b/>
                      <w:bCs/>
                      <w:color w:val="FF0000"/>
                      <w:sz w:val="21"/>
                      <w:szCs w:val="21"/>
                      <w:highlight w:val="none"/>
                    </w:rPr>
                    <w:t>产出项</w:t>
                  </w:r>
                </w:p>
              </w:tc>
            </w:tr>
            <w:tr w14:paraId="497152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23" w:type="pct"/>
                  <w:tcBorders>
                    <w:tl2br w:val="nil"/>
                    <w:tr2bl w:val="nil"/>
                  </w:tcBorders>
                  <w:vAlign w:val="center"/>
                </w:tcPr>
                <w:p w14:paraId="7F76FA17">
                  <w:pPr>
                    <w:widowControl/>
                    <w:jc w:val="center"/>
                    <w:rPr>
                      <w:color w:val="FF0000"/>
                      <w:szCs w:val="21"/>
                      <w:highlight w:val="none"/>
                    </w:rPr>
                  </w:pPr>
                  <w:r>
                    <w:rPr>
                      <w:rFonts w:hint="eastAsia"/>
                      <w:color w:val="FF0000"/>
                      <w:szCs w:val="21"/>
                      <w:highlight w:val="none"/>
                    </w:rPr>
                    <w:t>1</w:t>
                  </w:r>
                </w:p>
              </w:tc>
              <w:tc>
                <w:tcPr>
                  <w:tcW w:w="569" w:type="pct"/>
                  <w:vMerge w:val="restart"/>
                  <w:tcBorders>
                    <w:tl2br w:val="nil"/>
                    <w:tr2bl w:val="nil"/>
                  </w:tcBorders>
                  <w:vAlign w:val="center"/>
                </w:tcPr>
                <w:p w14:paraId="3B37DCF0">
                  <w:pPr>
                    <w:widowControl/>
                    <w:jc w:val="center"/>
                    <w:rPr>
                      <w:rFonts w:hint="eastAsia" w:eastAsia="宋体"/>
                      <w:color w:val="FF0000"/>
                      <w:kern w:val="0"/>
                      <w:szCs w:val="21"/>
                      <w:highlight w:val="none"/>
                      <w:lang w:eastAsia="zh-CN" w:bidi="ar"/>
                    </w:rPr>
                  </w:pPr>
                  <w:r>
                    <w:rPr>
                      <w:rFonts w:hint="eastAsia"/>
                      <w:color w:val="FF0000"/>
                      <w:kern w:val="0"/>
                      <w:szCs w:val="21"/>
                      <w:highlight w:val="none"/>
                      <w:lang w:val="en-US" w:eastAsia="zh-CN" w:bidi="ar"/>
                    </w:rPr>
                    <w:t>花岗岩</w:t>
                  </w:r>
                </w:p>
              </w:tc>
              <w:tc>
                <w:tcPr>
                  <w:tcW w:w="1008" w:type="pct"/>
                  <w:vMerge w:val="restart"/>
                  <w:tcBorders>
                    <w:tl2br w:val="nil"/>
                    <w:tr2bl w:val="nil"/>
                  </w:tcBorders>
                  <w:vAlign w:val="center"/>
                </w:tcPr>
                <w:p w14:paraId="5C54595D">
                  <w:pPr>
                    <w:widowControl/>
                    <w:jc w:val="center"/>
                    <w:rPr>
                      <w:rFonts w:hint="default" w:eastAsia="宋体"/>
                      <w:color w:val="FF0000"/>
                      <w:szCs w:val="21"/>
                      <w:highlight w:val="none"/>
                      <w:lang w:val="en-US" w:eastAsia="zh-CN"/>
                    </w:rPr>
                  </w:pPr>
                  <w:r>
                    <w:rPr>
                      <w:rFonts w:hint="eastAsia" w:ascii="Times New Roman" w:hAnsi="Times New Roman" w:eastAsia="宋体" w:cs="Times New Roman"/>
                      <w:color w:val="FF0000"/>
                      <w:kern w:val="0"/>
                      <w:sz w:val="21"/>
                      <w:szCs w:val="21"/>
                      <w:highlight w:val="none"/>
                      <w:lang w:val="en-US" w:eastAsia="zh-CN" w:bidi="ar-SA"/>
                    </w:rPr>
                    <w:t>260</w:t>
                  </w:r>
                  <w:r>
                    <w:rPr>
                      <w:rFonts w:hint="eastAsia" w:cs="Times New Roman"/>
                      <w:color w:val="FF0000"/>
                      <w:kern w:val="0"/>
                      <w:sz w:val="21"/>
                      <w:szCs w:val="21"/>
                      <w:highlight w:val="none"/>
                      <w:lang w:val="en-US" w:eastAsia="zh-CN" w:bidi="ar-SA"/>
                    </w:rPr>
                    <w:t>505.301</w:t>
                  </w:r>
                </w:p>
              </w:tc>
              <w:tc>
                <w:tcPr>
                  <w:tcW w:w="604" w:type="pct"/>
                  <w:vMerge w:val="restart"/>
                  <w:tcBorders>
                    <w:tl2br w:val="nil"/>
                    <w:tr2bl w:val="nil"/>
                  </w:tcBorders>
                  <w:vAlign w:val="center"/>
                </w:tcPr>
                <w:p w14:paraId="49A1915C">
                  <w:pPr>
                    <w:widowControl/>
                    <w:jc w:val="center"/>
                    <w:rPr>
                      <w:color w:val="FF0000"/>
                      <w:szCs w:val="21"/>
                      <w:highlight w:val="none"/>
                    </w:rPr>
                  </w:pPr>
                  <w:r>
                    <w:rPr>
                      <w:color w:val="FF0000"/>
                      <w:szCs w:val="21"/>
                      <w:highlight w:val="none"/>
                    </w:rPr>
                    <w:t>产品</w:t>
                  </w:r>
                </w:p>
              </w:tc>
              <w:tc>
                <w:tcPr>
                  <w:tcW w:w="1457" w:type="pct"/>
                  <w:tcBorders>
                    <w:tl2br w:val="nil"/>
                    <w:tr2bl w:val="nil"/>
                  </w:tcBorders>
                  <w:vAlign w:val="center"/>
                </w:tcPr>
                <w:p w14:paraId="24E31A0E">
                  <w:pPr>
                    <w:jc w:val="center"/>
                    <w:rPr>
                      <w:color w:val="FF0000"/>
                      <w:szCs w:val="21"/>
                      <w:highlight w:val="none"/>
                    </w:rPr>
                  </w:pPr>
                  <w:r>
                    <w:rPr>
                      <w:rFonts w:hint="eastAsia"/>
                      <w:color w:val="FF0000"/>
                      <w:kern w:val="0"/>
                      <w:szCs w:val="21"/>
                      <w:highlight w:val="none"/>
                      <w:lang w:val="en-US" w:eastAsia="zh-CN" w:bidi="ar"/>
                    </w:rPr>
                    <w:t>花岗岩</w:t>
                  </w:r>
                  <w:r>
                    <w:rPr>
                      <w:rFonts w:hint="default" w:ascii="Times New Roman" w:hAnsi="Times New Roman" w:eastAsia="宋体" w:cs="Times New Roman"/>
                      <w:color w:val="FF0000"/>
                      <w:sz w:val="21"/>
                      <w:szCs w:val="21"/>
                      <w:highlight w:val="none"/>
                      <w:lang w:val="en-US" w:eastAsia="zh-CN"/>
                    </w:rPr>
                    <w:t>建筑用石</w:t>
                  </w:r>
                </w:p>
              </w:tc>
              <w:tc>
                <w:tcPr>
                  <w:tcW w:w="837" w:type="pct"/>
                  <w:tcBorders>
                    <w:tl2br w:val="nil"/>
                    <w:tr2bl w:val="nil"/>
                  </w:tcBorders>
                  <w:vAlign w:val="center"/>
                </w:tcPr>
                <w:p w14:paraId="640F5EC5">
                  <w:pPr>
                    <w:widowControl/>
                    <w:jc w:val="center"/>
                    <w:rPr>
                      <w:rFonts w:hint="default" w:ascii="Times New Roman" w:hAnsi="Times New Roman" w:eastAsia="宋体" w:cs="Times New Roman"/>
                      <w:color w:val="FF0000"/>
                      <w:kern w:val="0"/>
                      <w:szCs w:val="21"/>
                      <w:highlight w:val="none"/>
                      <w:lang w:val="en-US" w:eastAsia="zh-CN" w:bidi="ar"/>
                    </w:rPr>
                  </w:pPr>
                  <w:r>
                    <w:rPr>
                      <w:rFonts w:hint="eastAsia" w:cs="Times New Roman"/>
                      <w:color w:val="FF0000"/>
                      <w:kern w:val="0"/>
                      <w:szCs w:val="21"/>
                      <w:highlight w:val="none"/>
                      <w:lang w:val="en-US" w:eastAsia="zh-CN" w:bidi="ar"/>
                    </w:rPr>
                    <w:t>16</w:t>
                  </w:r>
                  <w:r>
                    <w:rPr>
                      <w:rFonts w:hint="eastAsia" w:ascii="Times New Roman" w:hAnsi="Times New Roman" w:eastAsia="宋体" w:cs="Times New Roman"/>
                      <w:color w:val="FF0000"/>
                      <w:kern w:val="0"/>
                      <w:szCs w:val="21"/>
                      <w:highlight w:val="none"/>
                      <w:lang w:val="en-US" w:eastAsia="zh-CN" w:bidi="ar"/>
                    </w:rPr>
                    <w:t>0000</w:t>
                  </w:r>
                </w:p>
              </w:tc>
            </w:tr>
            <w:tr w14:paraId="1C2D83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7" w:hRule="atLeast"/>
              </w:trPr>
              <w:tc>
                <w:tcPr>
                  <w:tcW w:w="523" w:type="pct"/>
                  <w:tcBorders>
                    <w:tl2br w:val="nil"/>
                    <w:tr2bl w:val="nil"/>
                  </w:tcBorders>
                  <w:vAlign w:val="center"/>
                </w:tcPr>
                <w:p w14:paraId="1358EDB5">
                  <w:pPr>
                    <w:pStyle w:val="13"/>
                    <w:jc w:val="center"/>
                    <w:rPr>
                      <w:rFonts w:ascii="Times New Roman" w:hAnsi="Times New Roman" w:eastAsia="宋体" w:cs="Times New Roman"/>
                      <w:color w:val="FF0000"/>
                      <w:kern w:val="0"/>
                      <w:sz w:val="21"/>
                      <w:szCs w:val="21"/>
                      <w:highlight w:val="none"/>
                      <w:lang w:val="en-US" w:eastAsia="zh-CN" w:bidi="ar-SA"/>
                    </w:rPr>
                  </w:pPr>
                  <w:r>
                    <w:rPr>
                      <w:rFonts w:hint="eastAsia"/>
                      <w:color w:val="FF0000"/>
                      <w:sz w:val="21"/>
                      <w:szCs w:val="21"/>
                      <w:highlight w:val="none"/>
                    </w:rPr>
                    <w:t>2</w:t>
                  </w:r>
                </w:p>
              </w:tc>
              <w:tc>
                <w:tcPr>
                  <w:tcW w:w="569" w:type="pct"/>
                  <w:vMerge w:val="continue"/>
                  <w:tcBorders>
                    <w:tl2br w:val="nil"/>
                    <w:tr2bl w:val="nil"/>
                  </w:tcBorders>
                  <w:vAlign w:val="center"/>
                </w:tcPr>
                <w:p w14:paraId="05621B26">
                  <w:pPr>
                    <w:pStyle w:val="13"/>
                    <w:jc w:val="center"/>
                    <w:rPr>
                      <w:color w:val="FF0000"/>
                      <w:highlight w:val="none"/>
                    </w:rPr>
                  </w:pPr>
                </w:p>
              </w:tc>
              <w:tc>
                <w:tcPr>
                  <w:tcW w:w="1008" w:type="pct"/>
                  <w:vMerge w:val="continue"/>
                  <w:tcBorders>
                    <w:tl2br w:val="nil"/>
                    <w:tr2bl w:val="nil"/>
                  </w:tcBorders>
                  <w:vAlign w:val="center"/>
                </w:tcPr>
                <w:p w14:paraId="6FF657E7">
                  <w:pPr>
                    <w:pStyle w:val="13"/>
                    <w:jc w:val="center"/>
                    <w:rPr>
                      <w:color w:val="FF0000"/>
                      <w:highlight w:val="none"/>
                    </w:rPr>
                  </w:pPr>
                </w:p>
              </w:tc>
              <w:tc>
                <w:tcPr>
                  <w:tcW w:w="604" w:type="pct"/>
                  <w:vMerge w:val="continue"/>
                  <w:tcBorders>
                    <w:tl2br w:val="nil"/>
                    <w:tr2bl w:val="nil"/>
                  </w:tcBorders>
                  <w:vAlign w:val="center"/>
                </w:tcPr>
                <w:p w14:paraId="4E60EA7F">
                  <w:pPr>
                    <w:pStyle w:val="13"/>
                    <w:jc w:val="center"/>
                    <w:rPr>
                      <w:color w:val="FF0000"/>
                      <w:highlight w:val="none"/>
                    </w:rPr>
                  </w:pPr>
                </w:p>
              </w:tc>
              <w:tc>
                <w:tcPr>
                  <w:tcW w:w="1457" w:type="pct"/>
                  <w:tcBorders>
                    <w:tl2br w:val="nil"/>
                    <w:tr2bl w:val="nil"/>
                  </w:tcBorders>
                  <w:vAlign w:val="center"/>
                </w:tcPr>
                <w:p w14:paraId="59206CF0">
                  <w:pPr>
                    <w:jc w:val="center"/>
                    <w:rPr>
                      <w:rFonts w:hint="eastAsia"/>
                      <w:color w:val="FF0000"/>
                      <w:szCs w:val="21"/>
                      <w:highlight w:val="none"/>
                    </w:rPr>
                  </w:pPr>
                  <w:r>
                    <w:rPr>
                      <w:rFonts w:hint="eastAsia"/>
                      <w:color w:val="FF0000"/>
                      <w:kern w:val="0"/>
                      <w:szCs w:val="21"/>
                      <w:highlight w:val="none"/>
                      <w:lang w:val="en-US" w:eastAsia="zh-CN" w:bidi="ar"/>
                    </w:rPr>
                    <w:t>花岗岩</w:t>
                  </w:r>
                  <w:r>
                    <w:rPr>
                      <w:rFonts w:hint="eastAsia"/>
                      <w:color w:val="FF0000"/>
                      <w:szCs w:val="21"/>
                      <w:highlight w:val="none"/>
                      <w:lang w:val="en-US" w:eastAsia="zh-CN"/>
                    </w:rPr>
                    <w:t>石粉</w:t>
                  </w:r>
                </w:p>
              </w:tc>
              <w:tc>
                <w:tcPr>
                  <w:tcW w:w="837" w:type="pct"/>
                  <w:tcBorders>
                    <w:tl2br w:val="nil"/>
                    <w:tr2bl w:val="nil"/>
                  </w:tcBorders>
                  <w:vAlign w:val="center"/>
                </w:tcPr>
                <w:p w14:paraId="12B9631D">
                  <w:pPr>
                    <w:widowControl/>
                    <w:jc w:val="center"/>
                    <w:rPr>
                      <w:rFonts w:hint="default" w:ascii="Times New Roman" w:hAnsi="Times New Roman" w:eastAsia="宋体" w:cs="Times New Roman"/>
                      <w:color w:val="FF0000"/>
                      <w:kern w:val="0"/>
                      <w:szCs w:val="21"/>
                      <w:highlight w:val="none"/>
                      <w:lang w:val="en-US" w:eastAsia="zh-CN" w:bidi="ar"/>
                    </w:rPr>
                  </w:pPr>
                  <w:r>
                    <w:rPr>
                      <w:rFonts w:hint="eastAsia" w:cs="Times New Roman"/>
                      <w:color w:val="FF0000"/>
                      <w:kern w:val="0"/>
                      <w:szCs w:val="21"/>
                      <w:highlight w:val="none"/>
                      <w:lang w:val="en-US" w:eastAsia="zh-CN" w:bidi="ar"/>
                    </w:rPr>
                    <w:t>10</w:t>
                  </w:r>
                  <w:r>
                    <w:rPr>
                      <w:rFonts w:hint="eastAsia" w:ascii="Times New Roman" w:hAnsi="Times New Roman" w:eastAsia="宋体" w:cs="Times New Roman"/>
                      <w:color w:val="FF0000"/>
                      <w:kern w:val="0"/>
                      <w:szCs w:val="21"/>
                      <w:highlight w:val="none"/>
                      <w:lang w:val="en-US" w:eastAsia="zh-CN" w:bidi="ar"/>
                    </w:rPr>
                    <w:t>0000</w:t>
                  </w:r>
                </w:p>
              </w:tc>
            </w:tr>
            <w:tr w14:paraId="33E8D3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pct"/>
                  <w:tcBorders>
                    <w:tl2br w:val="nil"/>
                    <w:tr2bl w:val="nil"/>
                  </w:tcBorders>
                  <w:vAlign w:val="center"/>
                </w:tcPr>
                <w:p w14:paraId="4701179C">
                  <w:pPr>
                    <w:pStyle w:val="13"/>
                    <w:jc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3</w:t>
                  </w:r>
                </w:p>
              </w:tc>
              <w:tc>
                <w:tcPr>
                  <w:tcW w:w="569" w:type="pct"/>
                  <w:vMerge w:val="continue"/>
                  <w:tcBorders>
                    <w:tl2br w:val="nil"/>
                    <w:tr2bl w:val="nil"/>
                  </w:tcBorders>
                  <w:vAlign w:val="center"/>
                </w:tcPr>
                <w:p w14:paraId="6035A9E5">
                  <w:pPr>
                    <w:pStyle w:val="13"/>
                    <w:jc w:val="center"/>
                    <w:rPr>
                      <w:color w:val="FF0000"/>
                      <w:sz w:val="21"/>
                      <w:szCs w:val="21"/>
                      <w:highlight w:val="none"/>
                    </w:rPr>
                  </w:pPr>
                </w:p>
              </w:tc>
              <w:tc>
                <w:tcPr>
                  <w:tcW w:w="1008" w:type="pct"/>
                  <w:vMerge w:val="continue"/>
                  <w:tcBorders>
                    <w:tl2br w:val="nil"/>
                    <w:tr2bl w:val="nil"/>
                  </w:tcBorders>
                  <w:vAlign w:val="center"/>
                </w:tcPr>
                <w:p w14:paraId="2A9BE087">
                  <w:pPr>
                    <w:pStyle w:val="13"/>
                    <w:jc w:val="center"/>
                    <w:rPr>
                      <w:rFonts w:hint="default" w:eastAsia="宋体"/>
                      <w:color w:val="FF0000"/>
                      <w:sz w:val="21"/>
                      <w:szCs w:val="21"/>
                      <w:highlight w:val="none"/>
                      <w:lang w:val="en-US" w:eastAsia="zh-CN"/>
                    </w:rPr>
                  </w:pPr>
                </w:p>
              </w:tc>
              <w:tc>
                <w:tcPr>
                  <w:tcW w:w="604" w:type="pct"/>
                  <w:vMerge w:val="restart"/>
                  <w:tcBorders>
                    <w:tl2br w:val="nil"/>
                    <w:tr2bl w:val="nil"/>
                  </w:tcBorders>
                  <w:vAlign w:val="center"/>
                </w:tcPr>
                <w:p w14:paraId="2F5374B8">
                  <w:pPr>
                    <w:pStyle w:val="13"/>
                    <w:jc w:val="center"/>
                    <w:rPr>
                      <w:color w:val="FF0000"/>
                      <w:sz w:val="21"/>
                      <w:szCs w:val="21"/>
                      <w:highlight w:val="none"/>
                    </w:rPr>
                  </w:pPr>
                  <w:r>
                    <w:rPr>
                      <w:color w:val="FF0000"/>
                      <w:sz w:val="21"/>
                      <w:szCs w:val="21"/>
                      <w:highlight w:val="none"/>
                    </w:rPr>
                    <w:t>废气</w:t>
                  </w:r>
                </w:p>
              </w:tc>
              <w:tc>
                <w:tcPr>
                  <w:tcW w:w="1457" w:type="pct"/>
                  <w:tcBorders>
                    <w:tl2br w:val="nil"/>
                    <w:tr2bl w:val="nil"/>
                  </w:tcBorders>
                  <w:vAlign w:val="center"/>
                </w:tcPr>
                <w:p w14:paraId="5CC4C8F2">
                  <w:pPr>
                    <w:widowControl/>
                    <w:jc w:val="center"/>
                    <w:rPr>
                      <w:rFonts w:hint="eastAsia" w:eastAsia="宋体"/>
                      <w:color w:val="FF0000"/>
                      <w:szCs w:val="21"/>
                      <w:highlight w:val="none"/>
                      <w:lang w:val="en-US" w:eastAsia="zh-CN"/>
                    </w:rPr>
                  </w:pPr>
                  <w:r>
                    <w:rPr>
                      <w:color w:val="FF0000"/>
                      <w:kern w:val="0"/>
                      <w:szCs w:val="21"/>
                      <w:highlight w:val="none"/>
                      <w:lang w:bidi="ar"/>
                    </w:rPr>
                    <w:t>颗粒物有组织</w:t>
                  </w:r>
                  <w:r>
                    <w:rPr>
                      <w:rFonts w:hint="eastAsia"/>
                      <w:color w:val="FF0000"/>
                      <w:kern w:val="0"/>
                      <w:szCs w:val="21"/>
                      <w:highlight w:val="none"/>
                      <w:lang w:val="en-US" w:eastAsia="zh-CN" w:bidi="ar"/>
                    </w:rPr>
                    <w:t>排放</w:t>
                  </w:r>
                </w:p>
              </w:tc>
              <w:tc>
                <w:tcPr>
                  <w:tcW w:w="837" w:type="pct"/>
                  <w:tcBorders>
                    <w:tl2br w:val="nil"/>
                    <w:tr2bl w:val="nil"/>
                  </w:tcBorders>
                  <w:vAlign w:val="center"/>
                </w:tcPr>
                <w:p w14:paraId="7AF8F153">
                  <w:pPr>
                    <w:widowControl/>
                    <w:jc w:val="center"/>
                    <w:rPr>
                      <w:rFonts w:hint="default" w:ascii="Times New Roman" w:hAnsi="Times New Roman" w:eastAsia="宋体" w:cs="Times New Roman"/>
                      <w:color w:val="FF0000"/>
                      <w:kern w:val="0"/>
                      <w:szCs w:val="21"/>
                      <w:highlight w:val="none"/>
                      <w:lang w:val="en-US" w:eastAsia="zh-CN" w:bidi="ar"/>
                    </w:rPr>
                  </w:pPr>
                  <w:r>
                    <w:rPr>
                      <w:rFonts w:hint="eastAsia" w:cs="Times New Roman"/>
                      <w:color w:val="FF0000"/>
                      <w:kern w:val="0"/>
                      <w:szCs w:val="21"/>
                      <w:highlight w:val="none"/>
                      <w:lang w:val="en-US" w:eastAsia="zh-CN" w:bidi="ar"/>
                    </w:rPr>
                    <w:t>4.47</w:t>
                  </w:r>
                </w:p>
              </w:tc>
            </w:tr>
            <w:tr w14:paraId="78FF13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pct"/>
                  <w:tcBorders>
                    <w:tl2br w:val="nil"/>
                    <w:tr2bl w:val="nil"/>
                  </w:tcBorders>
                  <w:vAlign w:val="center"/>
                </w:tcPr>
                <w:p w14:paraId="38FB310D">
                  <w:pPr>
                    <w:pStyle w:val="13"/>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4</w:t>
                  </w:r>
                </w:p>
              </w:tc>
              <w:tc>
                <w:tcPr>
                  <w:tcW w:w="569" w:type="pct"/>
                  <w:vMerge w:val="continue"/>
                  <w:tcBorders>
                    <w:tl2br w:val="nil"/>
                    <w:tr2bl w:val="nil"/>
                  </w:tcBorders>
                  <w:vAlign w:val="center"/>
                </w:tcPr>
                <w:p w14:paraId="163334EF">
                  <w:pPr>
                    <w:pStyle w:val="13"/>
                    <w:jc w:val="center"/>
                    <w:rPr>
                      <w:color w:val="FF0000"/>
                      <w:sz w:val="21"/>
                      <w:szCs w:val="21"/>
                      <w:highlight w:val="none"/>
                    </w:rPr>
                  </w:pPr>
                </w:p>
              </w:tc>
              <w:tc>
                <w:tcPr>
                  <w:tcW w:w="1008" w:type="pct"/>
                  <w:vMerge w:val="continue"/>
                  <w:tcBorders>
                    <w:tl2br w:val="nil"/>
                    <w:tr2bl w:val="nil"/>
                  </w:tcBorders>
                  <w:vAlign w:val="center"/>
                </w:tcPr>
                <w:p w14:paraId="261FB65D">
                  <w:pPr>
                    <w:pStyle w:val="13"/>
                    <w:jc w:val="center"/>
                    <w:rPr>
                      <w:color w:val="FF0000"/>
                      <w:sz w:val="21"/>
                      <w:szCs w:val="21"/>
                      <w:highlight w:val="none"/>
                    </w:rPr>
                  </w:pPr>
                </w:p>
              </w:tc>
              <w:tc>
                <w:tcPr>
                  <w:tcW w:w="604" w:type="pct"/>
                  <w:vMerge w:val="continue"/>
                  <w:tcBorders>
                    <w:tl2br w:val="nil"/>
                    <w:tr2bl w:val="nil"/>
                  </w:tcBorders>
                  <w:vAlign w:val="center"/>
                </w:tcPr>
                <w:p w14:paraId="42E49D7F">
                  <w:pPr>
                    <w:pStyle w:val="13"/>
                    <w:jc w:val="center"/>
                    <w:rPr>
                      <w:color w:val="FF0000"/>
                      <w:sz w:val="21"/>
                      <w:szCs w:val="21"/>
                      <w:highlight w:val="none"/>
                    </w:rPr>
                  </w:pPr>
                </w:p>
              </w:tc>
              <w:tc>
                <w:tcPr>
                  <w:tcW w:w="1457" w:type="pct"/>
                  <w:tcBorders>
                    <w:tl2br w:val="nil"/>
                    <w:tr2bl w:val="nil"/>
                  </w:tcBorders>
                  <w:vAlign w:val="center"/>
                </w:tcPr>
                <w:p w14:paraId="4EC01450">
                  <w:pPr>
                    <w:widowControl/>
                    <w:jc w:val="center"/>
                    <w:rPr>
                      <w:rFonts w:hint="eastAsia" w:eastAsia="宋体"/>
                      <w:color w:val="FF0000"/>
                      <w:szCs w:val="21"/>
                      <w:highlight w:val="none"/>
                      <w:lang w:val="en-US" w:eastAsia="zh-CN"/>
                    </w:rPr>
                  </w:pPr>
                  <w:r>
                    <w:rPr>
                      <w:color w:val="FF0000"/>
                      <w:kern w:val="0"/>
                      <w:szCs w:val="21"/>
                      <w:highlight w:val="none"/>
                      <w:lang w:bidi="ar"/>
                    </w:rPr>
                    <w:t>颗粒物无组织</w:t>
                  </w:r>
                  <w:r>
                    <w:rPr>
                      <w:rFonts w:hint="eastAsia"/>
                      <w:color w:val="FF0000"/>
                      <w:kern w:val="0"/>
                      <w:szCs w:val="21"/>
                      <w:highlight w:val="none"/>
                      <w:lang w:val="en-US" w:eastAsia="zh-CN" w:bidi="ar"/>
                    </w:rPr>
                    <w:t>排放</w:t>
                  </w:r>
                </w:p>
              </w:tc>
              <w:tc>
                <w:tcPr>
                  <w:tcW w:w="837" w:type="pct"/>
                  <w:tcBorders>
                    <w:tl2br w:val="nil"/>
                    <w:tr2bl w:val="nil"/>
                  </w:tcBorders>
                  <w:vAlign w:val="center"/>
                </w:tcPr>
                <w:p w14:paraId="2CD1D157">
                  <w:pPr>
                    <w:widowControl/>
                    <w:jc w:val="center"/>
                    <w:rPr>
                      <w:rFonts w:hint="default" w:ascii="Times New Roman" w:hAnsi="Times New Roman" w:eastAsia="宋体" w:cs="Times New Roman"/>
                      <w:color w:val="FF0000"/>
                      <w:kern w:val="0"/>
                      <w:szCs w:val="21"/>
                      <w:highlight w:val="none"/>
                      <w:lang w:val="en-US" w:eastAsia="zh-CN" w:bidi="ar"/>
                    </w:rPr>
                  </w:pPr>
                  <w:r>
                    <w:rPr>
                      <w:rFonts w:hint="eastAsia" w:cs="Times New Roman"/>
                      <w:color w:val="FF0000"/>
                      <w:kern w:val="0"/>
                      <w:szCs w:val="21"/>
                      <w:highlight w:val="none"/>
                      <w:lang w:val="en-US" w:eastAsia="zh-CN" w:bidi="ar"/>
                    </w:rPr>
                    <w:t>3.416</w:t>
                  </w:r>
                </w:p>
              </w:tc>
            </w:tr>
            <w:tr w14:paraId="55585E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pct"/>
                  <w:tcBorders>
                    <w:tl2br w:val="nil"/>
                    <w:tr2bl w:val="nil"/>
                  </w:tcBorders>
                  <w:vAlign w:val="center"/>
                </w:tcPr>
                <w:p w14:paraId="05C641FE">
                  <w:pPr>
                    <w:pStyle w:val="13"/>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5</w:t>
                  </w:r>
                </w:p>
              </w:tc>
              <w:tc>
                <w:tcPr>
                  <w:tcW w:w="569" w:type="pct"/>
                  <w:vMerge w:val="continue"/>
                  <w:tcBorders>
                    <w:tl2br w:val="nil"/>
                    <w:tr2bl w:val="nil"/>
                  </w:tcBorders>
                  <w:vAlign w:val="center"/>
                </w:tcPr>
                <w:p w14:paraId="7B78724B">
                  <w:pPr>
                    <w:pStyle w:val="13"/>
                    <w:jc w:val="center"/>
                    <w:rPr>
                      <w:color w:val="FF0000"/>
                      <w:sz w:val="21"/>
                      <w:szCs w:val="21"/>
                      <w:highlight w:val="none"/>
                    </w:rPr>
                  </w:pPr>
                </w:p>
              </w:tc>
              <w:tc>
                <w:tcPr>
                  <w:tcW w:w="1008" w:type="pct"/>
                  <w:vMerge w:val="continue"/>
                  <w:tcBorders>
                    <w:tl2br w:val="nil"/>
                    <w:tr2bl w:val="nil"/>
                  </w:tcBorders>
                  <w:vAlign w:val="center"/>
                </w:tcPr>
                <w:p w14:paraId="34D3D52C">
                  <w:pPr>
                    <w:pStyle w:val="13"/>
                    <w:jc w:val="center"/>
                    <w:rPr>
                      <w:rFonts w:hint="eastAsia"/>
                      <w:color w:val="FF0000"/>
                      <w:sz w:val="21"/>
                      <w:szCs w:val="21"/>
                      <w:highlight w:val="none"/>
                      <w:lang w:val="en-US" w:eastAsia="zh-CN"/>
                    </w:rPr>
                  </w:pPr>
                </w:p>
              </w:tc>
              <w:tc>
                <w:tcPr>
                  <w:tcW w:w="604" w:type="pct"/>
                  <w:vMerge w:val="restart"/>
                  <w:tcBorders>
                    <w:tl2br w:val="nil"/>
                    <w:tr2bl w:val="nil"/>
                  </w:tcBorders>
                  <w:vAlign w:val="center"/>
                </w:tcPr>
                <w:p w14:paraId="35B7173A">
                  <w:pPr>
                    <w:pStyle w:val="13"/>
                    <w:jc w:val="center"/>
                    <w:rPr>
                      <w:rFonts w:hint="eastAsia" w:eastAsia="宋体"/>
                      <w:color w:val="FF0000"/>
                      <w:sz w:val="21"/>
                      <w:szCs w:val="21"/>
                      <w:highlight w:val="none"/>
                      <w:lang w:val="en-US" w:eastAsia="zh-CN"/>
                    </w:rPr>
                  </w:pPr>
                  <w:r>
                    <w:rPr>
                      <w:rFonts w:hint="eastAsia"/>
                      <w:color w:val="FF0000"/>
                      <w:sz w:val="21"/>
                      <w:szCs w:val="21"/>
                      <w:highlight w:val="none"/>
                      <w:lang w:val="en-US" w:eastAsia="zh-CN"/>
                    </w:rPr>
                    <w:t>固废</w:t>
                  </w:r>
                </w:p>
              </w:tc>
              <w:tc>
                <w:tcPr>
                  <w:tcW w:w="1457" w:type="pct"/>
                  <w:tcBorders>
                    <w:tl2br w:val="nil"/>
                    <w:tr2bl w:val="nil"/>
                  </w:tcBorders>
                  <w:vAlign w:val="center"/>
                </w:tcPr>
                <w:p w14:paraId="0A20A537">
                  <w:pPr>
                    <w:pStyle w:val="13"/>
                    <w:jc w:val="center"/>
                    <w:rPr>
                      <w:color w:val="FF0000"/>
                      <w:kern w:val="0"/>
                      <w:szCs w:val="21"/>
                      <w:highlight w:val="none"/>
                      <w:lang w:bidi="ar"/>
                    </w:rPr>
                  </w:pPr>
                  <w:r>
                    <w:rPr>
                      <w:color w:val="FF0000"/>
                      <w:sz w:val="21"/>
                      <w:szCs w:val="21"/>
                      <w:highlight w:val="none"/>
                    </w:rPr>
                    <w:t>除尘灰</w:t>
                  </w:r>
                </w:p>
              </w:tc>
              <w:tc>
                <w:tcPr>
                  <w:tcW w:w="837" w:type="pct"/>
                  <w:tcBorders>
                    <w:tl2br w:val="nil"/>
                    <w:tr2bl w:val="nil"/>
                  </w:tcBorders>
                  <w:vAlign w:val="center"/>
                </w:tcPr>
                <w:p w14:paraId="3819F4CB">
                  <w:pPr>
                    <w:widowControl/>
                    <w:jc w:val="center"/>
                    <w:rPr>
                      <w:rFonts w:hint="default" w:ascii="Times New Roman" w:hAnsi="Times New Roman" w:eastAsia="宋体" w:cs="Times New Roman"/>
                      <w:color w:val="FF0000"/>
                      <w:kern w:val="0"/>
                      <w:szCs w:val="21"/>
                      <w:highlight w:val="none"/>
                      <w:lang w:val="en-US" w:eastAsia="zh-CN" w:bidi="ar"/>
                    </w:rPr>
                  </w:pPr>
                  <w:r>
                    <w:rPr>
                      <w:rFonts w:hint="eastAsia" w:cs="Times New Roman"/>
                      <w:color w:val="FF0000"/>
                      <w:kern w:val="0"/>
                      <w:szCs w:val="21"/>
                      <w:highlight w:val="none"/>
                      <w:lang w:val="en-US" w:eastAsia="zh-CN" w:bidi="ar"/>
                    </w:rPr>
                    <w:t>442.479</w:t>
                  </w:r>
                </w:p>
              </w:tc>
            </w:tr>
            <w:tr w14:paraId="46494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pct"/>
                  <w:tcBorders>
                    <w:tl2br w:val="nil"/>
                    <w:tr2bl w:val="nil"/>
                  </w:tcBorders>
                  <w:vAlign w:val="center"/>
                </w:tcPr>
                <w:p w14:paraId="6CD520BB">
                  <w:pPr>
                    <w:pStyle w:val="13"/>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6</w:t>
                  </w:r>
                </w:p>
              </w:tc>
              <w:tc>
                <w:tcPr>
                  <w:tcW w:w="569" w:type="pct"/>
                  <w:vMerge w:val="continue"/>
                  <w:tcBorders>
                    <w:tl2br w:val="nil"/>
                    <w:tr2bl w:val="nil"/>
                  </w:tcBorders>
                  <w:vAlign w:val="center"/>
                </w:tcPr>
                <w:p w14:paraId="59B8BEEA">
                  <w:pPr>
                    <w:pStyle w:val="13"/>
                    <w:jc w:val="center"/>
                    <w:rPr>
                      <w:color w:val="FF0000"/>
                      <w:sz w:val="21"/>
                      <w:szCs w:val="21"/>
                      <w:highlight w:val="none"/>
                    </w:rPr>
                  </w:pPr>
                </w:p>
              </w:tc>
              <w:tc>
                <w:tcPr>
                  <w:tcW w:w="1008" w:type="pct"/>
                  <w:vMerge w:val="continue"/>
                  <w:tcBorders>
                    <w:tl2br w:val="nil"/>
                    <w:tr2bl w:val="nil"/>
                  </w:tcBorders>
                  <w:vAlign w:val="center"/>
                </w:tcPr>
                <w:p w14:paraId="42302F5A">
                  <w:pPr>
                    <w:pStyle w:val="13"/>
                    <w:jc w:val="center"/>
                    <w:rPr>
                      <w:color w:val="FF0000"/>
                      <w:sz w:val="21"/>
                      <w:szCs w:val="21"/>
                      <w:highlight w:val="none"/>
                    </w:rPr>
                  </w:pPr>
                </w:p>
              </w:tc>
              <w:tc>
                <w:tcPr>
                  <w:tcW w:w="604" w:type="pct"/>
                  <w:vMerge w:val="continue"/>
                  <w:tcBorders>
                    <w:tl2br w:val="nil"/>
                    <w:tr2bl w:val="nil"/>
                  </w:tcBorders>
                  <w:vAlign w:val="center"/>
                </w:tcPr>
                <w:p w14:paraId="4DCA1BC9">
                  <w:pPr>
                    <w:pStyle w:val="13"/>
                    <w:jc w:val="center"/>
                    <w:rPr>
                      <w:color w:val="FF0000"/>
                      <w:sz w:val="21"/>
                      <w:szCs w:val="21"/>
                      <w:highlight w:val="none"/>
                    </w:rPr>
                  </w:pPr>
                </w:p>
              </w:tc>
              <w:tc>
                <w:tcPr>
                  <w:tcW w:w="1457" w:type="pct"/>
                  <w:tcBorders>
                    <w:tl2br w:val="nil"/>
                    <w:tr2bl w:val="nil"/>
                  </w:tcBorders>
                  <w:vAlign w:val="center"/>
                </w:tcPr>
                <w:p w14:paraId="1520207B">
                  <w:pPr>
                    <w:pStyle w:val="13"/>
                    <w:jc w:val="center"/>
                    <w:rPr>
                      <w:color w:val="FF0000"/>
                      <w:kern w:val="0"/>
                      <w:szCs w:val="21"/>
                      <w:highlight w:val="none"/>
                      <w:lang w:bidi="ar"/>
                    </w:rPr>
                  </w:pPr>
                  <w:r>
                    <w:rPr>
                      <w:color w:val="FF0000"/>
                      <w:sz w:val="21"/>
                      <w:szCs w:val="21"/>
                      <w:highlight w:val="none"/>
                    </w:rPr>
                    <w:t>地面沉积灰</w:t>
                  </w:r>
                </w:p>
              </w:tc>
              <w:tc>
                <w:tcPr>
                  <w:tcW w:w="837" w:type="pct"/>
                  <w:tcBorders>
                    <w:tl2br w:val="nil"/>
                    <w:tr2bl w:val="nil"/>
                  </w:tcBorders>
                  <w:vAlign w:val="center"/>
                </w:tcPr>
                <w:p w14:paraId="3B27F894">
                  <w:pPr>
                    <w:pStyle w:val="13"/>
                    <w:jc w:val="center"/>
                    <w:rPr>
                      <w:rFonts w:hint="default" w:ascii="Times New Roman" w:hAnsi="Times New Roman" w:eastAsia="宋体" w:cs="Times New Roman"/>
                      <w:color w:val="FF0000"/>
                      <w:kern w:val="0"/>
                      <w:sz w:val="21"/>
                      <w:szCs w:val="21"/>
                      <w:highlight w:val="none"/>
                      <w:lang w:val="en-US" w:eastAsia="zh-CN" w:bidi="ar"/>
                    </w:rPr>
                  </w:pPr>
                  <w:r>
                    <w:rPr>
                      <w:rFonts w:hint="eastAsia" w:cs="Times New Roman"/>
                      <w:color w:val="FF0000"/>
                      <w:kern w:val="0"/>
                      <w:sz w:val="21"/>
                      <w:szCs w:val="21"/>
                      <w:highlight w:val="none"/>
                      <w:lang w:val="en-US" w:eastAsia="zh-CN" w:bidi="ar"/>
                    </w:rPr>
                    <w:t>54.936</w:t>
                  </w:r>
                </w:p>
              </w:tc>
            </w:tr>
            <w:tr w14:paraId="1F6C47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23" w:type="pct"/>
                  <w:tcBorders>
                    <w:tl2br w:val="nil"/>
                    <w:tr2bl w:val="nil"/>
                  </w:tcBorders>
                  <w:vAlign w:val="center"/>
                </w:tcPr>
                <w:p w14:paraId="413F58CC">
                  <w:pPr>
                    <w:pStyle w:val="13"/>
                    <w:jc w:val="center"/>
                    <w:rPr>
                      <w:color w:val="FF0000"/>
                      <w:sz w:val="21"/>
                      <w:szCs w:val="21"/>
                      <w:highlight w:val="none"/>
                    </w:rPr>
                  </w:pPr>
                  <w:r>
                    <w:rPr>
                      <w:rFonts w:hint="eastAsia"/>
                      <w:color w:val="FF0000"/>
                      <w:sz w:val="21"/>
                      <w:szCs w:val="21"/>
                      <w:highlight w:val="none"/>
                    </w:rPr>
                    <w:t>合计</w:t>
                  </w:r>
                </w:p>
              </w:tc>
              <w:tc>
                <w:tcPr>
                  <w:tcW w:w="1577" w:type="pct"/>
                  <w:gridSpan w:val="2"/>
                  <w:tcBorders>
                    <w:tl2br w:val="nil"/>
                    <w:tr2bl w:val="nil"/>
                  </w:tcBorders>
                  <w:vAlign w:val="center"/>
                </w:tcPr>
                <w:p w14:paraId="0E79D1E8">
                  <w:pPr>
                    <w:pStyle w:val="13"/>
                    <w:jc w:val="center"/>
                    <w:rPr>
                      <w:rFonts w:hint="default"/>
                      <w:color w:val="FF0000"/>
                      <w:sz w:val="21"/>
                      <w:szCs w:val="21"/>
                      <w:highlight w:val="none"/>
                      <w:lang w:val="en-US"/>
                    </w:rPr>
                  </w:pPr>
                  <w:r>
                    <w:rPr>
                      <w:rFonts w:hint="eastAsia" w:ascii="Times New Roman" w:hAnsi="Times New Roman" w:eastAsia="宋体" w:cs="Times New Roman"/>
                      <w:color w:val="FF0000"/>
                      <w:kern w:val="0"/>
                      <w:sz w:val="21"/>
                      <w:szCs w:val="21"/>
                      <w:highlight w:val="none"/>
                      <w:lang w:val="en-US" w:eastAsia="zh-CN" w:bidi="ar-SA"/>
                    </w:rPr>
                    <w:t>260</w:t>
                  </w:r>
                  <w:r>
                    <w:rPr>
                      <w:rFonts w:hint="eastAsia" w:cs="Times New Roman"/>
                      <w:color w:val="FF0000"/>
                      <w:kern w:val="0"/>
                      <w:sz w:val="21"/>
                      <w:szCs w:val="21"/>
                      <w:highlight w:val="none"/>
                      <w:lang w:val="en-US" w:eastAsia="zh-CN" w:bidi="ar-SA"/>
                    </w:rPr>
                    <w:t>505.301</w:t>
                  </w:r>
                </w:p>
              </w:tc>
              <w:tc>
                <w:tcPr>
                  <w:tcW w:w="2061" w:type="pct"/>
                  <w:gridSpan w:val="2"/>
                  <w:tcBorders>
                    <w:tl2br w:val="nil"/>
                    <w:tr2bl w:val="nil"/>
                  </w:tcBorders>
                  <w:vAlign w:val="center"/>
                </w:tcPr>
                <w:p w14:paraId="1AAE8FF2">
                  <w:pPr>
                    <w:pStyle w:val="13"/>
                    <w:jc w:val="center"/>
                    <w:rPr>
                      <w:color w:val="FF0000"/>
                      <w:sz w:val="21"/>
                      <w:szCs w:val="21"/>
                      <w:highlight w:val="none"/>
                    </w:rPr>
                  </w:pPr>
                  <w:r>
                    <w:rPr>
                      <w:rFonts w:hint="eastAsia"/>
                      <w:color w:val="FF0000"/>
                      <w:sz w:val="21"/>
                      <w:szCs w:val="21"/>
                      <w:highlight w:val="none"/>
                    </w:rPr>
                    <w:t>合计</w:t>
                  </w:r>
                </w:p>
              </w:tc>
              <w:tc>
                <w:tcPr>
                  <w:tcW w:w="837" w:type="pct"/>
                  <w:tcBorders>
                    <w:tl2br w:val="nil"/>
                    <w:tr2bl w:val="nil"/>
                  </w:tcBorders>
                  <w:vAlign w:val="center"/>
                </w:tcPr>
                <w:p w14:paraId="56D83850">
                  <w:pPr>
                    <w:pStyle w:val="13"/>
                    <w:jc w:val="center"/>
                    <w:rPr>
                      <w:rFonts w:hint="eastAsia"/>
                      <w:color w:val="FF0000"/>
                      <w:sz w:val="21"/>
                      <w:szCs w:val="21"/>
                      <w:highlight w:val="none"/>
                    </w:rPr>
                  </w:pPr>
                  <w:r>
                    <w:rPr>
                      <w:rFonts w:hint="eastAsia" w:ascii="Times New Roman" w:hAnsi="Times New Roman" w:eastAsia="宋体" w:cs="Times New Roman"/>
                      <w:color w:val="FF0000"/>
                      <w:kern w:val="0"/>
                      <w:sz w:val="21"/>
                      <w:szCs w:val="21"/>
                      <w:highlight w:val="none"/>
                      <w:lang w:val="en-US" w:eastAsia="zh-CN" w:bidi="ar-SA"/>
                    </w:rPr>
                    <w:t>260</w:t>
                  </w:r>
                  <w:r>
                    <w:rPr>
                      <w:rFonts w:hint="eastAsia" w:cs="Times New Roman"/>
                      <w:color w:val="FF0000"/>
                      <w:kern w:val="0"/>
                      <w:sz w:val="21"/>
                      <w:szCs w:val="21"/>
                      <w:highlight w:val="none"/>
                      <w:lang w:val="en-US" w:eastAsia="zh-CN" w:bidi="ar-SA"/>
                    </w:rPr>
                    <w:t>505.301</w:t>
                  </w:r>
                </w:p>
              </w:tc>
            </w:tr>
          </w:tbl>
          <w:p w14:paraId="762BCD39">
            <w:pPr>
              <w:widowControl/>
              <w:jc w:val="left"/>
              <w:rPr>
                <w:color w:val="000000" w:themeColor="text1"/>
                <w:highlight w:val="none"/>
                <w14:textFill>
                  <w14:solidFill>
                    <w14:schemeClr w14:val="tx1"/>
                  </w14:solidFill>
                </w14:textFill>
              </w:rPr>
            </w:pPr>
          </w:p>
          <w:p w14:paraId="5B493876">
            <w:pPr>
              <w:widowControl/>
              <w:spacing w:line="360" w:lineRule="auto"/>
              <w:jc w:val="left"/>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8</w:t>
            </w:r>
            <w:r>
              <w:rPr>
                <w:b/>
                <w:bCs/>
                <w:color w:val="000000" w:themeColor="text1"/>
                <w:sz w:val="24"/>
                <w:highlight w:val="none"/>
                <w14:textFill>
                  <w14:solidFill>
                    <w14:schemeClr w14:val="tx1"/>
                  </w14:solidFill>
                </w14:textFill>
              </w:rPr>
              <w:t>、</w:t>
            </w:r>
            <w:r>
              <w:rPr>
                <w:b/>
                <w:bCs/>
                <w:color w:val="000000" w:themeColor="text1"/>
                <w:kern w:val="0"/>
                <w:sz w:val="24"/>
                <w:highlight w:val="none"/>
                <w:lang w:bidi="ar"/>
                <w14:textFill>
                  <w14:solidFill>
                    <w14:schemeClr w14:val="tx1"/>
                  </w14:solidFill>
                </w14:textFill>
              </w:rPr>
              <w:t>劳动定员及工作制度</w:t>
            </w:r>
          </w:p>
          <w:p w14:paraId="34CF77BE">
            <w:pPr>
              <w:widowControl/>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本项目劳动定员</w:t>
            </w:r>
            <w:r>
              <w:rPr>
                <w:rFonts w:hint="eastAsia"/>
                <w:color w:val="000000" w:themeColor="text1"/>
                <w:kern w:val="0"/>
                <w:sz w:val="24"/>
                <w:highlight w:val="none"/>
                <w:lang w:bidi="ar"/>
                <w14:textFill>
                  <w14:solidFill>
                    <w14:schemeClr w14:val="tx1"/>
                  </w14:solidFill>
                </w14:textFill>
              </w:rPr>
              <w:t>6</w:t>
            </w:r>
            <w:r>
              <w:rPr>
                <w:color w:val="000000" w:themeColor="text1"/>
                <w:kern w:val="0"/>
                <w:sz w:val="24"/>
                <w:highlight w:val="none"/>
                <w:lang w:bidi="ar"/>
                <w14:textFill>
                  <w14:solidFill>
                    <w14:schemeClr w14:val="tx1"/>
                  </w14:solidFill>
                </w14:textFill>
              </w:rPr>
              <w:t>人，</w:t>
            </w:r>
            <w:r>
              <w:rPr>
                <w:rFonts w:hint="eastAsia"/>
                <w:color w:val="000000" w:themeColor="text1"/>
                <w:kern w:val="0"/>
                <w:sz w:val="24"/>
                <w:highlight w:val="none"/>
                <w:lang w:bidi="ar"/>
                <w14:textFill>
                  <w14:solidFill>
                    <w14:schemeClr w14:val="tx1"/>
                  </w14:solidFill>
                </w14:textFill>
              </w:rPr>
              <w:t>1</w:t>
            </w:r>
            <w:r>
              <w:rPr>
                <w:color w:val="000000" w:themeColor="text1"/>
                <w:kern w:val="0"/>
                <w:sz w:val="24"/>
                <w:highlight w:val="none"/>
                <w:lang w:bidi="ar"/>
                <w14:textFill>
                  <w14:solidFill>
                    <w14:schemeClr w14:val="tx1"/>
                  </w14:solidFill>
                </w14:textFill>
              </w:rPr>
              <w:t>班制，</w:t>
            </w:r>
            <w:r>
              <w:rPr>
                <w:rFonts w:hint="eastAsia"/>
                <w:color w:val="000000" w:themeColor="text1"/>
                <w:kern w:val="0"/>
                <w:sz w:val="24"/>
                <w:highlight w:val="none"/>
                <w:lang w:bidi="ar"/>
                <w14:textFill>
                  <w14:solidFill>
                    <w14:schemeClr w14:val="tx1"/>
                  </w14:solidFill>
                </w14:textFill>
              </w:rPr>
              <w:t>每班8小时，</w:t>
            </w:r>
            <w:r>
              <w:rPr>
                <w:color w:val="000000" w:themeColor="text1"/>
                <w:kern w:val="0"/>
                <w:sz w:val="24"/>
                <w:highlight w:val="none"/>
                <w:lang w:bidi="ar"/>
                <w14:textFill>
                  <w14:solidFill>
                    <w14:schemeClr w14:val="tx1"/>
                  </w14:solidFill>
                </w14:textFill>
              </w:rPr>
              <w:t>年工作</w:t>
            </w:r>
            <w:r>
              <w:rPr>
                <w:rFonts w:hint="eastAsia"/>
                <w:color w:val="000000" w:themeColor="text1"/>
                <w:kern w:val="0"/>
                <w:sz w:val="24"/>
                <w:highlight w:val="none"/>
                <w:lang w:val="en-US" w:eastAsia="zh-CN" w:bidi="ar"/>
                <w14:textFill>
                  <w14:solidFill>
                    <w14:schemeClr w14:val="tx1"/>
                  </w14:solidFill>
                </w14:textFill>
              </w:rPr>
              <w:t>240</w:t>
            </w:r>
            <w:r>
              <w:rPr>
                <w:color w:val="000000" w:themeColor="text1"/>
                <w:kern w:val="0"/>
                <w:sz w:val="24"/>
                <w:highlight w:val="none"/>
                <w:lang w:bidi="ar"/>
                <w14:textFill>
                  <w14:solidFill>
                    <w14:schemeClr w14:val="tx1"/>
                  </w14:solidFill>
                </w14:textFill>
              </w:rPr>
              <w:t>天，年工作时间</w:t>
            </w:r>
            <w:r>
              <w:rPr>
                <w:rFonts w:hint="eastAsia"/>
                <w:color w:val="000000" w:themeColor="text1"/>
                <w:kern w:val="0"/>
                <w:sz w:val="24"/>
                <w:highlight w:val="none"/>
                <w:lang w:val="en-US" w:eastAsia="zh-CN" w:bidi="ar"/>
                <w14:textFill>
                  <w14:solidFill>
                    <w14:schemeClr w14:val="tx1"/>
                  </w14:solidFill>
                </w14:textFill>
              </w:rPr>
              <w:t>1920</w:t>
            </w:r>
            <w:r>
              <w:rPr>
                <w:color w:val="000000" w:themeColor="text1"/>
                <w:kern w:val="0"/>
                <w:sz w:val="24"/>
                <w:highlight w:val="none"/>
                <w:lang w:bidi="ar"/>
                <w14:textFill>
                  <w14:solidFill>
                    <w14:schemeClr w14:val="tx1"/>
                  </w14:solidFill>
                </w14:textFill>
              </w:rPr>
              <w:t>h。</w:t>
            </w:r>
          </w:p>
          <w:p w14:paraId="3F832212">
            <w:pPr>
              <w:widowControl/>
              <w:spacing w:line="360" w:lineRule="auto"/>
              <w:jc w:val="left"/>
              <w:rPr>
                <w:b/>
                <w:bCs/>
                <w:color w:val="000000" w:themeColor="text1"/>
                <w:sz w:val="24"/>
                <w:highlight w:val="none"/>
                <w14:textFill>
                  <w14:solidFill>
                    <w14:schemeClr w14:val="tx1"/>
                  </w14:solidFill>
                </w14:textFill>
              </w:rPr>
            </w:pPr>
            <w:r>
              <w:rPr>
                <w:rFonts w:hint="eastAsia"/>
                <w:b/>
                <w:bCs/>
                <w:color w:val="000000" w:themeColor="text1"/>
                <w:sz w:val="24"/>
                <w:highlight w:val="none"/>
                <w14:textFill>
                  <w14:solidFill>
                    <w14:schemeClr w14:val="tx1"/>
                  </w14:solidFill>
                </w14:textFill>
              </w:rPr>
              <w:t>9</w:t>
            </w:r>
            <w:r>
              <w:rPr>
                <w:b/>
                <w:bCs/>
                <w:color w:val="000000" w:themeColor="text1"/>
                <w:sz w:val="24"/>
                <w:highlight w:val="none"/>
                <w14:textFill>
                  <w14:solidFill>
                    <w14:schemeClr w14:val="tx1"/>
                  </w14:solidFill>
                </w14:textFill>
              </w:rPr>
              <w:t>、</w:t>
            </w:r>
            <w:r>
              <w:rPr>
                <w:b/>
                <w:bCs/>
                <w:color w:val="000000" w:themeColor="text1"/>
                <w:kern w:val="0"/>
                <w:sz w:val="24"/>
                <w:highlight w:val="none"/>
                <w:lang w:bidi="ar"/>
                <w14:textFill>
                  <w14:solidFill>
                    <w14:schemeClr w14:val="tx1"/>
                  </w14:solidFill>
                </w14:textFill>
              </w:rPr>
              <w:t>厂区平面布置</w:t>
            </w:r>
          </w:p>
          <w:p w14:paraId="74C0FDBA">
            <w:pPr>
              <w:widowControl/>
              <w:spacing w:line="360" w:lineRule="auto"/>
              <w:ind w:firstLine="480" w:firstLineChars="200"/>
              <w:jc w:val="left"/>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本项目位于</w:t>
            </w:r>
            <w:r>
              <w:rPr>
                <w:color w:val="000000" w:themeColor="text1"/>
                <w:sz w:val="24"/>
                <w:highlight w:val="none"/>
                <w14:textFill>
                  <w14:solidFill>
                    <w14:schemeClr w14:val="tx1"/>
                  </w14:solidFill>
                </w14:textFill>
              </w:rPr>
              <w:t>辽宁省</w:t>
            </w:r>
            <w:r>
              <w:rPr>
                <w:rFonts w:hint="eastAsia"/>
                <w:color w:val="000000" w:themeColor="text1"/>
                <w:sz w:val="24"/>
                <w:highlight w:val="none"/>
                <w14:textFill>
                  <w14:solidFill>
                    <w14:schemeClr w14:val="tx1"/>
                  </w14:solidFill>
                </w14:textFill>
              </w:rPr>
              <w:t>抚顺市东洲区哈达镇小寨子村</w:t>
            </w:r>
            <w:r>
              <w:rPr>
                <w:color w:val="000000" w:themeColor="text1"/>
                <w:kern w:val="0"/>
                <w:sz w:val="24"/>
                <w:highlight w:val="none"/>
                <w:lang w:bidi="ar"/>
                <w14:textFill>
                  <w14:solidFill>
                    <w14:schemeClr w14:val="tx1"/>
                  </w14:solidFill>
                </w14:textFill>
              </w:rPr>
              <w:t>，拟在闲置场地进行建设，用地性质为</w:t>
            </w:r>
            <w:r>
              <w:rPr>
                <w:rFonts w:hint="eastAsia"/>
                <w:color w:val="000000" w:themeColor="text1"/>
                <w:kern w:val="0"/>
                <w:sz w:val="24"/>
                <w:highlight w:val="none"/>
                <w:lang w:bidi="ar"/>
                <w14:textFill>
                  <w14:solidFill>
                    <w14:schemeClr w14:val="tx1"/>
                  </w14:solidFill>
                </w14:textFill>
              </w:rPr>
              <w:t>采矿用地</w:t>
            </w:r>
            <w:r>
              <w:rPr>
                <w:color w:val="000000" w:themeColor="text1"/>
                <w:kern w:val="0"/>
                <w:sz w:val="24"/>
                <w:highlight w:val="none"/>
                <w:lang w:bidi="ar"/>
                <w14:textFill>
                  <w14:solidFill>
                    <w14:schemeClr w14:val="tx1"/>
                  </w14:solidFill>
                </w14:textFill>
              </w:rPr>
              <w:t>，厂房功能分区明确</w:t>
            </w:r>
            <w:r>
              <w:rPr>
                <w:rFonts w:hint="eastAsia"/>
                <w:color w:val="000000" w:themeColor="text1"/>
                <w:kern w:val="0"/>
                <w:sz w:val="24"/>
                <w:highlight w:val="none"/>
                <w:lang w:bidi="ar"/>
                <w14:textFill>
                  <w14:solidFill>
                    <w14:schemeClr w14:val="tx1"/>
                  </w14:solidFill>
                </w14:textFill>
              </w:rPr>
              <w:t>：</w:t>
            </w:r>
            <w:r>
              <w:rPr>
                <w:rFonts w:hint="eastAsia"/>
                <w:color w:val="000000" w:themeColor="text1"/>
                <w:sz w:val="24"/>
                <w:highlight w:val="none"/>
                <w14:textFill>
                  <w14:solidFill>
                    <w14:schemeClr w14:val="tx1"/>
                  </w14:solidFill>
                </w14:textFill>
              </w:rPr>
              <w:t>清洗平台</w:t>
            </w:r>
            <w:r>
              <w:rPr>
                <w:rFonts w:hint="eastAsia"/>
                <w:color w:val="000000" w:themeColor="text1"/>
                <w:sz w:val="24"/>
                <w:highlight w:val="none"/>
                <w:lang w:val="en-US" w:eastAsia="zh-CN"/>
                <w14:textFill>
                  <w14:solidFill>
                    <w14:schemeClr w14:val="tx1"/>
                  </w14:solidFill>
                </w14:textFill>
              </w:rPr>
              <w:t>位于厂区出入口，</w:t>
            </w:r>
            <w:r>
              <w:rPr>
                <w:color w:val="000000" w:themeColor="text1"/>
                <w:sz w:val="24"/>
                <w:highlight w:val="none"/>
                <w14:textFill>
                  <w14:solidFill>
                    <w14:schemeClr w14:val="tx1"/>
                  </w14:solidFill>
                </w14:textFill>
              </w:rPr>
              <w:t>原料</w:t>
            </w:r>
            <w:r>
              <w:rPr>
                <w:rFonts w:hint="eastAsia"/>
                <w:color w:val="000000" w:themeColor="text1"/>
                <w:sz w:val="24"/>
                <w:highlight w:val="none"/>
                <w:lang w:val="en-US" w:eastAsia="zh-CN"/>
                <w14:textFill>
                  <w14:solidFill>
                    <w14:schemeClr w14:val="tx1"/>
                  </w14:solidFill>
                </w14:textFill>
              </w:rPr>
              <w:t>区</w:t>
            </w:r>
            <w:r>
              <w:rPr>
                <w:color w:val="000000" w:themeColor="text1"/>
                <w:sz w:val="24"/>
                <w:highlight w:val="none"/>
                <w14:textFill>
                  <w14:solidFill>
                    <w14:schemeClr w14:val="tx1"/>
                  </w14:solidFill>
                </w14:textFill>
              </w:rPr>
              <w:t>位于</w:t>
            </w:r>
            <w:r>
              <w:rPr>
                <w:rFonts w:hint="eastAsia"/>
                <w:color w:val="000000" w:themeColor="text1"/>
                <w:sz w:val="24"/>
                <w:highlight w:val="none"/>
                <w14:textFill>
                  <w14:solidFill>
                    <w14:schemeClr w14:val="tx1"/>
                  </w14:solidFill>
                </w14:textFill>
              </w:rPr>
              <w:t>厂区</w:t>
            </w:r>
            <w:r>
              <w:rPr>
                <w:rFonts w:hint="eastAsia"/>
                <w:color w:val="000000" w:themeColor="text1"/>
                <w:sz w:val="24"/>
                <w:highlight w:val="none"/>
                <w:lang w:val="en-US" w:eastAsia="zh-CN"/>
                <w14:textFill>
                  <w14:solidFill>
                    <w14:schemeClr w14:val="tx1"/>
                  </w14:solidFill>
                </w14:textFill>
              </w:rPr>
              <w:t>南</w:t>
            </w:r>
            <w:r>
              <w:rPr>
                <w:rFonts w:hint="eastAsia"/>
                <w:color w:val="000000" w:themeColor="text1"/>
                <w:sz w:val="24"/>
                <w:highlight w:val="none"/>
                <w14:textFill>
                  <w14:solidFill>
                    <w14:schemeClr w14:val="tx1"/>
                  </w14:solidFill>
                </w14:textFill>
              </w:rPr>
              <w:t>侧，</w:t>
            </w:r>
            <w:r>
              <w:rPr>
                <w:rFonts w:hint="eastAsia"/>
                <w:color w:val="000000" w:themeColor="text1"/>
                <w:sz w:val="24"/>
                <w:highlight w:val="none"/>
                <w:lang w:val="en-US" w:eastAsia="zh-CN"/>
                <w14:textFill>
                  <w14:solidFill>
                    <w14:schemeClr w14:val="tx1"/>
                  </w14:solidFill>
                </w14:textFill>
              </w:rPr>
              <w:t>原料区北侧为</w:t>
            </w:r>
            <w:r>
              <w:rPr>
                <w:color w:val="000000" w:themeColor="text1"/>
                <w:sz w:val="24"/>
                <w:highlight w:val="none"/>
                <w14:textFill>
                  <w14:solidFill>
                    <w14:schemeClr w14:val="tx1"/>
                  </w14:solidFill>
                </w14:textFill>
              </w:rPr>
              <w:t>碎石车间</w:t>
            </w:r>
            <w:r>
              <w:rPr>
                <w:rFonts w:hint="eastAsia"/>
                <w:color w:val="000000" w:themeColor="text1"/>
                <w:sz w:val="24"/>
                <w:highlight w:val="none"/>
                <w14:textFill>
                  <w14:solidFill>
                    <w14:schemeClr w14:val="tx1"/>
                  </w14:solidFill>
                </w14:textFill>
              </w:rPr>
              <w:t>及配套废气处理装置，成品库位于厂区</w:t>
            </w:r>
            <w:r>
              <w:rPr>
                <w:rFonts w:hint="eastAsia"/>
                <w:color w:val="000000" w:themeColor="text1"/>
                <w:sz w:val="24"/>
                <w:highlight w:val="none"/>
                <w:lang w:val="en-US" w:eastAsia="zh-CN"/>
                <w14:textFill>
                  <w14:solidFill>
                    <w14:schemeClr w14:val="tx1"/>
                  </w14:solidFill>
                </w14:textFill>
              </w:rPr>
              <w:t>北</w:t>
            </w:r>
            <w:r>
              <w:rPr>
                <w:rFonts w:hint="eastAsia"/>
                <w:color w:val="000000" w:themeColor="text1"/>
                <w:sz w:val="24"/>
                <w:highlight w:val="none"/>
                <w14:textFill>
                  <w14:solidFill>
                    <w14:schemeClr w14:val="tx1"/>
                  </w14:solidFill>
                </w14:textFill>
              </w:rPr>
              <w:t>侧，碎石车间与成品库之间采用</w:t>
            </w:r>
            <w:r>
              <w:rPr>
                <w:rFonts w:hint="eastAsia"/>
                <w:color w:val="000000" w:themeColor="text1"/>
                <w:sz w:val="24"/>
                <w:highlight w:val="none"/>
                <w:lang w:val="en-US" w:eastAsia="zh-CN"/>
                <w14:textFill>
                  <w14:solidFill>
                    <w14:schemeClr w14:val="tx1"/>
                  </w14:solidFill>
                </w14:textFill>
              </w:rPr>
              <w:t>全</w:t>
            </w:r>
            <w:r>
              <w:rPr>
                <w:rFonts w:hint="eastAsia"/>
                <w:color w:val="000000" w:themeColor="text1"/>
                <w:sz w:val="24"/>
                <w:highlight w:val="none"/>
                <w14:textFill>
                  <w14:solidFill>
                    <w14:schemeClr w14:val="tx1"/>
                  </w14:solidFill>
                </w14:textFill>
              </w:rPr>
              <w:t>封闭皮带廊连接，</w:t>
            </w:r>
            <w:r>
              <w:rPr>
                <w:rFonts w:hint="eastAsia"/>
                <w:color w:val="000000" w:themeColor="text1"/>
                <w:sz w:val="24"/>
                <w:highlight w:val="none"/>
                <w:lang w:eastAsia="zh-CN"/>
                <w14:textFill>
                  <w14:solidFill>
                    <w14:schemeClr w14:val="tx1"/>
                  </w14:solidFill>
                </w14:textFill>
              </w:rPr>
              <w:t>一般固废暂存区</w:t>
            </w:r>
            <w:r>
              <w:rPr>
                <w:rFonts w:hint="eastAsia"/>
                <w:color w:val="000000" w:themeColor="text1"/>
                <w:sz w:val="24"/>
                <w:highlight w:val="none"/>
                <w14:textFill>
                  <w14:solidFill>
                    <w14:schemeClr w14:val="tx1"/>
                  </w14:solidFill>
                </w14:textFill>
              </w:rPr>
              <w:t>、危废贮存点均位于成品库</w:t>
            </w:r>
            <w:r>
              <w:rPr>
                <w:rFonts w:hint="eastAsia"/>
                <w:color w:val="000000" w:themeColor="text1"/>
                <w:sz w:val="24"/>
                <w:highlight w:val="none"/>
                <w:lang w:val="en-US" w:eastAsia="zh-CN"/>
                <w14:textFill>
                  <w14:solidFill>
                    <w14:schemeClr w14:val="tx1"/>
                  </w14:solidFill>
                </w14:textFill>
              </w:rPr>
              <w:t>内</w:t>
            </w:r>
            <w:r>
              <w:rPr>
                <w:rFonts w:hint="eastAsia"/>
                <w:color w:val="000000" w:themeColor="text1"/>
                <w:sz w:val="24"/>
                <w:highlight w:val="none"/>
                <w14:textFill>
                  <w14:solidFill>
                    <w14:schemeClr w14:val="tx1"/>
                  </w14:solidFill>
                </w14:textFill>
              </w:rPr>
              <w:t>西</w:t>
            </w:r>
            <w:r>
              <w:rPr>
                <w:rFonts w:hint="eastAsia"/>
                <w:color w:val="000000" w:themeColor="text1"/>
                <w:sz w:val="24"/>
                <w:highlight w:val="none"/>
                <w:lang w:val="en-US" w:eastAsia="zh-CN"/>
                <w14:textFill>
                  <w14:solidFill>
                    <w14:schemeClr w14:val="tx1"/>
                  </w14:solidFill>
                </w14:textFill>
              </w:rPr>
              <w:t>南</w:t>
            </w:r>
            <w:r>
              <w:rPr>
                <w:rFonts w:hint="eastAsia"/>
                <w:color w:val="000000" w:themeColor="text1"/>
                <w:sz w:val="24"/>
                <w:highlight w:val="none"/>
                <w14:textFill>
                  <w14:solidFill>
                    <w14:schemeClr w14:val="tx1"/>
                  </w14:solidFill>
                </w14:textFill>
              </w:rPr>
              <w:t>侧。</w:t>
            </w:r>
            <w:r>
              <w:rPr>
                <w:color w:val="000000" w:themeColor="text1"/>
                <w:sz w:val="24"/>
                <w:highlight w:val="none"/>
                <w14:textFill>
                  <w14:solidFill>
                    <w14:schemeClr w14:val="tx1"/>
                  </w14:solidFill>
                </w14:textFill>
              </w:rPr>
              <w:t>生产车间工艺</w:t>
            </w:r>
            <w:r>
              <w:rPr>
                <w:color w:val="000000" w:themeColor="text1"/>
                <w:kern w:val="0"/>
                <w:sz w:val="24"/>
                <w:highlight w:val="none"/>
                <w:lang w:bidi="ar"/>
                <w14:textFill>
                  <w14:solidFill>
                    <w14:schemeClr w14:val="tx1"/>
                  </w14:solidFill>
                </w14:textFill>
              </w:rPr>
              <w:t>短捷、物流顺畅、布局合理紧凑、节约用地；从工艺、节约用地和环保角度分析，项目的厂区平面布置较为合理。项目厂区平面布置图见附图4。</w:t>
            </w:r>
          </w:p>
        </w:tc>
      </w:tr>
      <w:tr w14:paraId="56E5DF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23" w:type="dxa"/>
            <w:vAlign w:val="center"/>
          </w:tcPr>
          <w:p w14:paraId="3DB555D4">
            <w:pPr>
              <w:pStyle w:val="16"/>
              <w:adjustRightInd w:val="0"/>
              <w:snapToGrid w:val="0"/>
              <w:spacing w:before="0" w:beforeAutospacing="0" w:after="0" w:afterAutospacing="0"/>
              <w:jc w:val="center"/>
              <w:rPr>
                <w:rFonts w:cs="宋体"/>
                <w:color w:val="000000" w:themeColor="text1"/>
                <w:sz w:val="21"/>
                <w:szCs w:val="21"/>
                <w:highlight w:val="none"/>
                <w14:textFill>
                  <w14:solidFill>
                    <w14:schemeClr w14:val="tx1"/>
                  </w14:solidFill>
                </w14:textFill>
              </w:rPr>
            </w:pPr>
            <w:r>
              <w:rPr>
                <w:rFonts w:hint="eastAsia" w:cs="宋体"/>
                <w:color w:val="000000" w:themeColor="text1"/>
                <w:sz w:val="21"/>
                <w:szCs w:val="21"/>
                <w:highlight w:val="none"/>
                <w14:textFill>
                  <w14:solidFill>
                    <w14:schemeClr w14:val="tx1"/>
                  </w14:solidFill>
                </w14:textFill>
              </w:rPr>
              <w:t>工艺流程和产排污环节</w:t>
            </w:r>
          </w:p>
        </w:tc>
        <w:tc>
          <w:tcPr>
            <w:tcW w:w="8161" w:type="dxa"/>
          </w:tcPr>
          <w:p w14:paraId="2E4B6EFD">
            <w:pPr>
              <w:adjustRightInd w:val="0"/>
              <w:snapToGrid w:val="0"/>
              <w:spacing w:line="360" w:lineRule="auto"/>
              <w:rPr>
                <w:color w:val="auto"/>
                <w:sz w:val="24"/>
                <w:highlight w:val="none"/>
              </w:rPr>
            </w:pPr>
            <w:r>
              <w:rPr>
                <w:rFonts w:hint="eastAsia"/>
                <w:color w:val="auto"/>
                <w:sz w:val="24"/>
                <w:highlight w:val="none"/>
              </w:rPr>
              <w:t>一、施工期施工流程：</w:t>
            </w:r>
          </w:p>
          <w:p w14:paraId="7C9B23B4">
            <w:pPr>
              <w:spacing w:line="360" w:lineRule="auto"/>
              <w:ind w:firstLine="482" w:firstLineChars="200"/>
              <w:rPr>
                <w:b/>
                <w:bCs/>
                <w:color w:val="auto"/>
                <w:sz w:val="24"/>
                <w:highlight w:val="none"/>
              </w:rPr>
            </w:pPr>
            <w:r>
              <w:rPr>
                <w:b/>
                <w:bCs/>
                <w:color w:val="auto"/>
                <w:sz w:val="24"/>
                <w:highlight w:val="none"/>
              </w:rPr>
              <w:t>工艺流程简述（图示）：</w:t>
            </w:r>
          </w:p>
          <w:p w14:paraId="6282DB2C">
            <w:pPr>
              <w:pStyle w:val="7"/>
              <w:rPr>
                <w:b/>
                <w:bCs/>
                <w:color w:val="auto"/>
                <w:sz w:val="24"/>
                <w:highlight w:val="none"/>
              </w:rPr>
            </w:pPr>
          </w:p>
          <w:p w14:paraId="1240A6B8">
            <w:pPr>
              <w:pStyle w:val="7"/>
              <w:rPr>
                <w:b/>
                <w:bCs/>
                <w:color w:val="auto"/>
                <w:sz w:val="24"/>
                <w:highlight w:val="none"/>
              </w:rPr>
            </w:pPr>
          </w:p>
          <w:p w14:paraId="2D096113">
            <w:pPr>
              <w:jc w:val="center"/>
              <w:rPr>
                <w:color w:val="auto"/>
                <w:highlight w:val="none"/>
              </w:rPr>
            </w:pPr>
            <w:r>
              <w:rPr>
                <w:rFonts w:hint="eastAsia"/>
                <w:color w:val="auto"/>
                <w:highlight w:val="none"/>
              </w:rPr>
              <w:drawing>
                <wp:inline distT="0" distB="0" distL="114300" distR="114300">
                  <wp:extent cx="3385820" cy="2952115"/>
                  <wp:effectExtent l="0" t="0" r="12700" b="4445"/>
                  <wp:docPr id="44" name="图片 44" descr="施工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施工期"/>
                          <pic:cNvPicPr>
                            <a:picLocks noChangeAspect="1"/>
                          </pic:cNvPicPr>
                        </pic:nvPicPr>
                        <pic:blipFill>
                          <a:blip r:embed="rId19"/>
                          <a:stretch>
                            <a:fillRect/>
                          </a:stretch>
                        </pic:blipFill>
                        <pic:spPr>
                          <a:xfrm>
                            <a:off x="0" y="0"/>
                            <a:ext cx="3385820" cy="2952115"/>
                          </a:xfrm>
                          <a:prstGeom prst="rect">
                            <a:avLst/>
                          </a:prstGeom>
                        </pic:spPr>
                      </pic:pic>
                    </a:graphicData>
                  </a:graphic>
                </wp:inline>
              </w:drawing>
            </w:r>
          </w:p>
          <w:p w14:paraId="5E75B88B">
            <w:pPr>
              <w:spacing w:line="360" w:lineRule="auto"/>
              <w:jc w:val="center"/>
              <w:rPr>
                <w:b/>
                <w:bCs/>
                <w:color w:val="auto"/>
                <w:szCs w:val="21"/>
                <w:highlight w:val="none"/>
              </w:rPr>
            </w:pPr>
            <w:r>
              <w:rPr>
                <w:b/>
                <w:bCs/>
                <w:color w:val="auto"/>
                <w:szCs w:val="21"/>
                <w:highlight w:val="none"/>
              </w:rPr>
              <w:t>图</w:t>
            </w:r>
            <w:r>
              <w:rPr>
                <w:rFonts w:hint="eastAsia"/>
                <w:b/>
                <w:bCs/>
                <w:color w:val="auto"/>
                <w:szCs w:val="21"/>
                <w:highlight w:val="none"/>
              </w:rPr>
              <w:t>2-2</w:t>
            </w:r>
            <w:r>
              <w:rPr>
                <w:b/>
                <w:bCs/>
                <w:color w:val="auto"/>
                <w:szCs w:val="21"/>
                <w:highlight w:val="none"/>
              </w:rPr>
              <w:t xml:space="preserve"> </w:t>
            </w:r>
            <w:r>
              <w:rPr>
                <w:rFonts w:hint="eastAsia"/>
                <w:b/>
                <w:bCs/>
                <w:color w:val="auto"/>
                <w:szCs w:val="21"/>
                <w:highlight w:val="none"/>
              </w:rPr>
              <w:t>施工期</w:t>
            </w:r>
            <w:r>
              <w:rPr>
                <w:b/>
                <w:bCs/>
                <w:color w:val="auto"/>
                <w:szCs w:val="21"/>
                <w:highlight w:val="none"/>
              </w:rPr>
              <w:t>工艺流程及主要产</w:t>
            </w:r>
            <w:r>
              <w:rPr>
                <w:rFonts w:hint="eastAsia"/>
                <w:b/>
                <w:bCs/>
                <w:color w:val="auto"/>
                <w:szCs w:val="21"/>
                <w:highlight w:val="none"/>
              </w:rPr>
              <w:t>污</w:t>
            </w:r>
            <w:r>
              <w:rPr>
                <w:b/>
                <w:bCs/>
                <w:color w:val="auto"/>
                <w:szCs w:val="21"/>
                <w:highlight w:val="none"/>
              </w:rPr>
              <w:t>节点图</w:t>
            </w:r>
          </w:p>
          <w:p w14:paraId="36864319">
            <w:pPr>
              <w:spacing w:line="360" w:lineRule="auto"/>
              <w:jc w:val="center"/>
              <w:rPr>
                <w:b/>
                <w:bCs/>
                <w:color w:val="auto"/>
                <w:szCs w:val="21"/>
                <w:highlight w:val="none"/>
              </w:rPr>
            </w:pPr>
            <w:r>
              <w:rPr>
                <w:rFonts w:hint="eastAsia"/>
                <w:b/>
                <w:bCs/>
                <w:color w:val="auto"/>
                <w:szCs w:val="21"/>
                <w:highlight w:val="none"/>
              </w:rPr>
              <w:t>（</w:t>
            </w:r>
            <w:r>
              <w:rPr>
                <w:b/>
                <w:bCs/>
                <w:color w:val="auto"/>
                <w:szCs w:val="21"/>
                <w:highlight w:val="none"/>
              </w:rPr>
              <w:t>注：g</w:t>
            </w:r>
            <w:r>
              <w:rPr>
                <w:rFonts w:hint="eastAsia"/>
                <w:b/>
                <w:bCs/>
                <w:color w:val="auto"/>
                <w:szCs w:val="21"/>
                <w:highlight w:val="none"/>
              </w:rPr>
              <w:t>-废气；</w:t>
            </w:r>
            <w:r>
              <w:rPr>
                <w:b/>
                <w:bCs/>
                <w:color w:val="auto"/>
                <w:szCs w:val="21"/>
                <w:highlight w:val="none"/>
              </w:rPr>
              <w:t>w</w:t>
            </w:r>
            <w:r>
              <w:rPr>
                <w:rFonts w:hint="eastAsia"/>
                <w:b/>
                <w:bCs/>
                <w:color w:val="auto"/>
                <w:szCs w:val="21"/>
                <w:highlight w:val="none"/>
              </w:rPr>
              <w:t>-</w:t>
            </w:r>
            <w:r>
              <w:rPr>
                <w:b/>
                <w:bCs/>
                <w:color w:val="auto"/>
                <w:szCs w:val="21"/>
                <w:highlight w:val="none"/>
              </w:rPr>
              <w:t>废水</w:t>
            </w:r>
            <w:r>
              <w:rPr>
                <w:rFonts w:hint="eastAsia"/>
                <w:b/>
                <w:bCs/>
                <w:color w:val="auto"/>
                <w:szCs w:val="21"/>
                <w:highlight w:val="none"/>
              </w:rPr>
              <w:t>；</w:t>
            </w:r>
            <w:r>
              <w:rPr>
                <w:b/>
                <w:bCs/>
                <w:color w:val="auto"/>
                <w:szCs w:val="21"/>
                <w:highlight w:val="none"/>
              </w:rPr>
              <w:t>n</w:t>
            </w:r>
            <w:r>
              <w:rPr>
                <w:rFonts w:hint="eastAsia"/>
                <w:b/>
                <w:bCs/>
                <w:color w:val="auto"/>
                <w:szCs w:val="21"/>
                <w:highlight w:val="none"/>
              </w:rPr>
              <w:t>-</w:t>
            </w:r>
            <w:r>
              <w:rPr>
                <w:b/>
                <w:bCs/>
                <w:color w:val="auto"/>
                <w:szCs w:val="21"/>
                <w:highlight w:val="none"/>
              </w:rPr>
              <w:t>噪声</w:t>
            </w:r>
            <w:r>
              <w:rPr>
                <w:rFonts w:hint="eastAsia"/>
                <w:b/>
                <w:bCs/>
                <w:color w:val="auto"/>
                <w:szCs w:val="21"/>
                <w:highlight w:val="none"/>
              </w:rPr>
              <w:t>；</w:t>
            </w:r>
            <w:r>
              <w:rPr>
                <w:b/>
                <w:bCs/>
                <w:color w:val="auto"/>
                <w:szCs w:val="21"/>
                <w:highlight w:val="none"/>
              </w:rPr>
              <w:t>s</w:t>
            </w:r>
            <w:r>
              <w:rPr>
                <w:rFonts w:hint="eastAsia"/>
                <w:b/>
                <w:bCs/>
                <w:color w:val="auto"/>
                <w:szCs w:val="21"/>
                <w:highlight w:val="none"/>
              </w:rPr>
              <w:t>-固废）</w:t>
            </w:r>
          </w:p>
          <w:p w14:paraId="52F0019C">
            <w:pPr>
              <w:adjustRightInd w:val="0"/>
              <w:snapToGrid w:val="0"/>
              <w:spacing w:line="360" w:lineRule="auto"/>
              <w:ind w:firstLine="480" w:firstLineChars="200"/>
              <w:rPr>
                <w:color w:val="auto"/>
                <w:sz w:val="24"/>
                <w:highlight w:val="none"/>
              </w:rPr>
            </w:pPr>
            <w:r>
              <w:rPr>
                <w:color w:val="auto"/>
                <w:sz w:val="24"/>
                <w:highlight w:val="none"/>
              </w:rPr>
              <w:t>本项目计划于</w:t>
            </w:r>
            <w:r>
              <w:rPr>
                <w:rFonts w:hint="eastAsia"/>
                <w:color w:val="auto"/>
                <w:sz w:val="24"/>
                <w:highlight w:val="none"/>
              </w:rPr>
              <w:t>拟</w:t>
            </w:r>
            <w:r>
              <w:rPr>
                <w:color w:val="auto"/>
                <w:sz w:val="24"/>
                <w:highlight w:val="none"/>
              </w:rPr>
              <w:t>施工周期为</w:t>
            </w:r>
            <w:r>
              <w:rPr>
                <w:rFonts w:hint="eastAsia"/>
                <w:color w:val="auto"/>
                <w:sz w:val="24"/>
                <w:highlight w:val="none"/>
              </w:rPr>
              <w:t>2个</w:t>
            </w:r>
            <w:r>
              <w:rPr>
                <w:color w:val="auto"/>
                <w:sz w:val="24"/>
                <w:highlight w:val="none"/>
              </w:rPr>
              <w:t>月，施工人员约</w:t>
            </w:r>
            <w:r>
              <w:rPr>
                <w:rFonts w:hint="eastAsia"/>
                <w:color w:val="auto"/>
                <w:sz w:val="24"/>
                <w:highlight w:val="none"/>
              </w:rPr>
              <w:t>5</w:t>
            </w:r>
            <w:r>
              <w:rPr>
                <w:color w:val="auto"/>
                <w:sz w:val="24"/>
                <w:highlight w:val="none"/>
              </w:rPr>
              <w:t>人，不设置施工营地</w:t>
            </w:r>
            <w:r>
              <w:rPr>
                <w:rFonts w:hint="eastAsia"/>
                <w:color w:val="auto"/>
                <w:sz w:val="24"/>
                <w:highlight w:val="none"/>
              </w:rPr>
              <w:t>。</w:t>
            </w:r>
            <w:r>
              <w:rPr>
                <w:color w:val="auto"/>
                <w:sz w:val="24"/>
                <w:highlight w:val="none"/>
              </w:rPr>
              <w:t>施工期主要产生污染物为废气、废水、噪声、</w:t>
            </w:r>
            <w:r>
              <w:rPr>
                <w:rFonts w:hint="eastAsia"/>
                <w:color w:val="auto"/>
                <w:sz w:val="24"/>
                <w:highlight w:val="none"/>
              </w:rPr>
              <w:t>固体废物</w:t>
            </w:r>
            <w:r>
              <w:rPr>
                <w:color w:val="auto"/>
                <w:sz w:val="24"/>
                <w:highlight w:val="none"/>
              </w:rPr>
              <w:t>。</w:t>
            </w:r>
          </w:p>
          <w:p w14:paraId="6F6FF800">
            <w:pPr>
              <w:adjustRightInd w:val="0"/>
              <w:snapToGrid w:val="0"/>
              <w:spacing w:line="360" w:lineRule="auto"/>
              <w:ind w:firstLine="480" w:firstLineChars="200"/>
              <w:rPr>
                <w:color w:val="auto"/>
                <w:sz w:val="24"/>
                <w:highlight w:val="none"/>
              </w:rPr>
            </w:pPr>
            <w:r>
              <w:rPr>
                <w:color w:val="auto"/>
                <w:sz w:val="24"/>
                <w:highlight w:val="none"/>
              </w:rPr>
              <w:t>1、废气：施工期大气污染物主要为挖土、运土、夯实和汽车运输过程中产生的扬尘（g</w:t>
            </w:r>
            <w:r>
              <w:rPr>
                <w:rFonts w:hint="eastAsia"/>
                <w:color w:val="auto"/>
                <w:sz w:val="24"/>
                <w:highlight w:val="none"/>
                <w:vertAlign w:val="subscript"/>
              </w:rPr>
              <w:t>1</w:t>
            </w:r>
            <w:r>
              <w:rPr>
                <w:color w:val="auto"/>
                <w:sz w:val="24"/>
                <w:highlight w:val="none"/>
              </w:rPr>
              <w:t>）</w:t>
            </w:r>
            <w:r>
              <w:rPr>
                <w:rFonts w:hint="eastAsia"/>
                <w:color w:val="auto"/>
                <w:sz w:val="24"/>
                <w:highlight w:val="none"/>
              </w:rPr>
              <w:t>和施工机械、车辆产生的燃油废气（g</w:t>
            </w:r>
            <w:r>
              <w:rPr>
                <w:rFonts w:hint="eastAsia"/>
                <w:color w:val="auto"/>
                <w:sz w:val="24"/>
                <w:highlight w:val="none"/>
                <w:vertAlign w:val="subscript"/>
              </w:rPr>
              <w:t>2</w:t>
            </w:r>
            <w:r>
              <w:rPr>
                <w:rFonts w:hint="eastAsia"/>
                <w:color w:val="auto"/>
                <w:sz w:val="24"/>
                <w:highlight w:val="none"/>
              </w:rPr>
              <w:t>）。</w:t>
            </w:r>
          </w:p>
          <w:p w14:paraId="5EFEBD0C">
            <w:pPr>
              <w:adjustRightInd w:val="0"/>
              <w:snapToGrid w:val="0"/>
              <w:spacing w:line="360" w:lineRule="auto"/>
              <w:ind w:firstLine="480" w:firstLineChars="200"/>
              <w:rPr>
                <w:color w:val="auto"/>
                <w:sz w:val="24"/>
                <w:highlight w:val="none"/>
              </w:rPr>
            </w:pPr>
            <w:r>
              <w:rPr>
                <w:color w:val="auto"/>
                <w:sz w:val="24"/>
                <w:highlight w:val="none"/>
              </w:rPr>
              <w:t>2、废水：施工期废水主要为施工废水（w</w:t>
            </w:r>
            <w:r>
              <w:rPr>
                <w:color w:val="auto"/>
                <w:sz w:val="24"/>
                <w:highlight w:val="none"/>
                <w:vertAlign w:val="subscript"/>
              </w:rPr>
              <w:t>1</w:t>
            </w:r>
            <w:r>
              <w:rPr>
                <w:color w:val="auto"/>
                <w:sz w:val="24"/>
                <w:highlight w:val="none"/>
              </w:rPr>
              <w:t>）、施工人员生活污水（w</w:t>
            </w:r>
            <w:r>
              <w:rPr>
                <w:color w:val="auto"/>
                <w:sz w:val="24"/>
                <w:highlight w:val="none"/>
                <w:vertAlign w:val="subscript"/>
              </w:rPr>
              <w:t>2</w:t>
            </w:r>
            <w:r>
              <w:rPr>
                <w:color w:val="auto"/>
                <w:sz w:val="24"/>
                <w:highlight w:val="none"/>
              </w:rPr>
              <w:t>）等。</w:t>
            </w:r>
          </w:p>
          <w:p w14:paraId="1C43C85F">
            <w:pPr>
              <w:adjustRightInd w:val="0"/>
              <w:snapToGrid w:val="0"/>
              <w:spacing w:line="360" w:lineRule="auto"/>
              <w:ind w:firstLine="480" w:firstLineChars="200"/>
              <w:rPr>
                <w:color w:val="auto"/>
                <w:sz w:val="24"/>
                <w:highlight w:val="none"/>
              </w:rPr>
            </w:pPr>
            <w:r>
              <w:rPr>
                <w:color w:val="auto"/>
                <w:sz w:val="24"/>
                <w:highlight w:val="none"/>
              </w:rPr>
              <w:t>3、噪声：施工期噪声主要为施工机械和运输车辆产生的噪声（n），对环境影响较大的机械主要有装载机、压路机、推土机、挖掘机和载重车等。</w:t>
            </w:r>
          </w:p>
          <w:p w14:paraId="756537A2">
            <w:pPr>
              <w:spacing w:line="360" w:lineRule="auto"/>
              <w:ind w:firstLine="480" w:firstLineChars="200"/>
              <w:rPr>
                <w:color w:val="auto"/>
                <w:highlight w:val="none"/>
              </w:rPr>
            </w:pPr>
            <w:r>
              <w:rPr>
                <w:color w:val="auto"/>
                <w:sz w:val="24"/>
                <w:highlight w:val="none"/>
              </w:rPr>
              <w:t>4、固体废物：施工期产生的固体废物主要为建筑垃圾（s</w:t>
            </w:r>
            <w:r>
              <w:rPr>
                <w:rFonts w:hint="eastAsia"/>
                <w:color w:val="auto"/>
                <w:sz w:val="24"/>
                <w:highlight w:val="none"/>
                <w:vertAlign w:val="subscript"/>
              </w:rPr>
              <w:t>1</w:t>
            </w:r>
            <w:r>
              <w:rPr>
                <w:color w:val="auto"/>
                <w:sz w:val="24"/>
                <w:highlight w:val="none"/>
              </w:rPr>
              <w:t>）及施工人员生活垃圾（s</w:t>
            </w:r>
            <w:r>
              <w:rPr>
                <w:rFonts w:hint="eastAsia"/>
                <w:color w:val="auto"/>
                <w:sz w:val="24"/>
                <w:highlight w:val="none"/>
                <w:vertAlign w:val="subscript"/>
              </w:rPr>
              <w:t>2</w:t>
            </w:r>
            <w:r>
              <w:rPr>
                <w:color w:val="auto"/>
                <w:sz w:val="24"/>
                <w:highlight w:val="none"/>
              </w:rPr>
              <w:t>）。</w:t>
            </w:r>
          </w:p>
          <w:p w14:paraId="24FD7E97">
            <w:pPr>
              <w:pStyle w:val="13"/>
              <w:spacing w:line="360" w:lineRule="auto"/>
              <w:rPr>
                <w:color w:val="auto"/>
                <w:sz w:val="24"/>
                <w:szCs w:val="24"/>
                <w:highlight w:val="none"/>
              </w:rPr>
            </w:pPr>
            <w:r>
              <w:rPr>
                <w:color w:val="auto"/>
                <w:sz w:val="24"/>
                <w:szCs w:val="24"/>
                <w:highlight w:val="none"/>
              </w:rPr>
              <w:t>二、运营期：</w:t>
            </w:r>
          </w:p>
          <w:p w14:paraId="5C2F655E">
            <w:pPr>
              <w:adjustRightInd w:val="0"/>
              <w:snapToGrid w:val="0"/>
              <w:spacing w:line="360" w:lineRule="auto"/>
              <w:rPr>
                <w:color w:val="auto"/>
                <w:sz w:val="24"/>
                <w:highlight w:val="none"/>
              </w:rPr>
            </w:pPr>
            <w:r>
              <w:rPr>
                <w:color w:val="auto"/>
                <w:sz w:val="24"/>
                <w:highlight w:val="none"/>
              </w:rPr>
              <w:t>（一）工艺流程简述</w:t>
            </w:r>
          </w:p>
          <w:p w14:paraId="485169AD">
            <w:pPr>
              <w:widowControl/>
              <w:spacing w:line="360" w:lineRule="auto"/>
              <w:ind w:firstLine="480" w:firstLineChars="200"/>
              <w:rPr>
                <w:color w:val="auto"/>
                <w:sz w:val="24"/>
                <w:highlight w:val="none"/>
              </w:rPr>
            </w:pPr>
            <w:r>
              <w:rPr>
                <w:color w:val="auto"/>
                <w:kern w:val="0"/>
                <w:sz w:val="24"/>
                <w:highlight w:val="none"/>
                <w:lang w:bidi="ar"/>
              </w:rPr>
              <w:t>本项目</w:t>
            </w:r>
            <w:r>
              <w:rPr>
                <w:rFonts w:hint="eastAsia"/>
                <w:color w:val="auto"/>
                <w:kern w:val="0"/>
                <w:sz w:val="24"/>
                <w:highlight w:val="none"/>
                <w:lang w:eastAsia="zh-CN" w:bidi="ar"/>
              </w:rPr>
              <w:t>以</w:t>
            </w:r>
            <w:r>
              <w:rPr>
                <w:rFonts w:hint="eastAsia"/>
                <w:color w:val="auto"/>
                <w:kern w:val="0"/>
                <w:sz w:val="24"/>
                <w:highlight w:val="none"/>
                <w:lang w:val="en-US" w:eastAsia="zh-CN" w:bidi="ar"/>
              </w:rPr>
              <w:t>花岗岩为原料，进行碎石加工，拟</w:t>
            </w:r>
            <w:r>
              <w:rPr>
                <w:color w:val="auto"/>
                <w:kern w:val="0"/>
                <w:sz w:val="24"/>
                <w:highlight w:val="none"/>
                <w:lang w:bidi="ar"/>
              </w:rPr>
              <w:t>新建一条</w:t>
            </w:r>
            <w:r>
              <w:rPr>
                <w:rFonts w:hint="eastAsia"/>
                <w:color w:val="auto"/>
                <w:kern w:val="0"/>
                <w:sz w:val="24"/>
                <w:highlight w:val="none"/>
                <w:lang w:val="en-US" w:eastAsia="zh-CN" w:bidi="ar"/>
              </w:rPr>
              <w:t>碎石</w:t>
            </w:r>
            <w:r>
              <w:rPr>
                <w:color w:val="auto"/>
                <w:kern w:val="0"/>
                <w:sz w:val="24"/>
                <w:highlight w:val="none"/>
                <w:lang w:bidi="ar"/>
              </w:rPr>
              <w:t>生产线，具体生产工艺</w:t>
            </w:r>
            <w:r>
              <w:rPr>
                <w:rFonts w:hint="eastAsia"/>
                <w:color w:val="auto"/>
                <w:kern w:val="0"/>
                <w:sz w:val="24"/>
                <w:highlight w:val="none"/>
                <w:lang w:bidi="ar"/>
              </w:rPr>
              <w:t>简述</w:t>
            </w:r>
            <w:r>
              <w:rPr>
                <w:color w:val="auto"/>
                <w:kern w:val="0"/>
                <w:sz w:val="24"/>
                <w:highlight w:val="none"/>
                <w:lang w:bidi="ar"/>
              </w:rPr>
              <w:t>如下：</w:t>
            </w:r>
          </w:p>
          <w:p w14:paraId="008C7354">
            <w:pPr>
              <w:keepNext w:val="0"/>
              <w:keepLines w:val="0"/>
              <w:widowControl/>
              <w:suppressLineNumbers w:val="0"/>
              <w:spacing w:line="360" w:lineRule="auto"/>
              <w:ind w:firstLine="480" w:firstLineChars="200"/>
              <w:jc w:val="left"/>
              <w:rPr>
                <w:rFonts w:hint="default" w:ascii="Times New Roman" w:hAnsi="Times New Roman" w:cs="Times New Roman"/>
                <w:color w:val="auto"/>
                <w:sz w:val="24"/>
                <w:szCs w:val="24"/>
                <w:highlight w:val="none"/>
              </w:rPr>
            </w:pPr>
            <w:r>
              <w:rPr>
                <w:rFonts w:hint="default" w:ascii="Times New Roman" w:hAnsi="Times New Roman" w:eastAsia="宋体" w:cs="Times New Roman"/>
                <w:color w:val="FF0000"/>
                <w:kern w:val="0"/>
                <w:sz w:val="24"/>
                <w:szCs w:val="24"/>
                <w:highlight w:val="none"/>
                <w:lang w:val="en-US" w:eastAsia="zh-CN" w:bidi="ar"/>
              </w:rPr>
              <w:t>1、</w:t>
            </w:r>
            <w:r>
              <w:rPr>
                <w:rFonts w:hint="eastAsia" w:cs="Times New Roman"/>
                <w:color w:val="FF0000"/>
                <w:kern w:val="0"/>
                <w:sz w:val="24"/>
                <w:szCs w:val="24"/>
                <w:highlight w:val="none"/>
                <w:lang w:val="en-US" w:eastAsia="zh-CN" w:bidi="ar"/>
              </w:rPr>
              <w:t>原料厂内运输、</w:t>
            </w:r>
            <w:r>
              <w:rPr>
                <w:rFonts w:hint="default" w:ascii="Times New Roman" w:hAnsi="Times New Roman" w:eastAsia="宋体" w:cs="Times New Roman"/>
                <w:color w:val="FF0000"/>
                <w:kern w:val="0"/>
                <w:sz w:val="24"/>
                <w:szCs w:val="24"/>
                <w:highlight w:val="none"/>
                <w:lang w:val="en-US" w:eastAsia="zh-CN" w:bidi="ar"/>
              </w:rPr>
              <w:t>卸料上料：项目原料碎</w:t>
            </w:r>
            <w:r>
              <w:rPr>
                <w:rFonts w:hint="eastAsia" w:cs="Times New Roman"/>
                <w:color w:val="FF0000"/>
                <w:kern w:val="0"/>
                <w:sz w:val="24"/>
                <w:szCs w:val="24"/>
                <w:highlight w:val="none"/>
                <w:lang w:val="en-US" w:eastAsia="zh-CN" w:bidi="ar"/>
              </w:rPr>
              <w:t>石</w:t>
            </w:r>
            <w:r>
              <w:rPr>
                <w:rFonts w:hint="eastAsia" w:ascii="Times New Roman" w:hAnsi="Times New Roman" w:eastAsia="宋体" w:cs="Times New Roman"/>
                <w:color w:val="FF0000"/>
                <w:kern w:val="0"/>
                <w:sz w:val="24"/>
                <w:szCs w:val="24"/>
                <w:highlight w:val="none"/>
                <w:lang w:val="en-US" w:eastAsia="zh-CN" w:bidi="ar"/>
              </w:rPr>
              <w:t>通过厂外</w:t>
            </w:r>
            <w:r>
              <w:rPr>
                <w:rFonts w:hint="eastAsia" w:cs="Times New Roman"/>
                <w:color w:val="FF0000"/>
                <w:kern w:val="0"/>
                <w:sz w:val="24"/>
                <w:szCs w:val="24"/>
                <w:highlight w:val="none"/>
                <w:lang w:val="en-US" w:eastAsia="zh-CN" w:bidi="ar"/>
              </w:rPr>
              <w:t>3</w:t>
            </w:r>
            <w:r>
              <w:rPr>
                <w:rFonts w:hint="eastAsia" w:ascii="Times New Roman" w:hAnsi="Times New Roman" w:eastAsia="宋体" w:cs="Times New Roman"/>
                <w:color w:val="FF0000"/>
                <w:kern w:val="0"/>
                <w:sz w:val="24"/>
                <w:szCs w:val="24"/>
                <w:highlight w:val="none"/>
                <w:lang w:val="en-US" w:eastAsia="zh-CN" w:bidi="ar"/>
              </w:rPr>
              <w:t>0t</w:t>
            </w:r>
            <w:r>
              <w:rPr>
                <w:rFonts w:hint="default" w:ascii="Times New Roman" w:hAnsi="Times New Roman" w:eastAsia="宋体" w:cs="Times New Roman"/>
                <w:color w:val="FF0000"/>
                <w:kern w:val="0"/>
                <w:sz w:val="24"/>
                <w:szCs w:val="24"/>
                <w:highlight w:val="none"/>
                <w:lang w:val="en-US" w:eastAsia="zh-CN" w:bidi="ar"/>
              </w:rPr>
              <w:t>卡车</w:t>
            </w:r>
            <w:r>
              <w:rPr>
                <w:rFonts w:hint="eastAsia" w:cs="Times New Roman"/>
                <w:color w:val="FF0000"/>
                <w:kern w:val="0"/>
                <w:sz w:val="24"/>
                <w:szCs w:val="24"/>
                <w:highlight w:val="none"/>
                <w:lang w:val="en-US" w:eastAsia="zh-CN" w:bidi="ar"/>
              </w:rPr>
              <w:t>经由厂区出入口清洗平台</w:t>
            </w:r>
            <w:r>
              <w:rPr>
                <w:rFonts w:hint="default" w:ascii="Times New Roman" w:hAnsi="Times New Roman" w:eastAsia="宋体" w:cs="Times New Roman"/>
                <w:color w:val="FF0000"/>
                <w:kern w:val="0"/>
                <w:sz w:val="24"/>
                <w:szCs w:val="24"/>
                <w:highlight w:val="none"/>
                <w:lang w:val="en-US" w:eastAsia="zh-CN" w:bidi="ar"/>
              </w:rPr>
              <w:t>运送至</w:t>
            </w:r>
            <w:r>
              <w:rPr>
                <w:rFonts w:hint="eastAsia" w:cs="Times New Roman"/>
                <w:color w:val="FF0000"/>
                <w:kern w:val="0"/>
                <w:sz w:val="24"/>
                <w:szCs w:val="24"/>
                <w:highlight w:val="none"/>
                <w:lang w:val="en-US" w:eastAsia="zh-CN" w:bidi="ar"/>
              </w:rPr>
              <w:t>原料区</w:t>
            </w:r>
            <w:r>
              <w:rPr>
                <w:rFonts w:hint="default" w:ascii="Times New Roman" w:hAnsi="Times New Roman" w:eastAsia="宋体" w:cs="Times New Roman"/>
                <w:color w:val="FF0000"/>
                <w:kern w:val="0"/>
                <w:sz w:val="24"/>
                <w:szCs w:val="24"/>
                <w:highlight w:val="none"/>
                <w:lang w:val="en-US" w:eastAsia="zh-CN" w:bidi="ar"/>
              </w:rPr>
              <w:t>，</w:t>
            </w:r>
            <w:r>
              <w:rPr>
                <w:rFonts w:hint="eastAsia" w:cs="Times New Roman"/>
                <w:color w:val="FF0000"/>
                <w:kern w:val="0"/>
                <w:sz w:val="24"/>
                <w:szCs w:val="24"/>
                <w:highlight w:val="none"/>
                <w:lang w:val="en-US" w:eastAsia="zh-CN" w:bidi="ar"/>
              </w:rPr>
              <w:t>洗车平台下方设置沉淀池，车辆清洗废水W1经沉淀池沉淀后循环利用，沉淀池泥渣S1定时清出，</w:t>
            </w:r>
            <w:r>
              <w:rPr>
                <w:rFonts w:hint="eastAsia" w:cs="Times New Roman"/>
                <w:color w:val="FF0000"/>
                <w:kern w:val="0"/>
                <w:sz w:val="24"/>
                <w:szCs w:val="24"/>
                <w:highlight w:val="none"/>
                <w:lang w:val="en-US" w:eastAsia="zh-CN" w:bidi="ar"/>
              </w:rPr>
              <w:t>统一收集经沥水筛沥水后运到成品库，</w:t>
            </w:r>
            <w:r>
              <w:rPr>
                <w:rFonts w:hint="eastAsia" w:cs="Times New Roman"/>
                <w:color w:val="FF0000"/>
                <w:kern w:val="0"/>
                <w:sz w:val="24"/>
                <w:szCs w:val="24"/>
                <w:highlight w:val="none"/>
                <w:lang w:val="en-US" w:eastAsia="zh-CN" w:bidi="ar"/>
              </w:rPr>
              <w:t>随产品外售综合利用，</w:t>
            </w:r>
            <w:r>
              <w:rPr>
                <w:rFonts w:hint="eastAsia" w:cs="Times New Roman"/>
                <w:color w:val="auto"/>
                <w:kern w:val="0"/>
                <w:sz w:val="24"/>
                <w:szCs w:val="24"/>
                <w:highlight w:val="none"/>
                <w:lang w:val="en-US" w:eastAsia="zh-CN" w:bidi="ar"/>
              </w:rPr>
              <w:t>原料区内原料</w:t>
            </w:r>
            <w:r>
              <w:rPr>
                <w:rFonts w:hint="eastAsia" w:ascii="Times New Roman" w:hAnsi="Times New Roman" w:eastAsia="宋体" w:cs="Times New Roman"/>
                <w:color w:val="auto"/>
                <w:kern w:val="0"/>
                <w:sz w:val="24"/>
                <w:szCs w:val="24"/>
                <w:highlight w:val="none"/>
                <w:lang w:val="en-US" w:eastAsia="zh-CN" w:bidi="ar"/>
              </w:rPr>
              <w:t>通过厂内装载机运送至给料机</w:t>
            </w:r>
            <w:r>
              <w:rPr>
                <w:rFonts w:hint="default" w:ascii="Times New Roman" w:hAnsi="Times New Roman" w:eastAsia="宋体" w:cs="Times New Roman"/>
                <w:color w:val="auto"/>
                <w:kern w:val="0"/>
                <w:sz w:val="24"/>
                <w:szCs w:val="24"/>
                <w:highlight w:val="none"/>
                <w:lang w:val="en-US" w:eastAsia="zh-CN" w:bidi="ar"/>
              </w:rPr>
              <w:t>，卡车在运输过程中加盖苫布</w:t>
            </w:r>
            <w:r>
              <w:rPr>
                <w:rFonts w:hint="eastAsia"/>
                <w:color w:val="auto"/>
                <w:kern w:val="0"/>
                <w:sz w:val="24"/>
                <w:highlight w:val="none"/>
                <w:lang w:bidi="ar"/>
              </w:rPr>
              <w:t>，</w:t>
            </w:r>
            <w:r>
              <w:rPr>
                <w:color w:val="auto"/>
                <w:kern w:val="0"/>
                <w:sz w:val="24"/>
                <w:highlight w:val="none"/>
                <w:lang w:bidi="ar"/>
              </w:rPr>
              <w:t>卡车</w:t>
            </w:r>
            <w:r>
              <w:rPr>
                <w:rFonts w:hint="eastAsia"/>
                <w:color w:val="auto"/>
                <w:kern w:val="0"/>
                <w:sz w:val="24"/>
                <w:highlight w:val="none"/>
                <w:lang w:bidi="ar"/>
              </w:rPr>
              <w:t>由厂家提供</w:t>
            </w:r>
            <w:r>
              <w:rPr>
                <w:rFonts w:hint="default" w:ascii="Times New Roman" w:hAnsi="Times New Roman" w:eastAsia="宋体" w:cs="Times New Roman"/>
                <w:color w:val="auto"/>
                <w:kern w:val="0"/>
                <w:sz w:val="24"/>
                <w:szCs w:val="24"/>
                <w:highlight w:val="none"/>
                <w:lang w:val="en-US" w:eastAsia="zh-CN" w:bidi="ar"/>
              </w:rPr>
              <w:t>。该过程会产生</w:t>
            </w:r>
            <w:r>
              <w:rPr>
                <w:rFonts w:hint="eastAsia" w:cs="Times New Roman"/>
                <w:color w:val="auto"/>
                <w:kern w:val="0"/>
                <w:sz w:val="24"/>
                <w:szCs w:val="24"/>
                <w:highlight w:val="none"/>
                <w:lang w:val="en-US" w:eastAsia="zh-CN" w:bidi="ar"/>
              </w:rPr>
              <w:t>厂内运输粉尘G1、卸料上料粉尘G2、原料堆存粉尘G3、卸料上料噪声N</w:t>
            </w:r>
            <w:r>
              <w:rPr>
                <w:rFonts w:hint="default" w:ascii="Times New Roman" w:hAnsi="Times New Roman" w:eastAsia="宋体" w:cs="Times New Roman"/>
                <w:color w:val="auto"/>
                <w:kern w:val="0"/>
                <w:sz w:val="24"/>
                <w:szCs w:val="24"/>
                <w:highlight w:val="none"/>
                <w:lang w:val="en-US" w:eastAsia="zh-CN" w:bidi="ar"/>
              </w:rPr>
              <w:t>。</w:t>
            </w:r>
          </w:p>
          <w:p w14:paraId="7DC4CF5F">
            <w:pPr>
              <w:keepNext w:val="0"/>
              <w:keepLines w:val="0"/>
              <w:widowControl/>
              <w:suppressLineNumbers w:val="0"/>
              <w:spacing w:line="360" w:lineRule="auto"/>
              <w:ind w:firstLine="480" w:firstLineChars="200"/>
              <w:jc w:val="both"/>
              <w:rPr>
                <w:rFonts w:hint="default" w:ascii="Times New Roman" w:hAnsi="Times New Roman" w:eastAsia="宋体"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2、</w:t>
            </w:r>
            <w:r>
              <w:rPr>
                <w:rFonts w:hint="eastAsia" w:cs="Times New Roman"/>
                <w:color w:val="auto"/>
                <w:kern w:val="0"/>
                <w:sz w:val="24"/>
                <w:szCs w:val="24"/>
                <w:highlight w:val="none"/>
                <w:lang w:val="en-US" w:eastAsia="zh-CN" w:bidi="ar"/>
              </w:rPr>
              <w:t>碎石</w:t>
            </w:r>
            <w:r>
              <w:rPr>
                <w:rFonts w:hint="default" w:ascii="Times New Roman" w:hAnsi="Times New Roman" w:eastAsia="宋体" w:cs="Times New Roman"/>
                <w:color w:val="auto"/>
                <w:kern w:val="0"/>
                <w:sz w:val="24"/>
                <w:szCs w:val="24"/>
                <w:highlight w:val="none"/>
                <w:lang w:val="en-US" w:eastAsia="zh-CN" w:bidi="ar"/>
              </w:rPr>
              <w:t>加工（</w:t>
            </w:r>
            <w:r>
              <w:rPr>
                <w:rFonts w:hint="eastAsia"/>
                <w:color w:val="auto"/>
                <w:kern w:val="0"/>
                <w:sz w:val="24"/>
                <w:highlight w:val="none"/>
                <w:lang w:bidi="ar"/>
              </w:rPr>
              <w:t>一级破碎、二级破碎、</w:t>
            </w:r>
            <w:r>
              <w:rPr>
                <w:color w:val="auto"/>
                <w:kern w:val="0"/>
                <w:sz w:val="24"/>
                <w:highlight w:val="none"/>
                <w:lang w:bidi="ar"/>
              </w:rPr>
              <w:t>筛分</w:t>
            </w:r>
            <w:r>
              <w:rPr>
                <w:rFonts w:hint="default" w:ascii="Times New Roman" w:hAnsi="Times New Roman" w:eastAsia="宋体" w:cs="Times New Roman"/>
                <w:color w:val="auto"/>
                <w:kern w:val="0"/>
                <w:sz w:val="24"/>
                <w:szCs w:val="24"/>
                <w:highlight w:val="none"/>
                <w:lang w:val="en-US" w:eastAsia="zh-CN" w:bidi="ar"/>
              </w:rPr>
              <w:t>）及转运：</w:t>
            </w:r>
            <w:r>
              <w:rPr>
                <w:rFonts w:hint="eastAsia" w:cs="Times New Roman"/>
                <w:color w:val="auto"/>
                <w:kern w:val="0"/>
                <w:sz w:val="24"/>
                <w:szCs w:val="24"/>
                <w:highlight w:val="none"/>
                <w:lang w:val="en-US" w:eastAsia="zh-CN" w:bidi="ar"/>
              </w:rPr>
              <w:t>原料经给料机投料至颚式破碎机进行破碎后</w:t>
            </w:r>
            <w:r>
              <w:rPr>
                <w:rFonts w:hint="default" w:ascii="Times New Roman" w:hAnsi="Times New Roman" w:eastAsia="宋体" w:cs="Times New Roman"/>
                <w:color w:val="auto"/>
                <w:kern w:val="0"/>
                <w:sz w:val="24"/>
                <w:szCs w:val="24"/>
                <w:highlight w:val="none"/>
                <w:lang w:val="en-US" w:eastAsia="zh-CN" w:bidi="ar"/>
              </w:rPr>
              <w:t>，经振动筛振动分离出筛上物与筛下物，筛下物为≤</w:t>
            </w:r>
            <w:r>
              <w:rPr>
                <w:rFonts w:hint="eastAsia" w:cs="Times New Roman"/>
                <w:color w:val="auto"/>
                <w:kern w:val="0"/>
                <w:sz w:val="24"/>
                <w:szCs w:val="24"/>
                <w:highlight w:val="none"/>
                <w:lang w:val="en-US" w:eastAsia="zh-CN" w:bidi="ar"/>
              </w:rPr>
              <w:t>50cm</w:t>
            </w:r>
            <w:r>
              <w:rPr>
                <w:rFonts w:hint="default" w:ascii="Times New Roman" w:hAnsi="Times New Roman" w:eastAsia="宋体" w:cs="Times New Roman"/>
                <w:color w:val="auto"/>
                <w:kern w:val="0"/>
                <w:sz w:val="24"/>
                <w:szCs w:val="24"/>
                <w:highlight w:val="none"/>
                <w:lang w:val="en-US" w:eastAsia="zh-CN" w:bidi="ar"/>
              </w:rPr>
              <w:t>粒径的碎石</w:t>
            </w:r>
            <w:r>
              <w:rPr>
                <w:rFonts w:hint="eastAsia" w:cs="Times New Roman"/>
                <w:color w:val="auto"/>
                <w:kern w:val="0"/>
                <w:sz w:val="24"/>
                <w:szCs w:val="24"/>
                <w:highlight w:val="none"/>
                <w:lang w:val="en-US" w:eastAsia="zh-CN" w:bidi="ar"/>
              </w:rPr>
              <w:t>，依照产品规格筛分成不同粒径规格的产品</w:t>
            </w:r>
            <w:r>
              <w:rPr>
                <w:rFonts w:hint="default" w:ascii="Times New Roman" w:hAnsi="Times New Roman" w:eastAsia="宋体" w:cs="Times New Roman"/>
                <w:color w:val="auto"/>
                <w:kern w:val="0"/>
                <w:sz w:val="24"/>
                <w:szCs w:val="24"/>
                <w:highlight w:val="none"/>
                <w:lang w:val="en-US" w:eastAsia="zh-CN" w:bidi="ar"/>
              </w:rPr>
              <w:t>，筛上物</w:t>
            </w:r>
            <w:r>
              <w:rPr>
                <w:rFonts w:hint="eastAsia" w:cs="Times New Roman"/>
                <w:color w:val="auto"/>
                <w:kern w:val="0"/>
                <w:sz w:val="24"/>
                <w:szCs w:val="24"/>
                <w:highlight w:val="none"/>
                <w:lang w:val="en-US" w:eastAsia="zh-CN" w:bidi="ar"/>
              </w:rPr>
              <w:t>（</w:t>
            </w:r>
            <w:r>
              <w:rPr>
                <w:rFonts w:hint="eastAsia"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50cm）</w:t>
            </w:r>
            <w:r>
              <w:rPr>
                <w:rFonts w:hint="default" w:ascii="Times New Roman" w:hAnsi="Times New Roman" w:eastAsia="宋体" w:cs="Times New Roman"/>
                <w:color w:val="auto"/>
                <w:kern w:val="0"/>
                <w:sz w:val="24"/>
                <w:szCs w:val="24"/>
                <w:highlight w:val="none"/>
                <w:lang w:val="en-US" w:eastAsia="zh-CN" w:bidi="ar"/>
              </w:rPr>
              <w:t>通过</w:t>
            </w:r>
            <w:r>
              <w:rPr>
                <w:rFonts w:hint="eastAsia" w:cs="Times New Roman"/>
                <w:color w:val="auto"/>
                <w:kern w:val="0"/>
                <w:sz w:val="24"/>
                <w:szCs w:val="24"/>
                <w:highlight w:val="none"/>
                <w:lang w:val="en-US" w:eastAsia="zh-CN" w:bidi="ar"/>
              </w:rPr>
              <w:t>全封闭</w:t>
            </w:r>
            <w:r>
              <w:rPr>
                <w:rFonts w:hint="default" w:ascii="Times New Roman" w:hAnsi="Times New Roman" w:eastAsia="宋体" w:cs="Times New Roman"/>
                <w:color w:val="auto"/>
                <w:kern w:val="0"/>
                <w:sz w:val="24"/>
                <w:szCs w:val="24"/>
                <w:highlight w:val="none"/>
                <w:lang w:val="en-US" w:eastAsia="zh-CN" w:bidi="ar"/>
              </w:rPr>
              <w:t>皮带廊</w:t>
            </w:r>
            <w:r>
              <w:rPr>
                <w:rFonts w:hint="eastAsia" w:cs="Times New Roman"/>
                <w:color w:val="auto"/>
                <w:kern w:val="0"/>
                <w:sz w:val="24"/>
                <w:szCs w:val="24"/>
                <w:highlight w:val="none"/>
                <w:lang w:val="en-US" w:eastAsia="zh-CN" w:bidi="ar"/>
              </w:rPr>
              <w:t>输送至锤式破碎机进行重新</w:t>
            </w:r>
            <w:r>
              <w:rPr>
                <w:rFonts w:hint="default" w:ascii="Times New Roman" w:hAnsi="Times New Roman" w:eastAsia="宋体" w:cs="Times New Roman"/>
                <w:color w:val="auto"/>
                <w:kern w:val="0"/>
                <w:sz w:val="24"/>
                <w:szCs w:val="24"/>
                <w:highlight w:val="none"/>
                <w:lang w:val="en-US" w:eastAsia="zh-CN" w:bidi="ar"/>
              </w:rPr>
              <w:t>破碎</w:t>
            </w:r>
            <w:r>
              <w:rPr>
                <w:rFonts w:hint="eastAsia" w:ascii="Times New Roman" w:hAnsi="Times New Roman" w:eastAsia="宋体" w:cs="Times New Roman"/>
                <w:color w:val="auto"/>
                <w:kern w:val="0"/>
                <w:sz w:val="24"/>
                <w:szCs w:val="24"/>
                <w:highlight w:val="none"/>
                <w:lang w:val="en-US" w:eastAsia="zh-CN" w:bidi="ar"/>
              </w:rPr>
              <w:t>，直至通过</w:t>
            </w:r>
            <w:r>
              <w:rPr>
                <w:rFonts w:hint="default" w:ascii="Times New Roman" w:hAnsi="Times New Roman" w:eastAsia="宋体" w:cs="Times New Roman"/>
                <w:color w:val="auto"/>
                <w:kern w:val="0"/>
                <w:sz w:val="24"/>
                <w:szCs w:val="24"/>
                <w:highlight w:val="none"/>
                <w:lang w:val="en-US" w:eastAsia="zh-CN" w:bidi="ar"/>
              </w:rPr>
              <w:t>振动筛分</w:t>
            </w:r>
            <w:r>
              <w:rPr>
                <w:rFonts w:hint="eastAsia"/>
                <w:color w:val="auto"/>
                <w:kern w:val="0"/>
                <w:sz w:val="24"/>
                <w:highlight w:val="none"/>
                <w:lang w:val="en-US" w:eastAsia="zh-CN" w:bidi="ar"/>
              </w:rPr>
              <w:t>得到满足要求的产品</w:t>
            </w:r>
            <w:r>
              <w:rPr>
                <w:rFonts w:hint="eastAsia" w:cs="Times New Roman"/>
                <w:color w:val="auto"/>
                <w:kern w:val="0"/>
                <w:sz w:val="24"/>
                <w:szCs w:val="24"/>
                <w:highlight w:val="none"/>
                <w:lang w:val="en-US" w:eastAsia="zh-CN" w:bidi="ar"/>
              </w:rPr>
              <w:t>。生产</w:t>
            </w:r>
            <w:r>
              <w:rPr>
                <w:rFonts w:hint="default" w:ascii="Times New Roman" w:hAnsi="Times New Roman" w:eastAsia="宋体" w:cs="Times New Roman"/>
                <w:color w:val="auto"/>
                <w:kern w:val="0"/>
                <w:sz w:val="24"/>
                <w:szCs w:val="24"/>
                <w:highlight w:val="none"/>
                <w:lang w:val="en-US" w:eastAsia="zh-CN" w:bidi="ar"/>
              </w:rPr>
              <w:t>车间为</w:t>
            </w:r>
            <w:r>
              <w:rPr>
                <w:rFonts w:hint="eastAsia" w:cs="Times New Roman"/>
                <w:color w:val="auto"/>
                <w:kern w:val="0"/>
                <w:sz w:val="24"/>
                <w:szCs w:val="24"/>
                <w:highlight w:val="none"/>
                <w:lang w:val="en-US" w:eastAsia="zh-CN" w:bidi="ar"/>
              </w:rPr>
              <w:t>全</w:t>
            </w:r>
            <w:r>
              <w:rPr>
                <w:rFonts w:hint="default" w:ascii="Times New Roman" w:hAnsi="Times New Roman" w:eastAsia="宋体" w:cs="Times New Roman"/>
                <w:color w:val="auto"/>
                <w:kern w:val="0"/>
                <w:sz w:val="24"/>
                <w:szCs w:val="24"/>
                <w:highlight w:val="none"/>
                <w:lang w:val="en-US" w:eastAsia="zh-CN" w:bidi="ar"/>
              </w:rPr>
              <w:t>封闭设计，设备与设备之间均通过</w:t>
            </w:r>
            <w:r>
              <w:rPr>
                <w:rFonts w:hint="eastAsia" w:cs="Times New Roman"/>
                <w:color w:val="auto"/>
                <w:kern w:val="0"/>
                <w:sz w:val="24"/>
                <w:szCs w:val="24"/>
                <w:highlight w:val="none"/>
                <w:lang w:val="en-US" w:eastAsia="zh-CN" w:bidi="ar"/>
              </w:rPr>
              <w:t>全封闭</w:t>
            </w:r>
            <w:r>
              <w:rPr>
                <w:rFonts w:hint="default" w:ascii="Times New Roman" w:hAnsi="Times New Roman" w:eastAsia="宋体" w:cs="Times New Roman"/>
                <w:color w:val="auto"/>
                <w:kern w:val="0"/>
                <w:sz w:val="24"/>
                <w:szCs w:val="24"/>
                <w:highlight w:val="none"/>
                <w:lang w:val="en-US" w:eastAsia="zh-CN" w:bidi="ar"/>
              </w:rPr>
              <w:t>皮带廊连接</w:t>
            </w:r>
            <w:r>
              <w:rPr>
                <w:rFonts w:hint="eastAsia"/>
                <w:color w:val="auto"/>
                <w:kern w:val="0"/>
                <w:sz w:val="24"/>
                <w:highlight w:val="none"/>
                <w:lang w:bidi="ar"/>
              </w:rPr>
              <w:t>，确保物料在提升、落料、转运等过程中均为</w:t>
            </w:r>
            <w:r>
              <w:rPr>
                <w:rFonts w:hint="eastAsia"/>
                <w:color w:val="auto"/>
                <w:kern w:val="0"/>
                <w:sz w:val="24"/>
                <w:highlight w:val="none"/>
                <w:lang w:val="en-US" w:eastAsia="zh-CN" w:bidi="ar"/>
              </w:rPr>
              <w:t>全</w:t>
            </w:r>
            <w:r>
              <w:rPr>
                <w:rFonts w:hint="eastAsia"/>
                <w:color w:val="auto"/>
                <w:kern w:val="0"/>
                <w:sz w:val="24"/>
                <w:highlight w:val="none"/>
                <w:lang w:bidi="ar"/>
              </w:rPr>
              <w:t>封闭设计</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给料机、</w:t>
            </w:r>
            <w:r>
              <w:rPr>
                <w:color w:val="auto"/>
                <w:kern w:val="0"/>
                <w:sz w:val="24"/>
                <w:highlight w:val="none"/>
                <w:lang w:bidi="ar"/>
              </w:rPr>
              <w:t>颚式破碎机</w:t>
            </w:r>
            <w:r>
              <w:rPr>
                <w:rFonts w:hint="eastAsia"/>
                <w:color w:val="auto"/>
                <w:kern w:val="0"/>
                <w:sz w:val="24"/>
                <w:highlight w:val="none"/>
                <w:lang w:eastAsia="zh-CN" w:bidi="ar"/>
              </w:rPr>
              <w:t>、</w:t>
            </w:r>
            <w:r>
              <w:rPr>
                <w:rFonts w:hint="eastAsia" w:cs="Times New Roman"/>
                <w:color w:val="auto"/>
                <w:kern w:val="0"/>
                <w:sz w:val="24"/>
                <w:szCs w:val="24"/>
                <w:highlight w:val="none"/>
                <w:lang w:val="en-US" w:eastAsia="zh-CN" w:bidi="ar"/>
              </w:rPr>
              <w:t>锤式破碎机、筛分机分别</w:t>
            </w:r>
            <w:r>
              <w:rPr>
                <w:rFonts w:hint="eastAsia" w:ascii="Times New Roman" w:hAnsi="Times New Roman" w:eastAsia="宋体" w:cs="Times New Roman"/>
                <w:color w:val="auto"/>
                <w:sz w:val="24"/>
                <w:highlight w:val="none"/>
                <w:lang w:val="en-US" w:eastAsia="zh-CN"/>
              </w:rPr>
              <w:t>设置集气罩收集废气</w:t>
            </w:r>
            <w:r>
              <w:rPr>
                <w:rFonts w:hint="default" w:ascii="Times New Roman" w:hAnsi="Times New Roman" w:eastAsia="宋体" w:cs="Times New Roman"/>
                <w:color w:val="auto"/>
                <w:kern w:val="0"/>
                <w:sz w:val="24"/>
                <w:szCs w:val="24"/>
                <w:highlight w:val="none"/>
                <w:lang w:val="en-US" w:eastAsia="zh-CN" w:bidi="ar"/>
              </w:rPr>
              <w:t>，</w:t>
            </w:r>
            <w:r>
              <w:rPr>
                <w:rFonts w:hint="eastAsia" w:cs="Times New Roman"/>
                <w:color w:val="auto"/>
                <w:kern w:val="0"/>
                <w:sz w:val="24"/>
                <w:szCs w:val="24"/>
                <w:highlight w:val="none"/>
                <w:lang w:val="en-US" w:eastAsia="zh-CN" w:bidi="ar"/>
              </w:rPr>
              <w:t>集气罩安装在各设备进料口上方</w:t>
            </w:r>
            <w:r>
              <w:rPr>
                <w:rFonts w:hint="eastAsia" w:ascii="Times New Roman" w:hAnsi="Times New Roman" w:eastAsia="宋体" w:cs="Times New Roman"/>
                <w:color w:val="auto"/>
                <w:sz w:val="24"/>
                <w:highlight w:val="none"/>
                <w:lang w:val="en-US" w:eastAsia="zh-CN"/>
              </w:rPr>
              <w:t>，</w:t>
            </w:r>
            <w:r>
              <w:rPr>
                <w:rFonts w:hint="default" w:ascii="Times New Roman" w:hAnsi="Times New Roman" w:eastAsia="宋体" w:cs="Times New Roman"/>
                <w:color w:val="auto"/>
                <w:kern w:val="0"/>
                <w:sz w:val="24"/>
                <w:szCs w:val="24"/>
                <w:highlight w:val="none"/>
                <w:lang w:val="en-US" w:eastAsia="zh-CN" w:bidi="ar"/>
              </w:rPr>
              <w:t>并配置</w:t>
            </w:r>
            <w:r>
              <w:rPr>
                <w:rFonts w:hint="eastAsia" w:cs="Times New Roman"/>
                <w:color w:val="auto"/>
                <w:kern w:val="0"/>
                <w:sz w:val="24"/>
                <w:szCs w:val="24"/>
                <w:highlight w:val="none"/>
                <w:lang w:val="en-US" w:eastAsia="zh-CN" w:bidi="ar"/>
              </w:rPr>
              <w:t>喷淋设施</w:t>
            </w:r>
            <w:r>
              <w:rPr>
                <w:rFonts w:hint="default" w:ascii="Times New Roman" w:hAnsi="Times New Roman" w:eastAsia="宋体" w:cs="Times New Roman"/>
                <w:color w:val="auto"/>
                <w:kern w:val="0"/>
                <w:sz w:val="24"/>
                <w:szCs w:val="24"/>
                <w:highlight w:val="none"/>
                <w:lang w:val="en-US" w:eastAsia="zh-CN" w:bidi="ar"/>
              </w:rPr>
              <w:t>在生产过程进行洒水抑尘</w:t>
            </w:r>
            <w:r>
              <w:rPr>
                <w:rFonts w:hint="eastAsia" w:cs="Times New Roman"/>
                <w:color w:val="auto"/>
                <w:kern w:val="0"/>
                <w:sz w:val="24"/>
                <w:szCs w:val="24"/>
                <w:highlight w:val="none"/>
                <w:lang w:val="en-US" w:eastAsia="zh-CN" w:bidi="ar"/>
              </w:rPr>
              <w:t>，收集的废气汇至一套</w:t>
            </w:r>
            <w:r>
              <w:rPr>
                <w:rFonts w:hint="default" w:ascii="Times New Roman" w:hAnsi="Times New Roman" w:eastAsia="宋体" w:cs="Times New Roman"/>
                <w:color w:val="auto"/>
                <w:kern w:val="0"/>
                <w:sz w:val="24"/>
                <w:szCs w:val="24"/>
                <w:highlight w:val="none"/>
                <w:lang w:val="en-US" w:eastAsia="zh-CN" w:bidi="ar"/>
              </w:rPr>
              <w:t>布袋除尘器处理后，通过</w:t>
            </w:r>
            <w:r>
              <w:rPr>
                <w:rFonts w:hint="eastAsia" w:ascii="Times New Roman" w:hAnsi="Times New Roman" w:eastAsia="宋体" w:cs="Times New Roman"/>
                <w:color w:val="auto"/>
                <w:kern w:val="0"/>
                <w:sz w:val="24"/>
                <w:szCs w:val="24"/>
                <w:highlight w:val="none"/>
                <w:lang w:val="en-US" w:eastAsia="zh-CN" w:bidi="ar"/>
              </w:rPr>
              <w:t>一根</w:t>
            </w:r>
            <w:r>
              <w:rPr>
                <w:rFonts w:hint="default" w:ascii="Times New Roman" w:hAnsi="Times New Roman" w:eastAsia="宋体" w:cs="Times New Roman"/>
                <w:color w:val="auto"/>
                <w:kern w:val="0"/>
                <w:sz w:val="24"/>
                <w:szCs w:val="24"/>
                <w:highlight w:val="none"/>
                <w:lang w:val="en-US" w:eastAsia="zh-CN" w:bidi="ar"/>
              </w:rPr>
              <w:t>15m高排气筒（DA001）排放</w:t>
            </w:r>
            <w:r>
              <w:rPr>
                <w:rFonts w:hint="eastAsia" w:cs="Times New Roman"/>
                <w:color w:val="auto"/>
                <w:kern w:val="0"/>
                <w:sz w:val="24"/>
                <w:szCs w:val="24"/>
                <w:highlight w:val="none"/>
                <w:lang w:val="en-US" w:eastAsia="zh-CN" w:bidi="ar"/>
              </w:rPr>
              <w:t>，</w:t>
            </w:r>
            <w:r>
              <w:rPr>
                <w:rFonts w:hint="eastAsia" w:cs="Times New Roman"/>
                <w:color w:val="FF0000"/>
                <w:kern w:val="0"/>
                <w:sz w:val="24"/>
                <w:szCs w:val="24"/>
                <w:highlight w:val="none"/>
                <w:lang w:val="en-US" w:eastAsia="zh-CN" w:bidi="ar"/>
              </w:rPr>
              <w:t>除尘器定期产生除尘灰S2和废布袋S3</w:t>
            </w:r>
            <w:r>
              <w:rPr>
                <w:rFonts w:hint="default" w:ascii="Times New Roman" w:hAnsi="Times New Roman" w:eastAsia="宋体" w:cs="Times New Roman"/>
                <w:color w:val="FF0000"/>
                <w:kern w:val="0"/>
                <w:sz w:val="24"/>
                <w:szCs w:val="24"/>
                <w:highlight w:val="none"/>
                <w:lang w:val="en-US" w:eastAsia="zh-CN" w:bidi="ar"/>
              </w:rPr>
              <w:t>。</w:t>
            </w:r>
            <w:r>
              <w:rPr>
                <w:rFonts w:hint="eastAsia" w:ascii="Times New Roman" w:hAnsi="Times New Roman" w:eastAsia="宋体" w:cs="Times New Roman"/>
                <w:color w:val="auto"/>
                <w:kern w:val="0"/>
                <w:sz w:val="24"/>
                <w:szCs w:val="24"/>
                <w:highlight w:val="none"/>
                <w:lang w:val="en-US" w:eastAsia="zh-CN" w:bidi="ar"/>
              </w:rPr>
              <w:t>项目</w:t>
            </w:r>
            <w:r>
              <w:rPr>
                <w:rFonts w:hint="default" w:ascii="Times New Roman" w:hAnsi="Times New Roman" w:eastAsia="宋体" w:cs="Times New Roman"/>
                <w:color w:val="auto"/>
                <w:kern w:val="0"/>
                <w:sz w:val="24"/>
                <w:szCs w:val="24"/>
                <w:highlight w:val="none"/>
                <w:lang w:val="en-US" w:eastAsia="zh-CN" w:bidi="ar"/>
              </w:rPr>
              <w:t>在</w:t>
            </w:r>
            <w:r>
              <w:rPr>
                <w:rFonts w:hint="eastAsia" w:cs="Times New Roman"/>
                <w:color w:val="auto"/>
                <w:kern w:val="0"/>
                <w:sz w:val="24"/>
                <w:szCs w:val="24"/>
                <w:highlight w:val="none"/>
                <w:lang w:val="en-US" w:eastAsia="zh-CN" w:bidi="ar"/>
              </w:rPr>
              <w:t>全</w:t>
            </w:r>
            <w:r>
              <w:rPr>
                <w:rFonts w:hint="default" w:ascii="Times New Roman" w:hAnsi="Times New Roman" w:eastAsia="宋体" w:cs="Times New Roman"/>
                <w:color w:val="auto"/>
                <w:kern w:val="0"/>
                <w:sz w:val="24"/>
                <w:szCs w:val="24"/>
                <w:highlight w:val="none"/>
                <w:lang w:val="en-US" w:eastAsia="zh-CN" w:bidi="ar"/>
              </w:rPr>
              <w:t>封闭车间内进行生产，由于粉尘物质密度较大，粉尘一段距离内即可沉降，并配置</w:t>
            </w:r>
            <w:r>
              <w:rPr>
                <w:rFonts w:hint="eastAsia" w:cs="Times New Roman"/>
                <w:color w:val="auto"/>
                <w:kern w:val="0"/>
                <w:sz w:val="24"/>
                <w:szCs w:val="24"/>
                <w:highlight w:val="none"/>
                <w:lang w:val="en-US" w:eastAsia="zh-CN" w:bidi="ar"/>
              </w:rPr>
              <w:t>喷淋设施</w:t>
            </w:r>
            <w:r>
              <w:rPr>
                <w:rFonts w:hint="default" w:ascii="Times New Roman" w:hAnsi="Times New Roman" w:eastAsia="宋体" w:cs="Times New Roman"/>
                <w:color w:val="auto"/>
                <w:kern w:val="0"/>
                <w:sz w:val="24"/>
                <w:szCs w:val="24"/>
                <w:highlight w:val="none"/>
                <w:lang w:val="en-US" w:eastAsia="zh-CN" w:bidi="ar"/>
              </w:rPr>
              <w:t>在生产过程进行洒水抑尘。</w:t>
            </w:r>
            <w:r>
              <w:rPr>
                <w:rFonts w:hint="eastAsia" w:cs="Times New Roman"/>
                <w:color w:val="auto"/>
                <w:kern w:val="0"/>
                <w:sz w:val="24"/>
                <w:szCs w:val="24"/>
                <w:highlight w:val="none"/>
                <w:lang w:val="en-US" w:eastAsia="zh-CN" w:bidi="ar"/>
              </w:rPr>
              <w:t>该过程产生给料机上料粉尘G4、一级破碎粉尘G5、二级破碎筛分粉尘G6、设备运行噪声N</w:t>
            </w:r>
            <w:r>
              <w:rPr>
                <w:rFonts w:hint="default" w:ascii="Times New Roman" w:hAnsi="Times New Roman" w:eastAsia="宋体" w:cs="Times New Roman"/>
                <w:color w:val="auto"/>
                <w:kern w:val="0"/>
                <w:sz w:val="24"/>
                <w:szCs w:val="24"/>
                <w:highlight w:val="none"/>
                <w:lang w:val="en-US" w:eastAsia="zh-CN" w:bidi="ar"/>
              </w:rPr>
              <w:t>。</w:t>
            </w:r>
          </w:p>
          <w:p w14:paraId="3107BF1B">
            <w:pPr>
              <w:widowControl/>
              <w:spacing w:line="360" w:lineRule="auto"/>
              <w:ind w:firstLine="480" w:firstLineChars="200"/>
              <w:rPr>
                <w:rFonts w:hint="eastAsia" w:cs="Times New Roman"/>
                <w:color w:val="auto"/>
                <w:kern w:val="0"/>
                <w:sz w:val="24"/>
                <w:szCs w:val="24"/>
                <w:highlight w:val="none"/>
                <w:lang w:val="en-US" w:eastAsia="zh-CN" w:bidi="ar"/>
              </w:rPr>
            </w:pPr>
            <w:r>
              <w:rPr>
                <w:rFonts w:hint="default" w:ascii="Times New Roman" w:hAnsi="Times New Roman" w:eastAsia="宋体" w:cs="Times New Roman"/>
                <w:color w:val="auto"/>
                <w:kern w:val="0"/>
                <w:sz w:val="24"/>
                <w:szCs w:val="24"/>
                <w:highlight w:val="none"/>
                <w:lang w:val="en-US" w:eastAsia="zh-CN" w:bidi="ar"/>
              </w:rPr>
              <w:t>3、成品落料暂存、装车：</w:t>
            </w:r>
            <w:r>
              <w:rPr>
                <w:rFonts w:hint="eastAsia" w:cs="Times New Roman"/>
                <w:color w:val="auto"/>
                <w:kern w:val="0"/>
                <w:sz w:val="24"/>
                <w:szCs w:val="24"/>
                <w:highlight w:val="none"/>
                <w:lang w:val="en-US" w:eastAsia="zh-CN" w:bidi="ar"/>
              </w:rPr>
              <w:t>成品</w:t>
            </w:r>
            <w:r>
              <w:rPr>
                <w:rFonts w:hint="eastAsia" w:ascii="Times New Roman" w:hAnsi="Times New Roman" w:eastAsia="宋体" w:cs="Times New Roman"/>
                <w:color w:val="auto"/>
                <w:kern w:val="0"/>
                <w:sz w:val="24"/>
                <w:szCs w:val="24"/>
                <w:highlight w:val="none"/>
                <w:lang w:val="en-US" w:eastAsia="zh-CN" w:bidi="ar"/>
              </w:rPr>
              <w:t>通过</w:t>
            </w:r>
            <w:r>
              <w:rPr>
                <w:rFonts w:hint="eastAsia" w:cs="Times New Roman"/>
                <w:color w:val="auto"/>
                <w:kern w:val="0"/>
                <w:sz w:val="24"/>
                <w:szCs w:val="24"/>
                <w:highlight w:val="none"/>
                <w:lang w:val="en-US" w:eastAsia="zh-CN" w:bidi="ar"/>
              </w:rPr>
              <w:t>全封闭</w:t>
            </w:r>
            <w:r>
              <w:rPr>
                <w:rFonts w:hint="eastAsia" w:ascii="Times New Roman" w:hAnsi="Times New Roman" w:eastAsia="宋体" w:cs="Times New Roman"/>
                <w:color w:val="auto"/>
                <w:kern w:val="0"/>
                <w:sz w:val="24"/>
                <w:szCs w:val="24"/>
                <w:highlight w:val="none"/>
                <w:lang w:val="en-US" w:eastAsia="zh-CN" w:bidi="ar"/>
              </w:rPr>
              <w:t>皮带廊输送至</w:t>
            </w:r>
            <w:r>
              <w:rPr>
                <w:rFonts w:hint="eastAsia" w:cs="Times New Roman"/>
                <w:color w:val="auto"/>
                <w:kern w:val="0"/>
                <w:sz w:val="24"/>
                <w:szCs w:val="24"/>
                <w:highlight w:val="none"/>
                <w:lang w:val="en-US" w:eastAsia="zh-CN" w:bidi="ar"/>
              </w:rPr>
              <w:t>成品库，按照产品规格分区储存后，</w:t>
            </w:r>
            <w:r>
              <w:rPr>
                <w:rFonts w:hint="default" w:ascii="Times New Roman" w:hAnsi="Times New Roman" w:eastAsia="宋体" w:cs="Times New Roman"/>
                <w:color w:val="auto"/>
                <w:kern w:val="0"/>
                <w:sz w:val="24"/>
                <w:szCs w:val="24"/>
                <w:highlight w:val="none"/>
                <w:lang w:val="en-US" w:eastAsia="zh-CN" w:bidi="ar"/>
              </w:rPr>
              <w:t>通过</w:t>
            </w:r>
            <w:r>
              <w:rPr>
                <w:rFonts w:hint="eastAsia" w:ascii="Times New Roman" w:hAnsi="Times New Roman" w:eastAsia="宋体" w:cs="Times New Roman"/>
                <w:color w:val="auto"/>
                <w:kern w:val="0"/>
                <w:sz w:val="24"/>
                <w:szCs w:val="24"/>
                <w:highlight w:val="none"/>
                <w:lang w:val="en-US" w:eastAsia="zh-CN" w:bidi="ar"/>
              </w:rPr>
              <w:t>装载机</w:t>
            </w:r>
            <w:r>
              <w:rPr>
                <w:rFonts w:hint="default" w:ascii="Times New Roman" w:hAnsi="Times New Roman" w:eastAsia="宋体" w:cs="Times New Roman"/>
                <w:color w:val="auto"/>
                <w:kern w:val="0"/>
                <w:sz w:val="24"/>
                <w:szCs w:val="24"/>
                <w:highlight w:val="none"/>
                <w:lang w:val="en-US" w:eastAsia="zh-CN" w:bidi="ar"/>
              </w:rPr>
              <w:t>装车</w:t>
            </w:r>
            <w:r>
              <w:rPr>
                <w:rFonts w:hint="eastAsia" w:ascii="Times New Roman" w:hAnsi="Times New Roman" w:eastAsia="宋体" w:cs="Times New Roman"/>
                <w:color w:val="auto"/>
                <w:kern w:val="0"/>
                <w:sz w:val="24"/>
                <w:szCs w:val="24"/>
                <w:highlight w:val="none"/>
                <w:lang w:val="en-US" w:eastAsia="zh-CN" w:bidi="ar"/>
              </w:rPr>
              <w:t>，再由</w:t>
            </w:r>
            <w:r>
              <w:rPr>
                <w:rFonts w:hint="eastAsia" w:cs="Times New Roman"/>
                <w:color w:val="auto"/>
                <w:kern w:val="0"/>
                <w:sz w:val="24"/>
                <w:szCs w:val="24"/>
                <w:highlight w:val="none"/>
                <w:lang w:val="en-US" w:eastAsia="zh-CN" w:bidi="ar"/>
              </w:rPr>
              <w:t>3</w:t>
            </w:r>
            <w:r>
              <w:rPr>
                <w:rFonts w:hint="eastAsia" w:ascii="Times New Roman" w:hAnsi="Times New Roman" w:eastAsia="宋体" w:cs="Times New Roman"/>
                <w:color w:val="auto"/>
                <w:kern w:val="0"/>
                <w:sz w:val="24"/>
                <w:szCs w:val="24"/>
                <w:highlight w:val="none"/>
                <w:lang w:val="en-US" w:eastAsia="zh-CN" w:bidi="ar"/>
              </w:rPr>
              <w:t>0t</w:t>
            </w:r>
            <w:r>
              <w:rPr>
                <w:rFonts w:hint="default" w:ascii="Times New Roman" w:hAnsi="Times New Roman" w:eastAsia="宋体" w:cs="Times New Roman"/>
                <w:color w:val="auto"/>
                <w:kern w:val="0"/>
                <w:sz w:val="24"/>
                <w:szCs w:val="24"/>
                <w:highlight w:val="none"/>
                <w:lang w:val="en-US" w:eastAsia="zh-CN" w:bidi="ar"/>
              </w:rPr>
              <w:t>卡车</w:t>
            </w:r>
            <w:r>
              <w:rPr>
                <w:rFonts w:hint="eastAsia" w:ascii="Times New Roman" w:hAnsi="Times New Roman" w:eastAsia="宋体" w:cs="Times New Roman"/>
                <w:color w:val="auto"/>
                <w:kern w:val="0"/>
                <w:sz w:val="24"/>
                <w:szCs w:val="24"/>
                <w:highlight w:val="none"/>
                <w:lang w:val="en-US" w:eastAsia="zh-CN" w:bidi="ar"/>
              </w:rPr>
              <w:t>运至厂外</w:t>
            </w:r>
            <w:r>
              <w:rPr>
                <w:rFonts w:hint="default" w:ascii="Times New Roman" w:hAnsi="Times New Roman" w:eastAsia="宋体" w:cs="Times New Roman"/>
                <w:color w:val="auto"/>
                <w:kern w:val="0"/>
                <w:sz w:val="24"/>
                <w:szCs w:val="24"/>
                <w:highlight w:val="none"/>
                <w:lang w:val="en-US" w:eastAsia="zh-CN" w:bidi="ar"/>
              </w:rPr>
              <w:t>，卡车在运输过程中加盖苫布</w:t>
            </w:r>
            <w:r>
              <w:rPr>
                <w:rFonts w:hint="eastAsia"/>
                <w:color w:val="auto"/>
                <w:kern w:val="0"/>
                <w:sz w:val="24"/>
                <w:highlight w:val="none"/>
                <w:lang w:bidi="ar"/>
              </w:rPr>
              <w:t>，</w:t>
            </w:r>
            <w:r>
              <w:rPr>
                <w:color w:val="auto"/>
                <w:kern w:val="0"/>
                <w:sz w:val="24"/>
                <w:highlight w:val="none"/>
                <w:lang w:bidi="ar"/>
              </w:rPr>
              <w:t>卡车</w:t>
            </w:r>
            <w:r>
              <w:rPr>
                <w:rFonts w:hint="eastAsia"/>
                <w:color w:val="auto"/>
                <w:kern w:val="0"/>
                <w:sz w:val="24"/>
                <w:highlight w:val="none"/>
                <w:lang w:bidi="ar"/>
              </w:rPr>
              <w:t>由厂家提供</w:t>
            </w:r>
            <w:r>
              <w:rPr>
                <w:rFonts w:hint="eastAsia" w:cs="Times New Roman"/>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该过程会产生成品</w:t>
            </w:r>
            <w:r>
              <w:rPr>
                <w:rFonts w:hint="eastAsia" w:cs="Times New Roman"/>
                <w:color w:val="auto"/>
                <w:kern w:val="0"/>
                <w:sz w:val="24"/>
                <w:szCs w:val="24"/>
                <w:highlight w:val="none"/>
                <w:lang w:val="en-US" w:eastAsia="zh-CN" w:bidi="ar"/>
              </w:rPr>
              <w:t>库暂存粉尘</w:t>
            </w:r>
            <w:r>
              <w:rPr>
                <w:rFonts w:hint="default" w:ascii="Times New Roman" w:hAnsi="Times New Roman" w:eastAsia="宋体" w:cs="Times New Roman"/>
                <w:color w:val="auto"/>
                <w:kern w:val="0"/>
                <w:sz w:val="24"/>
                <w:szCs w:val="24"/>
                <w:highlight w:val="none"/>
                <w:lang w:val="en-US" w:eastAsia="zh-CN" w:bidi="ar"/>
              </w:rPr>
              <w:t>G</w:t>
            </w:r>
            <w:r>
              <w:rPr>
                <w:rFonts w:hint="eastAsia" w:cs="Times New Roman"/>
                <w:color w:val="auto"/>
                <w:kern w:val="0"/>
                <w:sz w:val="24"/>
                <w:szCs w:val="24"/>
                <w:highlight w:val="none"/>
                <w:lang w:val="en-US" w:eastAsia="zh-CN" w:bidi="ar"/>
              </w:rPr>
              <w:t>7、装车</w:t>
            </w:r>
            <w:r>
              <w:rPr>
                <w:rFonts w:hint="default" w:ascii="Times New Roman" w:hAnsi="Times New Roman" w:eastAsia="宋体" w:cs="Times New Roman"/>
                <w:color w:val="auto"/>
                <w:kern w:val="0"/>
                <w:sz w:val="24"/>
                <w:szCs w:val="24"/>
                <w:highlight w:val="none"/>
                <w:lang w:val="en-US" w:eastAsia="zh-CN" w:bidi="ar"/>
              </w:rPr>
              <w:t>粉尘G</w:t>
            </w:r>
            <w:r>
              <w:rPr>
                <w:rFonts w:hint="eastAsia" w:cs="Times New Roman"/>
                <w:color w:val="auto"/>
                <w:kern w:val="0"/>
                <w:sz w:val="24"/>
                <w:szCs w:val="24"/>
                <w:highlight w:val="none"/>
                <w:lang w:val="en-US" w:eastAsia="zh-CN" w:bidi="ar"/>
              </w:rPr>
              <w:t>8</w:t>
            </w:r>
            <w:r>
              <w:rPr>
                <w:rFonts w:hint="default" w:ascii="Times New Roman" w:hAnsi="Times New Roman" w:eastAsia="宋体" w:cs="Times New Roman"/>
                <w:color w:val="auto"/>
                <w:kern w:val="0"/>
                <w:sz w:val="24"/>
                <w:szCs w:val="24"/>
                <w:highlight w:val="none"/>
                <w:lang w:val="en-US" w:eastAsia="zh-CN" w:bidi="ar"/>
              </w:rPr>
              <w:t>及</w:t>
            </w:r>
            <w:r>
              <w:rPr>
                <w:rFonts w:hint="eastAsia" w:cs="Times New Roman"/>
                <w:color w:val="auto"/>
                <w:kern w:val="0"/>
                <w:sz w:val="24"/>
                <w:szCs w:val="24"/>
                <w:highlight w:val="none"/>
                <w:lang w:val="en-US" w:eastAsia="zh-CN" w:bidi="ar"/>
              </w:rPr>
              <w:t>装车噪声N。</w:t>
            </w:r>
          </w:p>
          <w:p w14:paraId="703F07D0">
            <w:pPr>
              <w:widowControl/>
              <w:spacing w:line="360" w:lineRule="auto"/>
              <w:ind w:firstLine="480" w:firstLineChars="200"/>
              <w:rPr>
                <w:rFonts w:hint="default" w:ascii="Times New Roman" w:hAnsi="Times New Roman" w:eastAsia="宋体" w:cs="Times New Roman"/>
                <w:color w:val="FF0000"/>
                <w:kern w:val="0"/>
                <w:sz w:val="24"/>
                <w:szCs w:val="24"/>
                <w:highlight w:val="none"/>
                <w:lang w:val="en-US" w:eastAsia="zh-CN" w:bidi="ar"/>
              </w:rPr>
            </w:pPr>
            <w:r>
              <w:rPr>
                <w:rFonts w:hint="eastAsia" w:ascii="Times New Roman" w:hAnsi="Times New Roman" w:eastAsia="宋体" w:cs="Times New Roman"/>
                <w:color w:val="FF0000"/>
                <w:kern w:val="0"/>
                <w:sz w:val="24"/>
                <w:szCs w:val="24"/>
                <w:highlight w:val="none"/>
                <w:lang w:val="en-US" w:eastAsia="zh-CN" w:bidi="ar"/>
              </w:rPr>
              <w:t>员工日常生活产生生活垃圾S5和生活污水W2，生活垃圾委托环卫部门处置，生活污水排入旱厕定期清掏，设备定期保养产生废机油、废机油桶S4，暂存于危险废物贮存点内，委托有资质单位处置。</w:t>
            </w:r>
          </w:p>
          <w:p w14:paraId="7D05DDD2">
            <w:pPr>
              <w:widowControl/>
              <w:spacing w:line="360" w:lineRule="auto"/>
              <w:ind w:firstLine="480" w:firstLineChars="200"/>
              <w:jc w:val="left"/>
              <w:rPr>
                <w:color w:val="auto"/>
                <w:sz w:val="24"/>
                <w:highlight w:val="none"/>
              </w:rPr>
            </w:pPr>
            <w:r>
              <w:rPr>
                <w:color w:val="auto"/>
                <w:sz w:val="24"/>
                <w:highlight w:val="none"/>
              </w:rPr>
              <w:t>（二）产排污节点</w:t>
            </w:r>
          </w:p>
          <w:p w14:paraId="3D5459F1">
            <w:pPr>
              <w:widowControl/>
              <w:jc w:val="center"/>
              <w:rPr>
                <w:rFonts w:hint="eastAsia" w:eastAsia="宋体"/>
                <w:b/>
                <w:bCs/>
                <w:color w:val="auto"/>
                <w:kern w:val="0"/>
                <w:szCs w:val="21"/>
                <w:highlight w:val="none"/>
                <w:lang w:eastAsia="zh-CN" w:bidi="ar"/>
              </w:rPr>
            </w:pPr>
            <w:r>
              <w:rPr>
                <w:rFonts w:hint="eastAsia" w:eastAsia="宋体"/>
                <w:b/>
                <w:bCs/>
                <w:color w:val="auto"/>
                <w:kern w:val="0"/>
                <w:szCs w:val="21"/>
                <w:highlight w:val="none"/>
                <w:lang w:eastAsia="zh-CN" w:bidi="ar"/>
              </w:rPr>
              <w:drawing>
                <wp:inline distT="0" distB="0" distL="114300" distR="114300">
                  <wp:extent cx="5060315" cy="4702175"/>
                  <wp:effectExtent l="0" t="0" r="6985" b="3175"/>
                  <wp:docPr id="46" name="图片 46" descr="工艺流程及产污节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工艺流程及产污节点"/>
                          <pic:cNvPicPr>
                            <a:picLocks noChangeAspect="1"/>
                          </pic:cNvPicPr>
                        </pic:nvPicPr>
                        <pic:blipFill>
                          <a:blip r:embed="rId20"/>
                          <a:stretch>
                            <a:fillRect/>
                          </a:stretch>
                        </pic:blipFill>
                        <pic:spPr>
                          <a:xfrm>
                            <a:off x="0" y="0"/>
                            <a:ext cx="5060315" cy="4702175"/>
                          </a:xfrm>
                          <a:prstGeom prst="rect">
                            <a:avLst/>
                          </a:prstGeom>
                        </pic:spPr>
                      </pic:pic>
                    </a:graphicData>
                  </a:graphic>
                </wp:inline>
              </w:drawing>
            </w:r>
          </w:p>
          <w:p w14:paraId="72FF662E">
            <w:pPr>
              <w:widowControl/>
              <w:jc w:val="center"/>
              <w:rPr>
                <w:b/>
                <w:bCs/>
                <w:color w:val="auto"/>
                <w:kern w:val="0"/>
                <w:szCs w:val="21"/>
                <w:highlight w:val="none"/>
                <w:lang w:bidi="ar"/>
              </w:rPr>
            </w:pPr>
            <w:r>
              <w:rPr>
                <w:rFonts w:hint="eastAsia"/>
                <w:b/>
                <w:bCs/>
                <w:color w:val="auto"/>
                <w:kern w:val="0"/>
                <w:szCs w:val="21"/>
                <w:highlight w:val="none"/>
                <w:lang w:bidi="ar"/>
              </w:rPr>
              <w:t>图2-3 运营期工艺流程及产污节点图（注：G-废气；N--噪声</w:t>
            </w:r>
            <w:r>
              <w:rPr>
                <w:rFonts w:hint="eastAsia"/>
                <w:b/>
                <w:bCs/>
                <w:color w:val="auto"/>
                <w:kern w:val="0"/>
                <w:szCs w:val="21"/>
                <w:highlight w:val="none"/>
                <w:lang w:eastAsia="zh-CN" w:bidi="ar"/>
              </w:rPr>
              <w:t>；</w:t>
            </w:r>
            <w:r>
              <w:rPr>
                <w:rFonts w:hint="eastAsia"/>
                <w:b/>
                <w:bCs/>
                <w:color w:val="auto"/>
                <w:kern w:val="0"/>
                <w:szCs w:val="21"/>
                <w:highlight w:val="none"/>
                <w:lang w:val="en-US" w:eastAsia="zh-CN" w:bidi="ar"/>
              </w:rPr>
              <w:t>S-固体废物；W-废水</w:t>
            </w:r>
            <w:r>
              <w:rPr>
                <w:rFonts w:hint="eastAsia"/>
                <w:b/>
                <w:bCs/>
                <w:color w:val="auto"/>
                <w:kern w:val="0"/>
                <w:szCs w:val="21"/>
                <w:highlight w:val="none"/>
                <w:lang w:bidi="ar"/>
              </w:rPr>
              <w:t>）</w:t>
            </w:r>
          </w:p>
          <w:p w14:paraId="6408D4A8">
            <w:pPr>
              <w:widowControl/>
              <w:spacing w:before="120" w:beforeLines="50"/>
              <w:jc w:val="center"/>
              <w:rPr>
                <w:b/>
                <w:bCs/>
                <w:color w:val="auto"/>
                <w:szCs w:val="21"/>
                <w:highlight w:val="none"/>
              </w:rPr>
            </w:pPr>
            <w:r>
              <w:rPr>
                <w:b/>
                <w:bCs/>
                <w:color w:val="auto"/>
                <w:kern w:val="0"/>
                <w:szCs w:val="21"/>
                <w:highlight w:val="none"/>
                <w:lang w:bidi="ar"/>
              </w:rPr>
              <w:t>表2-</w:t>
            </w:r>
            <w:r>
              <w:rPr>
                <w:rFonts w:hint="eastAsia"/>
                <w:b/>
                <w:bCs/>
                <w:color w:val="auto"/>
                <w:kern w:val="0"/>
                <w:szCs w:val="21"/>
                <w:highlight w:val="none"/>
                <w:lang w:val="en-US" w:eastAsia="zh-CN" w:bidi="ar"/>
              </w:rPr>
              <w:t>9</w:t>
            </w:r>
            <w:r>
              <w:rPr>
                <w:b/>
                <w:bCs/>
                <w:color w:val="auto"/>
                <w:kern w:val="0"/>
                <w:szCs w:val="21"/>
                <w:highlight w:val="none"/>
                <w:lang w:bidi="ar"/>
              </w:rPr>
              <w:t xml:space="preserve"> 产排污节点一览表</w:t>
            </w:r>
          </w:p>
          <w:tbl>
            <w:tblPr>
              <w:tblStyle w:val="19"/>
              <w:tblW w:w="7945"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1"/>
              <w:gridCol w:w="630"/>
              <w:gridCol w:w="1636"/>
              <w:gridCol w:w="1303"/>
              <w:gridCol w:w="678"/>
              <w:gridCol w:w="2897"/>
            </w:tblGrid>
            <w:tr w14:paraId="5E7FC5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tcBorders>
                    <w:tl2br w:val="nil"/>
                    <w:tr2bl w:val="nil"/>
                  </w:tcBorders>
                  <w:vAlign w:val="center"/>
                </w:tcPr>
                <w:p w14:paraId="0F7C2C64">
                  <w:pPr>
                    <w:pStyle w:val="13"/>
                    <w:jc w:val="center"/>
                    <w:rPr>
                      <w:b/>
                      <w:bCs/>
                      <w:color w:val="FF0000"/>
                      <w:sz w:val="21"/>
                      <w:szCs w:val="21"/>
                      <w:highlight w:val="none"/>
                    </w:rPr>
                  </w:pPr>
                  <w:r>
                    <w:rPr>
                      <w:b/>
                      <w:bCs/>
                      <w:color w:val="FF0000"/>
                      <w:sz w:val="21"/>
                      <w:szCs w:val="21"/>
                      <w:highlight w:val="none"/>
                    </w:rPr>
                    <w:t>污染物类型</w:t>
                  </w:r>
                </w:p>
              </w:tc>
              <w:tc>
                <w:tcPr>
                  <w:tcW w:w="630" w:type="dxa"/>
                  <w:tcBorders>
                    <w:tl2br w:val="nil"/>
                    <w:tr2bl w:val="nil"/>
                  </w:tcBorders>
                  <w:vAlign w:val="center"/>
                </w:tcPr>
                <w:p w14:paraId="2E6B6B89">
                  <w:pPr>
                    <w:pStyle w:val="13"/>
                    <w:jc w:val="center"/>
                    <w:rPr>
                      <w:b/>
                      <w:bCs/>
                      <w:color w:val="FF0000"/>
                      <w:sz w:val="21"/>
                      <w:szCs w:val="21"/>
                      <w:highlight w:val="none"/>
                    </w:rPr>
                  </w:pPr>
                  <w:r>
                    <w:rPr>
                      <w:b/>
                      <w:bCs/>
                      <w:color w:val="FF0000"/>
                      <w:sz w:val="21"/>
                      <w:szCs w:val="21"/>
                      <w:highlight w:val="none"/>
                    </w:rPr>
                    <w:t>序号</w:t>
                  </w:r>
                </w:p>
              </w:tc>
              <w:tc>
                <w:tcPr>
                  <w:tcW w:w="1636" w:type="dxa"/>
                  <w:tcBorders>
                    <w:tl2br w:val="nil"/>
                    <w:tr2bl w:val="nil"/>
                  </w:tcBorders>
                  <w:vAlign w:val="center"/>
                </w:tcPr>
                <w:p w14:paraId="03AA620B">
                  <w:pPr>
                    <w:pStyle w:val="13"/>
                    <w:jc w:val="center"/>
                    <w:rPr>
                      <w:b/>
                      <w:bCs/>
                      <w:color w:val="FF0000"/>
                      <w:sz w:val="21"/>
                      <w:szCs w:val="21"/>
                      <w:highlight w:val="none"/>
                    </w:rPr>
                  </w:pPr>
                  <w:r>
                    <w:rPr>
                      <w:b/>
                      <w:bCs/>
                      <w:color w:val="FF0000"/>
                      <w:sz w:val="21"/>
                      <w:szCs w:val="21"/>
                      <w:highlight w:val="none"/>
                    </w:rPr>
                    <w:t>工序</w:t>
                  </w:r>
                </w:p>
              </w:tc>
              <w:tc>
                <w:tcPr>
                  <w:tcW w:w="1303" w:type="dxa"/>
                  <w:tcBorders>
                    <w:tl2br w:val="nil"/>
                    <w:tr2bl w:val="nil"/>
                  </w:tcBorders>
                  <w:vAlign w:val="center"/>
                </w:tcPr>
                <w:p w14:paraId="55ACF1CB">
                  <w:pPr>
                    <w:pStyle w:val="13"/>
                    <w:jc w:val="center"/>
                    <w:rPr>
                      <w:b/>
                      <w:bCs/>
                      <w:color w:val="FF0000"/>
                      <w:sz w:val="21"/>
                      <w:szCs w:val="21"/>
                      <w:highlight w:val="none"/>
                    </w:rPr>
                  </w:pPr>
                  <w:r>
                    <w:rPr>
                      <w:b/>
                      <w:bCs/>
                      <w:color w:val="FF0000"/>
                      <w:sz w:val="21"/>
                      <w:szCs w:val="21"/>
                      <w:highlight w:val="none"/>
                    </w:rPr>
                    <w:t>主要污染物</w:t>
                  </w:r>
                </w:p>
              </w:tc>
              <w:tc>
                <w:tcPr>
                  <w:tcW w:w="678" w:type="dxa"/>
                  <w:tcBorders>
                    <w:tl2br w:val="nil"/>
                    <w:tr2bl w:val="nil"/>
                  </w:tcBorders>
                  <w:vAlign w:val="center"/>
                </w:tcPr>
                <w:p w14:paraId="168A16E9">
                  <w:pPr>
                    <w:pStyle w:val="13"/>
                    <w:jc w:val="center"/>
                    <w:rPr>
                      <w:b/>
                      <w:bCs/>
                      <w:color w:val="FF0000"/>
                      <w:sz w:val="21"/>
                      <w:szCs w:val="21"/>
                      <w:highlight w:val="none"/>
                    </w:rPr>
                  </w:pPr>
                  <w:r>
                    <w:rPr>
                      <w:b/>
                      <w:bCs/>
                      <w:color w:val="FF0000"/>
                      <w:sz w:val="21"/>
                      <w:szCs w:val="21"/>
                      <w:highlight w:val="none"/>
                    </w:rPr>
                    <w:t>排放方式</w:t>
                  </w:r>
                </w:p>
              </w:tc>
              <w:tc>
                <w:tcPr>
                  <w:tcW w:w="2897" w:type="dxa"/>
                  <w:tcBorders>
                    <w:tl2br w:val="nil"/>
                    <w:tr2bl w:val="nil"/>
                  </w:tcBorders>
                  <w:vAlign w:val="center"/>
                </w:tcPr>
                <w:p w14:paraId="74DC01EC">
                  <w:pPr>
                    <w:pStyle w:val="13"/>
                    <w:jc w:val="center"/>
                    <w:rPr>
                      <w:b/>
                      <w:bCs/>
                      <w:color w:val="FF0000"/>
                      <w:sz w:val="21"/>
                      <w:szCs w:val="21"/>
                      <w:highlight w:val="none"/>
                    </w:rPr>
                  </w:pPr>
                  <w:r>
                    <w:rPr>
                      <w:rFonts w:hint="eastAsia"/>
                      <w:b/>
                      <w:bCs/>
                      <w:color w:val="FF0000"/>
                      <w:sz w:val="21"/>
                      <w:szCs w:val="21"/>
                      <w:highlight w:val="none"/>
                    </w:rPr>
                    <w:t>治理措施</w:t>
                  </w:r>
                </w:p>
              </w:tc>
            </w:tr>
            <w:tr w14:paraId="74BD45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Merge w:val="restart"/>
                  <w:tcBorders>
                    <w:tl2br w:val="nil"/>
                    <w:tr2bl w:val="nil"/>
                  </w:tcBorders>
                  <w:vAlign w:val="center"/>
                </w:tcPr>
                <w:p w14:paraId="2F30191A">
                  <w:pPr>
                    <w:pStyle w:val="13"/>
                    <w:jc w:val="center"/>
                    <w:rPr>
                      <w:color w:val="FF0000"/>
                      <w:sz w:val="21"/>
                      <w:szCs w:val="21"/>
                      <w:highlight w:val="none"/>
                    </w:rPr>
                  </w:pPr>
                  <w:r>
                    <w:rPr>
                      <w:color w:val="FF0000"/>
                      <w:sz w:val="21"/>
                      <w:szCs w:val="21"/>
                      <w:highlight w:val="none"/>
                    </w:rPr>
                    <w:t>废气</w:t>
                  </w:r>
                </w:p>
              </w:tc>
              <w:tc>
                <w:tcPr>
                  <w:tcW w:w="630" w:type="dxa"/>
                  <w:tcBorders>
                    <w:tl2br w:val="nil"/>
                    <w:tr2bl w:val="nil"/>
                  </w:tcBorders>
                  <w:vAlign w:val="center"/>
                </w:tcPr>
                <w:p w14:paraId="6487D16C">
                  <w:pPr>
                    <w:pStyle w:val="13"/>
                    <w:jc w:val="center"/>
                    <w:rPr>
                      <w:color w:val="FF0000"/>
                      <w:sz w:val="21"/>
                      <w:szCs w:val="21"/>
                      <w:highlight w:val="none"/>
                    </w:rPr>
                  </w:pPr>
                  <w:r>
                    <w:rPr>
                      <w:rFonts w:hint="eastAsia"/>
                      <w:color w:val="FF0000"/>
                      <w:sz w:val="21"/>
                      <w:szCs w:val="21"/>
                      <w:highlight w:val="none"/>
                    </w:rPr>
                    <w:t>G1</w:t>
                  </w:r>
                </w:p>
              </w:tc>
              <w:tc>
                <w:tcPr>
                  <w:tcW w:w="1636" w:type="dxa"/>
                  <w:tcBorders>
                    <w:tl2br w:val="nil"/>
                    <w:tr2bl w:val="nil"/>
                  </w:tcBorders>
                  <w:vAlign w:val="center"/>
                </w:tcPr>
                <w:p w14:paraId="5F55FF7D">
                  <w:pPr>
                    <w:widowControl/>
                    <w:jc w:val="center"/>
                    <w:rPr>
                      <w:color w:val="FF0000"/>
                      <w:kern w:val="0"/>
                      <w:szCs w:val="21"/>
                      <w:highlight w:val="none"/>
                      <w:lang w:bidi="ar"/>
                    </w:rPr>
                  </w:pPr>
                  <w:r>
                    <w:rPr>
                      <w:rFonts w:hint="eastAsia"/>
                      <w:color w:val="FF0000"/>
                      <w:kern w:val="0"/>
                      <w:szCs w:val="21"/>
                      <w:highlight w:val="none"/>
                      <w:lang w:bidi="ar"/>
                    </w:rPr>
                    <w:t>厂内</w:t>
                  </w:r>
                  <w:r>
                    <w:rPr>
                      <w:color w:val="FF0000"/>
                      <w:szCs w:val="21"/>
                      <w:highlight w:val="none"/>
                    </w:rPr>
                    <w:t>车辆运输</w:t>
                  </w:r>
                </w:p>
              </w:tc>
              <w:tc>
                <w:tcPr>
                  <w:tcW w:w="1303" w:type="dxa"/>
                  <w:vMerge w:val="restart"/>
                  <w:tcBorders>
                    <w:tl2br w:val="nil"/>
                    <w:tr2bl w:val="nil"/>
                  </w:tcBorders>
                  <w:vAlign w:val="center"/>
                </w:tcPr>
                <w:p w14:paraId="079C8CFD">
                  <w:pPr>
                    <w:pStyle w:val="13"/>
                    <w:jc w:val="center"/>
                    <w:rPr>
                      <w:color w:val="FF0000"/>
                      <w:sz w:val="21"/>
                      <w:szCs w:val="21"/>
                      <w:highlight w:val="none"/>
                    </w:rPr>
                  </w:pPr>
                  <w:r>
                    <w:rPr>
                      <w:color w:val="FF0000"/>
                      <w:sz w:val="21"/>
                      <w:szCs w:val="21"/>
                      <w:highlight w:val="none"/>
                    </w:rPr>
                    <w:t>颗粒物</w:t>
                  </w:r>
                </w:p>
              </w:tc>
              <w:tc>
                <w:tcPr>
                  <w:tcW w:w="678" w:type="dxa"/>
                  <w:vMerge w:val="restart"/>
                  <w:tcBorders>
                    <w:tl2br w:val="nil"/>
                    <w:tr2bl w:val="nil"/>
                  </w:tcBorders>
                  <w:vAlign w:val="center"/>
                </w:tcPr>
                <w:p w14:paraId="4BBEF599">
                  <w:pPr>
                    <w:pStyle w:val="13"/>
                    <w:jc w:val="both"/>
                    <w:rPr>
                      <w:color w:val="FF0000"/>
                      <w:sz w:val="21"/>
                      <w:szCs w:val="21"/>
                      <w:highlight w:val="none"/>
                    </w:rPr>
                  </w:pPr>
                  <w:r>
                    <w:rPr>
                      <w:color w:val="FF0000"/>
                      <w:sz w:val="21"/>
                      <w:szCs w:val="21"/>
                      <w:highlight w:val="none"/>
                    </w:rPr>
                    <w:t>连续</w:t>
                  </w:r>
                </w:p>
              </w:tc>
              <w:tc>
                <w:tcPr>
                  <w:tcW w:w="2897" w:type="dxa"/>
                  <w:tcBorders>
                    <w:tl2br w:val="nil"/>
                    <w:tr2bl w:val="nil"/>
                  </w:tcBorders>
                  <w:vAlign w:val="center"/>
                </w:tcPr>
                <w:p w14:paraId="0466AD60">
                  <w:pPr>
                    <w:widowControl/>
                    <w:jc w:val="center"/>
                    <w:rPr>
                      <w:color w:val="FF0000"/>
                      <w:szCs w:val="21"/>
                      <w:highlight w:val="none"/>
                    </w:rPr>
                  </w:pPr>
                  <w:r>
                    <w:rPr>
                      <w:color w:val="FF0000"/>
                      <w:kern w:val="0"/>
                      <w:szCs w:val="21"/>
                      <w:highlight w:val="none"/>
                      <w:lang w:bidi="ar"/>
                    </w:rPr>
                    <w:t>厂内</w:t>
                  </w:r>
                  <w:r>
                    <w:rPr>
                      <w:rFonts w:hint="eastAsia"/>
                      <w:color w:val="FF0000"/>
                      <w:kern w:val="0"/>
                      <w:szCs w:val="21"/>
                      <w:highlight w:val="none"/>
                      <w:lang w:bidi="ar"/>
                    </w:rPr>
                    <w:t>出入</w:t>
                  </w:r>
                  <w:r>
                    <w:rPr>
                      <w:color w:val="FF0000"/>
                      <w:kern w:val="0"/>
                      <w:szCs w:val="21"/>
                      <w:highlight w:val="none"/>
                      <w:lang w:bidi="ar"/>
                    </w:rPr>
                    <w:t>口设置清洗平台，厂区内运输道路</w:t>
                  </w:r>
                  <w:r>
                    <w:rPr>
                      <w:rFonts w:hint="eastAsia"/>
                      <w:color w:val="FF0000"/>
                      <w:kern w:val="0"/>
                      <w:szCs w:val="21"/>
                      <w:highlight w:val="none"/>
                      <w:lang w:val="en-US" w:eastAsia="zh-CN" w:bidi="ar"/>
                    </w:rPr>
                    <w:t>全部</w:t>
                  </w:r>
                  <w:r>
                    <w:rPr>
                      <w:color w:val="FF0000"/>
                      <w:kern w:val="0"/>
                      <w:szCs w:val="21"/>
                      <w:highlight w:val="none"/>
                      <w:lang w:bidi="ar"/>
                    </w:rPr>
                    <w:t>硬化，清扫路面、定期洒水、限制车速等</w:t>
                  </w:r>
                </w:p>
              </w:tc>
            </w:tr>
            <w:tr w14:paraId="14DF81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Merge w:val="continue"/>
                  <w:tcBorders>
                    <w:tl2br w:val="nil"/>
                    <w:tr2bl w:val="nil"/>
                  </w:tcBorders>
                  <w:vAlign w:val="center"/>
                </w:tcPr>
                <w:p w14:paraId="6395E68A">
                  <w:pPr>
                    <w:pStyle w:val="13"/>
                    <w:jc w:val="center"/>
                    <w:rPr>
                      <w:color w:val="FF0000"/>
                      <w:sz w:val="21"/>
                      <w:szCs w:val="21"/>
                      <w:highlight w:val="none"/>
                    </w:rPr>
                  </w:pPr>
                </w:p>
              </w:tc>
              <w:tc>
                <w:tcPr>
                  <w:tcW w:w="630" w:type="dxa"/>
                  <w:tcBorders>
                    <w:tl2br w:val="nil"/>
                    <w:tr2bl w:val="nil"/>
                  </w:tcBorders>
                  <w:vAlign w:val="center"/>
                </w:tcPr>
                <w:p w14:paraId="634BCEE8">
                  <w:pPr>
                    <w:pStyle w:val="13"/>
                    <w:jc w:val="center"/>
                    <w:rPr>
                      <w:color w:val="FF0000"/>
                      <w:sz w:val="21"/>
                      <w:szCs w:val="21"/>
                      <w:highlight w:val="none"/>
                    </w:rPr>
                  </w:pPr>
                  <w:r>
                    <w:rPr>
                      <w:color w:val="FF0000"/>
                      <w:sz w:val="21"/>
                      <w:szCs w:val="21"/>
                      <w:highlight w:val="none"/>
                    </w:rPr>
                    <w:t>G</w:t>
                  </w:r>
                  <w:r>
                    <w:rPr>
                      <w:rFonts w:hint="eastAsia"/>
                      <w:color w:val="FF0000"/>
                      <w:sz w:val="21"/>
                      <w:szCs w:val="21"/>
                      <w:highlight w:val="none"/>
                    </w:rPr>
                    <w:t>2</w:t>
                  </w:r>
                </w:p>
              </w:tc>
              <w:tc>
                <w:tcPr>
                  <w:tcW w:w="1636" w:type="dxa"/>
                  <w:tcBorders>
                    <w:tl2br w:val="nil"/>
                    <w:tr2bl w:val="nil"/>
                  </w:tcBorders>
                  <w:vAlign w:val="center"/>
                </w:tcPr>
                <w:p w14:paraId="0B1C70AF">
                  <w:pPr>
                    <w:widowControl/>
                    <w:jc w:val="center"/>
                    <w:rPr>
                      <w:color w:val="FF0000"/>
                      <w:kern w:val="0"/>
                      <w:szCs w:val="21"/>
                      <w:highlight w:val="none"/>
                      <w:lang w:bidi="ar"/>
                    </w:rPr>
                  </w:pPr>
                  <w:r>
                    <w:rPr>
                      <w:rFonts w:hint="eastAsia"/>
                      <w:color w:val="FF0000"/>
                      <w:kern w:val="0"/>
                      <w:szCs w:val="21"/>
                      <w:highlight w:val="none"/>
                      <w:lang w:bidi="ar"/>
                    </w:rPr>
                    <w:t>原料装卸</w:t>
                  </w:r>
                </w:p>
              </w:tc>
              <w:tc>
                <w:tcPr>
                  <w:tcW w:w="1303" w:type="dxa"/>
                  <w:vMerge w:val="continue"/>
                  <w:tcBorders>
                    <w:tl2br w:val="nil"/>
                    <w:tr2bl w:val="nil"/>
                  </w:tcBorders>
                  <w:vAlign w:val="center"/>
                </w:tcPr>
                <w:p w14:paraId="628D9EC3">
                  <w:pPr>
                    <w:pStyle w:val="13"/>
                    <w:jc w:val="center"/>
                    <w:rPr>
                      <w:color w:val="FF0000"/>
                      <w:sz w:val="21"/>
                      <w:szCs w:val="21"/>
                      <w:highlight w:val="none"/>
                    </w:rPr>
                  </w:pPr>
                </w:p>
              </w:tc>
              <w:tc>
                <w:tcPr>
                  <w:tcW w:w="678" w:type="dxa"/>
                  <w:vMerge w:val="continue"/>
                  <w:tcBorders>
                    <w:tl2br w:val="nil"/>
                    <w:tr2bl w:val="nil"/>
                  </w:tcBorders>
                  <w:vAlign w:val="center"/>
                </w:tcPr>
                <w:p w14:paraId="7C68E2FB">
                  <w:pPr>
                    <w:pStyle w:val="13"/>
                    <w:jc w:val="center"/>
                    <w:rPr>
                      <w:color w:val="FF0000"/>
                      <w:sz w:val="21"/>
                      <w:szCs w:val="21"/>
                      <w:highlight w:val="none"/>
                    </w:rPr>
                  </w:pPr>
                </w:p>
              </w:tc>
              <w:tc>
                <w:tcPr>
                  <w:tcW w:w="2897" w:type="dxa"/>
                  <w:tcBorders>
                    <w:tl2br w:val="nil"/>
                    <w:tr2bl w:val="nil"/>
                  </w:tcBorders>
                  <w:vAlign w:val="center"/>
                </w:tcPr>
                <w:p w14:paraId="25A43A5C">
                  <w:pPr>
                    <w:widowControl/>
                    <w:jc w:val="center"/>
                    <w:rPr>
                      <w:color w:val="FF0000"/>
                      <w:kern w:val="0"/>
                      <w:szCs w:val="21"/>
                      <w:highlight w:val="none"/>
                      <w:lang w:bidi="ar"/>
                    </w:rPr>
                  </w:pPr>
                  <w:r>
                    <w:rPr>
                      <w:color w:val="FF0000"/>
                      <w:kern w:val="0"/>
                      <w:szCs w:val="21"/>
                      <w:highlight w:val="none"/>
                      <w:lang w:bidi="ar"/>
                    </w:rPr>
                    <w:t>洒水抑尘，降低卸料高度</w:t>
                  </w:r>
                </w:p>
              </w:tc>
            </w:tr>
            <w:tr w14:paraId="13FD6B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1" w:type="dxa"/>
                  <w:vMerge w:val="continue"/>
                  <w:tcBorders>
                    <w:tl2br w:val="nil"/>
                    <w:tr2bl w:val="nil"/>
                  </w:tcBorders>
                  <w:vAlign w:val="center"/>
                </w:tcPr>
                <w:p w14:paraId="7A13B371">
                  <w:pPr>
                    <w:pStyle w:val="13"/>
                    <w:jc w:val="center"/>
                    <w:rPr>
                      <w:color w:val="FF0000"/>
                      <w:sz w:val="21"/>
                      <w:szCs w:val="21"/>
                      <w:highlight w:val="none"/>
                    </w:rPr>
                  </w:pPr>
                </w:p>
              </w:tc>
              <w:tc>
                <w:tcPr>
                  <w:tcW w:w="630" w:type="dxa"/>
                  <w:tcBorders>
                    <w:tl2br w:val="nil"/>
                    <w:tr2bl w:val="nil"/>
                  </w:tcBorders>
                  <w:vAlign w:val="center"/>
                </w:tcPr>
                <w:p w14:paraId="7F91CA86">
                  <w:pPr>
                    <w:pStyle w:val="13"/>
                    <w:jc w:val="center"/>
                    <w:rPr>
                      <w:color w:val="FF0000"/>
                      <w:sz w:val="21"/>
                      <w:szCs w:val="21"/>
                      <w:highlight w:val="none"/>
                    </w:rPr>
                  </w:pPr>
                  <w:r>
                    <w:rPr>
                      <w:color w:val="FF0000"/>
                      <w:sz w:val="21"/>
                      <w:szCs w:val="21"/>
                      <w:highlight w:val="none"/>
                    </w:rPr>
                    <w:t>G</w:t>
                  </w:r>
                  <w:r>
                    <w:rPr>
                      <w:rFonts w:hint="eastAsia"/>
                      <w:color w:val="FF0000"/>
                      <w:sz w:val="21"/>
                      <w:szCs w:val="21"/>
                      <w:highlight w:val="none"/>
                    </w:rPr>
                    <w:t>3</w:t>
                  </w:r>
                </w:p>
              </w:tc>
              <w:tc>
                <w:tcPr>
                  <w:tcW w:w="1636" w:type="dxa"/>
                  <w:tcBorders>
                    <w:tl2br w:val="nil"/>
                    <w:tr2bl w:val="nil"/>
                  </w:tcBorders>
                  <w:vAlign w:val="center"/>
                </w:tcPr>
                <w:p w14:paraId="35312EF5">
                  <w:pPr>
                    <w:widowControl/>
                    <w:jc w:val="center"/>
                    <w:rPr>
                      <w:color w:val="FF0000"/>
                      <w:kern w:val="0"/>
                      <w:szCs w:val="21"/>
                      <w:highlight w:val="none"/>
                      <w:lang w:bidi="ar"/>
                    </w:rPr>
                  </w:pPr>
                  <w:r>
                    <w:rPr>
                      <w:rFonts w:hint="eastAsia"/>
                      <w:color w:val="FF0000"/>
                      <w:kern w:val="0"/>
                      <w:szCs w:val="21"/>
                      <w:highlight w:val="none"/>
                      <w:lang w:bidi="ar"/>
                    </w:rPr>
                    <w:t>原料堆存</w:t>
                  </w:r>
                </w:p>
              </w:tc>
              <w:tc>
                <w:tcPr>
                  <w:tcW w:w="1303" w:type="dxa"/>
                  <w:vMerge w:val="continue"/>
                  <w:tcBorders>
                    <w:tl2br w:val="nil"/>
                    <w:tr2bl w:val="nil"/>
                  </w:tcBorders>
                  <w:vAlign w:val="center"/>
                </w:tcPr>
                <w:p w14:paraId="688A6844">
                  <w:pPr>
                    <w:pStyle w:val="13"/>
                    <w:jc w:val="center"/>
                    <w:rPr>
                      <w:color w:val="FF0000"/>
                      <w:sz w:val="21"/>
                      <w:szCs w:val="21"/>
                      <w:highlight w:val="none"/>
                    </w:rPr>
                  </w:pPr>
                </w:p>
              </w:tc>
              <w:tc>
                <w:tcPr>
                  <w:tcW w:w="678" w:type="dxa"/>
                  <w:vMerge w:val="continue"/>
                  <w:tcBorders>
                    <w:tl2br w:val="nil"/>
                    <w:tr2bl w:val="nil"/>
                  </w:tcBorders>
                  <w:vAlign w:val="center"/>
                </w:tcPr>
                <w:p w14:paraId="761432CA">
                  <w:pPr>
                    <w:pStyle w:val="13"/>
                    <w:jc w:val="center"/>
                    <w:rPr>
                      <w:color w:val="FF0000"/>
                      <w:sz w:val="21"/>
                      <w:szCs w:val="21"/>
                      <w:highlight w:val="none"/>
                    </w:rPr>
                  </w:pPr>
                </w:p>
              </w:tc>
              <w:tc>
                <w:tcPr>
                  <w:tcW w:w="2897" w:type="dxa"/>
                  <w:tcBorders>
                    <w:tl2br w:val="nil"/>
                    <w:tr2bl w:val="nil"/>
                  </w:tcBorders>
                  <w:vAlign w:val="center"/>
                </w:tcPr>
                <w:p w14:paraId="6F5555F2">
                  <w:pPr>
                    <w:widowControl/>
                    <w:jc w:val="center"/>
                    <w:rPr>
                      <w:color w:val="FF0000"/>
                      <w:kern w:val="0"/>
                      <w:szCs w:val="21"/>
                      <w:highlight w:val="none"/>
                      <w:lang w:bidi="ar"/>
                    </w:rPr>
                  </w:pPr>
                  <w:r>
                    <w:rPr>
                      <w:color w:val="FF0000"/>
                      <w:kern w:val="0"/>
                      <w:szCs w:val="21"/>
                      <w:highlight w:val="none"/>
                      <w:lang w:bidi="ar"/>
                    </w:rPr>
                    <w:t>原料区</w:t>
                  </w:r>
                  <w:r>
                    <w:rPr>
                      <w:rFonts w:hint="eastAsia"/>
                      <w:color w:val="FF0000"/>
                      <w:kern w:val="0"/>
                      <w:szCs w:val="21"/>
                      <w:highlight w:val="none"/>
                      <w:lang w:bidi="ar"/>
                    </w:rPr>
                    <w:t>设置</w:t>
                  </w:r>
                  <w:r>
                    <w:rPr>
                      <w:rFonts w:hint="eastAsia"/>
                      <w:color w:val="FF0000"/>
                      <w:kern w:val="0"/>
                      <w:szCs w:val="21"/>
                      <w:highlight w:val="none"/>
                      <w:lang w:val="en-US" w:eastAsia="zh-CN" w:bidi="ar"/>
                    </w:rPr>
                    <w:t>顶</w:t>
                  </w:r>
                  <w:r>
                    <w:rPr>
                      <w:rFonts w:hint="eastAsia"/>
                      <w:color w:val="FF0000"/>
                      <w:kern w:val="0"/>
                      <w:szCs w:val="21"/>
                      <w:highlight w:val="none"/>
                      <w:lang w:bidi="ar"/>
                    </w:rPr>
                    <w:t>棚、四周设置5m高围挡</w:t>
                  </w:r>
                  <w:r>
                    <w:rPr>
                      <w:rFonts w:hint="eastAsia"/>
                      <w:color w:val="FF0000"/>
                      <w:szCs w:val="21"/>
                      <w:highlight w:val="none"/>
                      <w:lang w:val="en-US" w:eastAsia="zh-CN"/>
                    </w:rPr>
                    <w:t>、围挡与顶棚连接采取防尘网</w:t>
                  </w:r>
                  <w:r>
                    <w:rPr>
                      <w:rFonts w:hint="eastAsia"/>
                      <w:color w:val="FF0000"/>
                      <w:kern w:val="0"/>
                      <w:szCs w:val="21"/>
                      <w:highlight w:val="none"/>
                      <w:lang w:eastAsia="zh-CN" w:bidi="ar"/>
                    </w:rPr>
                    <w:t>，</w:t>
                  </w:r>
                  <w:r>
                    <w:rPr>
                      <w:rFonts w:hint="eastAsia"/>
                      <w:color w:val="FF0000"/>
                      <w:kern w:val="0"/>
                      <w:szCs w:val="21"/>
                      <w:highlight w:val="none"/>
                      <w:lang w:bidi="ar"/>
                    </w:rPr>
                    <w:t>采取地面硬化、定期洒水降尘</w:t>
                  </w:r>
                </w:p>
              </w:tc>
            </w:tr>
            <w:tr w14:paraId="3C0D769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Merge w:val="continue"/>
                  <w:tcBorders>
                    <w:tl2br w:val="nil"/>
                    <w:tr2bl w:val="nil"/>
                  </w:tcBorders>
                  <w:vAlign w:val="center"/>
                </w:tcPr>
                <w:p w14:paraId="0AADFA96">
                  <w:pPr>
                    <w:pStyle w:val="13"/>
                    <w:jc w:val="center"/>
                    <w:rPr>
                      <w:color w:val="FF0000"/>
                      <w:sz w:val="21"/>
                      <w:szCs w:val="21"/>
                      <w:highlight w:val="none"/>
                    </w:rPr>
                  </w:pPr>
                </w:p>
              </w:tc>
              <w:tc>
                <w:tcPr>
                  <w:tcW w:w="630" w:type="dxa"/>
                  <w:tcBorders>
                    <w:tl2br w:val="nil"/>
                    <w:tr2bl w:val="nil"/>
                  </w:tcBorders>
                  <w:vAlign w:val="center"/>
                </w:tcPr>
                <w:p w14:paraId="2FCE79FE">
                  <w:pPr>
                    <w:pStyle w:val="13"/>
                    <w:jc w:val="center"/>
                    <w:rPr>
                      <w:color w:val="FF0000"/>
                      <w:sz w:val="21"/>
                      <w:szCs w:val="21"/>
                      <w:highlight w:val="none"/>
                    </w:rPr>
                  </w:pPr>
                  <w:r>
                    <w:rPr>
                      <w:rFonts w:hint="eastAsia"/>
                      <w:color w:val="FF0000"/>
                      <w:sz w:val="21"/>
                      <w:szCs w:val="21"/>
                      <w:highlight w:val="none"/>
                    </w:rPr>
                    <w:t>G4</w:t>
                  </w:r>
                </w:p>
              </w:tc>
              <w:tc>
                <w:tcPr>
                  <w:tcW w:w="1636" w:type="dxa"/>
                  <w:tcBorders>
                    <w:tl2br w:val="nil"/>
                    <w:tr2bl w:val="nil"/>
                  </w:tcBorders>
                  <w:vAlign w:val="center"/>
                </w:tcPr>
                <w:p w14:paraId="784B8D7B">
                  <w:pPr>
                    <w:widowControl/>
                    <w:jc w:val="center"/>
                    <w:rPr>
                      <w:color w:val="FF0000"/>
                      <w:kern w:val="0"/>
                      <w:szCs w:val="21"/>
                      <w:highlight w:val="none"/>
                      <w:lang w:bidi="ar"/>
                    </w:rPr>
                  </w:pPr>
                  <w:r>
                    <w:rPr>
                      <w:rFonts w:hint="eastAsia"/>
                      <w:color w:val="FF0000"/>
                      <w:kern w:val="0"/>
                      <w:szCs w:val="21"/>
                      <w:highlight w:val="none"/>
                      <w:lang w:bidi="ar"/>
                    </w:rPr>
                    <w:t>给料机上料</w:t>
                  </w:r>
                </w:p>
              </w:tc>
              <w:tc>
                <w:tcPr>
                  <w:tcW w:w="1303" w:type="dxa"/>
                  <w:vMerge w:val="continue"/>
                  <w:tcBorders>
                    <w:tl2br w:val="nil"/>
                    <w:tr2bl w:val="nil"/>
                  </w:tcBorders>
                  <w:vAlign w:val="center"/>
                </w:tcPr>
                <w:p w14:paraId="341A6AFD">
                  <w:pPr>
                    <w:pStyle w:val="13"/>
                    <w:jc w:val="center"/>
                    <w:rPr>
                      <w:color w:val="FF0000"/>
                      <w:sz w:val="21"/>
                      <w:szCs w:val="21"/>
                      <w:highlight w:val="none"/>
                    </w:rPr>
                  </w:pPr>
                </w:p>
              </w:tc>
              <w:tc>
                <w:tcPr>
                  <w:tcW w:w="678" w:type="dxa"/>
                  <w:vMerge w:val="continue"/>
                  <w:tcBorders>
                    <w:tl2br w:val="nil"/>
                    <w:tr2bl w:val="nil"/>
                  </w:tcBorders>
                  <w:vAlign w:val="center"/>
                </w:tcPr>
                <w:p w14:paraId="0F43E834">
                  <w:pPr>
                    <w:pStyle w:val="13"/>
                    <w:jc w:val="center"/>
                    <w:rPr>
                      <w:color w:val="FF0000"/>
                      <w:sz w:val="21"/>
                      <w:szCs w:val="21"/>
                      <w:highlight w:val="none"/>
                    </w:rPr>
                  </w:pPr>
                </w:p>
              </w:tc>
              <w:tc>
                <w:tcPr>
                  <w:tcW w:w="2897" w:type="dxa"/>
                  <w:vMerge w:val="restart"/>
                  <w:tcBorders>
                    <w:tl2br w:val="nil"/>
                    <w:tr2bl w:val="nil"/>
                  </w:tcBorders>
                  <w:vAlign w:val="center"/>
                </w:tcPr>
                <w:p w14:paraId="69BFE327">
                  <w:pPr>
                    <w:widowControl/>
                    <w:jc w:val="center"/>
                    <w:rPr>
                      <w:color w:val="FF0000"/>
                      <w:kern w:val="0"/>
                      <w:szCs w:val="21"/>
                      <w:highlight w:val="none"/>
                      <w:lang w:bidi="ar"/>
                    </w:rPr>
                  </w:pPr>
                  <w:r>
                    <w:rPr>
                      <w:rFonts w:hint="eastAsia"/>
                      <w:color w:val="FF0000"/>
                      <w:kern w:val="0"/>
                      <w:szCs w:val="21"/>
                      <w:highlight w:val="none"/>
                      <w:lang w:bidi="ar"/>
                    </w:rPr>
                    <w:t>生产车间、皮带廊</w:t>
                  </w:r>
                  <w:r>
                    <w:rPr>
                      <w:rFonts w:hint="eastAsia"/>
                      <w:color w:val="FF0000"/>
                      <w:kern w:val="0"/>
                      <w:szCs w:val="21"/>
                      <w:highlight w:val="none"/>
                      <w:lang w:val="en-US" w:eastAsia="zh-CN" w:bidi="ar"/>
                    </w:rPr>
                    <w:t>全</w:t>
                  </w:r>
                  <w:r>
                    <w:rPr>
                      <w:color w:val="FF0000"/>
                      <w:kern w:val="0"/>
                      <w:szCs w:val="21"/>
                      <w:highlight w:val="none"/>
                      <w:lang w:bidi="ar"/>
                    </w:rPr>
                    <w:t>封闭，配置</w:t>
                  </w:r>
                  <w:r>
                    <w:rPr>
                      <w:rFonts w:hint="eastAsia"/>
                      <w:color w:val="FF0000"/>
                      <w:kern w:val="0"/>
                      <w:szCs w:val="21"/>
                      <w:highlight w:val="none"/>
                      <w:lang w:bidi="ar"/>
                    </w:rPr>
                    <w:t>雾炮机</w:t>
                  </w:r>
                  <w:r>
                    <w:rPr>
                      <w:color w:val="FF0000"/>
                      <w:kern w:val="0"/>
                      <w:szCs w:val="21"/>
                      <w:highlight w:val="none"/>
                      <w:lang w:bidi="ar"/>
                    </w:rPr>
                    <w:t>在生产过程进行洒水抑尘</w:t>
                  </w:r>
                  <w:r>
                    <w:rPr>
                      <w:rFonts w:hint="eastAsia"/>
                      <w:color w:val="FF0000"/>
                      <w:kern w:val="0"/>
                      <w:szCs w:val="21"/>
                      <w:highlight w:val="none"/>
                      <w:lang w:bidi="ar"/>
                    </w:rPr>
                    <w:t>，产尘点设备上方设置集气罩收集后，由袋式除尘器+15m排气筒DA001排放</w:t>
                  </w:r>
                </w:p>
              </w:tc>
            </w:tr>
            <w:tr w14:paraId="7C0A998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87" w:hRule="atLeast"/>
                <w:jc w:val="center"/>
              </w:trPr>
              <w:tc>
                <w:tcPr>
                  <w:tcW w:w="801" w:type="dxa"/>
                  <w:vMerge w:val="continue"/>
                  <w:tcBorders>
                    <w:tl2br w:val="nil"/>
                    <w:tr2bl w:val="nil"/>
                  </w:tcBorders>
                  <w:vAlign w:val="center"/>
                </w:tcPr>
                <w:p w14:paraId="487E9F3F">
                  <w:pPr>
                    <w:pStyle w:val="13"/>
                    <w:jc w:val="center"/>
                    <w:rPr>
                      <w:color w:val="FF0000"/>
                      <w:sz w:val="21"/>
                      <w:szCs w:val="21"/>
                      <w:highlight w:val="none"/>
                    </w:rPr>
                  </w:pPr>
                </w:p>
              </w:tc>
              <w:tc>
                <w:tcPr>
                  <w:tcW w:w="630" w:type="dxa"/>
                  <w:tcBorders>
                    <w:tl2br w:val="nil"/>
                    <w:tr2bl w:val="nil"/>
                  </w:tcBorders>
                  <w:vAlign w:val="center"/>
                </w:tcPr>
                <w:p w14:paraId="3373C587">
                  <w:pPr>
                    <w:pStyle w:val="13"/>
                    <w:jc w:val="center"/>
                    <w:rPr>
                      <w:color w:val="FF0000"/>
                      <w:sz w:val="21"/>
                      <w:szCs w:val="21"/>
                      <w:highlight w:val="none"/>
                    </w:rPr>
                  </w:pPr>
                  <w:r>
                    <w:rPr>
                      <w:rFonts w:hint="eastAsia"/>
                      <w:color w:val="FF0000"/>
                      <w:sz w:val="21"/>
                      <w:szCs w:val="21"/>
                      <w:highlight w:val="none"/>
                    </w:rPr>
                    <w:t>G5</w:t>
                  </w:r>
                </w:p>
              </w:tc>
              <w:tc>
                <w:tcPr>
                  <w:tcW w:w="1636" w:type="dxa"/>
                  <w:tcBorders>
                    <w:tl2br w:val="nil"/>
                    <w:tr2bl w:val="nil"/>
                  </w:tcBorders>
                  <w:vAlign w:val="center"/>
                </w:tcPr>
                <w:p w14:paraId="600DC555">
                  <w:pPr>
                    <w:widowControl/>
                    <w:jc w:val="center"/>
                    <w:rPr>
                      <w:color w:val="FF0000"/>
                      <w:szCs w:val="21"/>
                      <w:highlight w:val="none"/>
                    </w:rPr>
                  </w:pPr>
                  <w:r>
                    <w:rPr>
                      <w:rFonts w:hint="eastAsia"/>
                      <w:color w:val="FF0000"/>
                      <w:szCs w:val="21"/>
                      <w:highlight w:val="none"/>
                    </w:rPr>
                    <w:t>一级破碎</w:t>
                  </w:r>
                </w:p>
              </w:tc>
              <w:tc>
                <w:tcPr>
                  <w:tcW w:w="1303" w:type="dxa"/>
                  <w:vMerge w:val="continue"/>
                  <w:tcBorders>
                    <w:tl2br w:val="nil"/>
                    <w:tr2bl w:val="nil"/>
                  </w:tcBorders>
                  <w:vAlign w:val="center"/>
                </w:tcPr>
                <w:p w14:paraId="235D9B1B">
                  <w:pPr>
                    <w:pStyle w:val="13"/>
                    <w:jc w:val="center"/>
                    <w:rPr>
                      <w:color w:val="FF0000"/>
                      <w:sz w:val="21"/>
                      <w:szCs w:val="21"/>
                      <w:highlight w:val="none"/>
                    </w:rPr>
                  </w:pPr>
                </w:p>
              </w:tc>
              <w:tc>
                <w:tcPr>
                  <w:tcW w:w="678" w:type="dxa"/>
                  <w:vMerge w:val="continue"/>
                  <w:tcBorders>
                    <w:tl2br w:val="nil"/>
                    <w:tr2bl w:val="nil"/>
                  </w:tcBorders>
                  <w:vAlign w:val="center"/>
                </w:tcPr>
                <w:p w14:paraId="7B04F47F">
                  <w:pPr>
                    <w:pStyle w:val="13"/>
                    <w:jc w:val="center"/>
                    <w:rPr>
                      <w:color w:val="FF0000"/>
                      <w:sz w:val="21"/>
                      <w:szCs w:val="21"/>
                      <w:highlight w:val="none"/>
                    </w:rPr>
                  </w:pPr>
                </w:p>
              </w:tc>
              <w:tc>
                <w:tcPr>
                  <w:tcW w:w="2897" w:type="dxa"/>
                  <w:vMerge w:val="continue"/>
                  <w:tcBorders>
                    <w:tl2br w:val="nil"/>
                    <w:tr2bl w:val="nil"/>
                  </w:tcBorders>
                  <w:vAlign w:val="center"/>
                </w:tcPr>
                <w:p w14:paraId="506C3003">
                  <w:pPr>
                    <w:widowControl/>
                    <w:jc w:val="center"/>
                    <w:rPr>
                      <w:color w:val="FF0000"/>
                      <w:kern w:val="0"/>
                      <w:szCs w:val="21"/>
                      <w:highlight w:val="none"/>
                      <w:lang w:bidi="ar"/>
                    </w:rPr>
                  </w:pPr>
                </w:p>
              </w:tc>
            </w:tr>
            <w:tr w14:paraId="4751B9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801" w:type="dxa"/>
                  <w:vMerge w:val="continue"/>
                  <w:tcBorders>
                    <w:tl2br w:val="nil"/>
                    <w:tr2bl w:val="nil"/>
                  </w:tcBorders>
                  <w:vAlign w:val="center"/>
                </w:tcPr>
                <w:p w14:paraId="64A282DD">
                  <w:pPr>
                    <w:pStyle w:val="13"/>
                    <w:jc w:val="center"/>
                    <w:rPr>
                      <w:color w:val="FF0000"/>
                      <w:sz w:val="21"/>
                      <w:szCs w:val="21"/>
                      <w:highlight w:val="none"/>
                    </w:rPr>
                  </w:pPr>
                </w:p>
              </w:tc>
              <w:tc>
                <w:tcPr>
                  <w:tcW w:w="630" w:type="dxa"/>
                  <w:tcBorders>
                    <w:tl2br w:val="nil"/>
                    <w:tr2bl w:val="nil"/>
                  </w:tcBorders>
                  <w:vAlign w:val="center"/>
                </w:tcPr>
                <w:p w14:paraId="6C43E337">
                  <w:pPr>
                    <w:pStyle w:val="13"/>
                    <w:jc w:val="center"/>
                    <w:rPr>
                      <w:color w:val="FF0000"/>
                      <w:sz w:val="21"/>
                      <w:szCs w:val="21"/>
                      <w:highlight w:val="none"/>
                    </w:rPr>
                  </w:pPr>
                  <w:r>
                    <w:rPr>
                      <w:rFonts w:hint="eastAsia"/>
                      <w:color w:val="FF0000"/>
                      <w:sz w:val="21"/>
                      <w:szCs w:val="21"/>
                      <w:highlight w:val="none"/>
                    </w:rPr>
                    <w:t>G6</w:t>
                  </w:r>
                </w:p>
              </w:tc>
              <w:tc>
                <w:tcPr>
                  <w:tcW w:w="1636" w:type="dxa"/>
                  <w:tcBorders>
                    <w:tl2br w:val="nil"/>
                    <w:tr2bl w:val="nil"/>
                  </w:tcBorders>
                  <w:vAlign w:val="center"/>
                </w:tcPr>
                <w:p w14:paraId="3F02BDD1">
                  <w:pPr>
                    <w:widowControl/>
                    <w:jc w:val="center"/>
                    <w:rPr>
                      <w:color w:val="FF0000"/>
                      <w:kern w:val="0"/>
                      <w:szCs w:val="21"/>
                      <w:highlight w:val="none"/>
                      <w:lang w:bidi="ar"/>
                    </w:rPr>
                  </w:pPr>
                  <w:r>
                    <w:rPr>
                      <w:rFonts w:hint="eastAsia"/>
                      <w:color w:val="FF0000"/>
                      <w:kern w:val="0"/>
                      <w:szCs w:val="21"/>
                      <w:highlight w:val="none"/>
                      <w:lang w:bidi="ar"/>
                    </w:rPr>
                    <w:t>二级破碎</w:t>
                  </w:r>
                </w:p>
              </w:tc>
              <w:tc>
                <w:tcPr>
                  <w:tcW w:w="1303" w:type="dxa"/>
                  <w:vMerge w:val="continue"/>
                  <w:tcBorders>
                    <w:tl2br w:val="nil"/>
                    <w:tr2bl w:val="nil"/>
                  </w:tcBorders>
                  <w:vAlign w:val="center"/>
                </w:tcPr>
                <w:p w14:paraId="65BDB269">
                  <w:pPr>
                    <w:pStyle w:val="13"/>
                    <w:jc w:val="center"/>
                    <w:rPr>
                      <w:color w:val="FF0000"/>
                      <w:sz w:val="21"/>
                      <w:szCs w:val="21"/>
                      <w:highlight w:val="none"/>
                    </w:rPr>
                  </w:pPr>
                </w:p>
              </w:tc>
              <w:tc>
                <w:tcPr>
                  <w:tcW w:w="678" w:type="dxa"/>
                  <w:vMerge w:val="continue"/>
                  <w:tcBorders>
                    <w:tl2br w:val="nil"/>
                    <w:tr2bl w:val="nil"/>
                  </w:tcBorders>
                  <w:vAlign w:val="center"/>
                </w:tcPr>
                <w:p w14:paraId="550F478C">
                  <w:pPr>
                    <w:pStyle w:val="13"/>
                    <w:jc w:val="center"/>
                    <w:rPr>
                      <w:color w:val="FF0000"/>
                      <w:sz w:val="21"/>
                      <w:szCs w:val="21"/>
                      <w:highlight w:val="none"/>
                    </w:rPr>
                  </w:pPr>
                </w:p>
              </w:tc>
              <w:tc>
                <w:tcPr>
                  <w:tcW w:w="2897" w:type="dxa"/>
                  <w:vMerge w:val="continue"/>
                  <w:tcBorders>
                    <w:tl2br w:val="nil"/>
                    <w:tr2bl w:val="nil"/>
                  </w:tcBorders>
                  <w:vAlign w:val="center"/>
                </w:tcPr>
                <w:p w14:paraId="202E5686">
                  <w:pPr>
                    <w:widowControl/>
                    <w:jc w:val="center"/>
                    <w:rPr>
                      <w:color w:val="FF0000"/>
                      <w:kern w:val="0"/>
                      <w:szCs w:val="21"/>
                      <w:highlight w:val="none"/>
                      <w:lang w:bidi="ar"/>
                    </w:rPr>
                  </w:pPr>
                </w:p>
              </w:tc>
            </w:tr>
            <w:tr w14:paraId="7540C7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801" w:type="dxa"/>
                  <w:vMerge w:val="continue"/>
                  <w:tcBorders>
                    <w:tl2br w:val="nil"/>
                    <w:tr2bl w:val="nil"/>
                  </w:tcBorders>
                  <w:vAlign w:val="center"/>
                </w:tcPr>
                <w:p w14:paraId="29CA811D">
                  <w:pPr>
                    <w:pStyle w:val="13"/>
                    <w:jc w:val="center"/>
                    <w:rPr>
                      <w:color w:val="FF0000"/>
                      <w:sz w:val="21"/>
                      <w:szCs w:val="21"/>
                      <w:highlight w:val="none"/>
                    </w:rPr>
                  </w:pPr>
                </w:p>
              </w:tc>
              <w:tc>
                <w:tcPr>
                  <w:tcW w:w="630" w:type="dxa"/>
                  <w:tcBorders>
                    <w:tl2br w:val="nil"/>
                    <w:tr2bl w:val="nil"/>
                  </w:tcBorders>
                  <w:vAlign w:val="center"/>
                </w:tcPr>
                <w:p w14:paraId="5B1C51F1">
                  <w:pPr>
                    <w:pStyle w:val="13"/>
                    <w:jc w:val="center"/>
                    <w:rPr>
                      <w:color w:val="FF0000"/>
                      <w:sz w:val="21"/>
                      <w:szCs w:val="21"/>
                      <w:highlight w:val="none"/>
                    </w:rPr>
                  </w:pPr>
                  <w:r>
                    <w:rPr>
                      <w:rFonts w:hint="eastAsia"/>
                      <w:color w:val="FF0000"/>
                      <w:sz w:val="21"/>
                      <w:szCs w:val="21"/>
                      <w:highlight w:val="none"/>
                    </w:rPr>
                    <w:t>G7</w:t>
                  </w:r>
                </w:p>
              </w:tc>
              <w:tc>
                <w:tcPr>
                  <w:tcW w:w="1636" w:type="dxa"/>
                  <w:tcBorders>
                    <w:tl2br w:val="nil"/>
                    <w:tr2bl w:val="nil"/>
                  </w:tcBorders>
                  <w:vAlign w:val="center"/>
                </w:tcPr>
                <w:p w14:paraId="0B3B79BA">
                  <w:pPr>
                    <w:widowControl/>
                    <w:jc w:val="center"/>
                    <w:rPr>
                      <w:rFonts w:ascii="Times New Roman" w:hAnsi="Times New Roman" w:eastAsia="宋体" w:cs="Times New Roman"/>
                      <w:color w:val="FF0000"/>
                      <w:kern w:val="0"/>
                      <w:sz w:val="21"/>
                      <w:szCs w:val="21"/>
                      <w:highlight w:val="none"/>
                      <w:lang w:val="en-US" w:eastAsia="zh-CN" w:bidi="ar"/>
                    </w:rPr>
                  </w:pPr>
                  <w:r>
                    <w:rPr>
                      <w:rFonts w:hint="eastAsia"/>
                      <w:color w:val="FF0000"/>
                      <w:kern w:val="0"/>
                      <w:szCs w:val="21"/>
                      <w:highlight w:val="none"/>
                      <w:lang w:bidi="ar"/>
                    </w:rPr>
                    <w:t>筛分</w:t>
                  </w:r>
                </w:p>
              </w:tc>
              <w:tc>
                <w:tcPr>
                  <w:tcW w:w="1303" w:type="dxa"/>
                  <w:vMerge w:val="continue"/>
                  <w:tcBorders>
                    <w:tl2br w:val="nil"/>
                    <w:tr2bl w:val="nil"/>
                  </w:tcBorders>
                  <w:vAlign w:val="center"/>
                </w:tcPr>
                <w:p w14:paraId="077C147D">
                  <w:pPr>
                    <w:pStyle w:val="13"/>
                    <w:jc w:val="center"/>
                    <w:rPr>
                      <w:color w:val="FF0000"/>
                      <w:sz w:val="21"/>
                      <w:szCs w:val="21"/>
                      <w:highlight w:val="none"/>
                    </w:rPr>
                  </w:pPr>
                </w:p>
              </w:tc>
              <w:tc>
                <w:tcPr>
                  <w:tcW w:w="678" w:type="dxa"/>
                  <w:vMerge w:val="continue"/>
                  <w:tcBorders>
                    <w:tl2br w:val="nil"/>
                    <w:tr2bl w:val="nil"/>
                  </w:tcBorders>
                  <w:vAlign w:val="center"/>
                </w:tcPr>
                <w:p w14:paraId="29B80FE8">
                  <w:pPr>
                    <w:pStyle w:val="13"/>
                    <w:jc w:val="center"/>
                    <w:rPr>
                      <w:color w:val="FF0000"/>
                      <w:sz w:val="21"/>
                      <w:szCs w:val="21"/>
                      <w:highlight w:val="none"/>
                    </w:rPr>
                  </w:pPr>
                </w:p>
              </w:tc>
              <w:tc>
                <w:tcPr>
                  <w:tcW w:w="2897" w:type="dxa"/>
                  <w:vMerge w:val="continue"/>
                  <w:tcBorders>
                    <w:tl2br w:val="nil"/>
                    <w:tr2bl w:val="nil"/>
                  </w:tcBorders>
                  <w:vAlign w:val="center"/>
                </w:tcPr>
                <w:p w14:paraId="6969FABF">
                  <w:pPr>
                    <w:widowControl/>
                    <w:jc w:val="center"/>
                    <w:rPr>
                      <w:color w:val="FF0000"/>
                      <w:kern w:val="0"/>
                      <w:szCs w:val="21"/>
                      <w:highlight w:val="none"/>
                      <w:lang w:bidi="ar"/>
                    </w:rPr>
                  </w:pPr>
                </w:p>
              </w:tc>
            </w:tr>
            <w:tr w14:paraId="19C6E2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4" w:hRule="atLeast"/>
                <w:jc w:val="center"/>
              </w:trPr>
              <w:tc>
                <w:tcPr>
                  <w:tcW w:w="801" w:type="dxa"/>
                  <w:vMerge w:val="continue"/>
                  <w:tcBorders>
                    <w:tl2br w:val="nil"/>
                    <w:tr2bl w:val="nil"/>
                  </w:tcBorders>
                  <w:vAlign w:val="center"/>
                </w:tcPr>
                <w:p w14:paraId="08FBADE1">
                  <w:pPr>
                    <w:pStyle w:val="13"/>
                    <w:jc w:val="center"/>
                    <w:rPr>
                      <w:color w:val="FF0000"/>
                      <w:sz w:val="21"/>
                      <w:szCs w:val="21"/>
                      <w:highlight w:val="none"/>
                    </w:rPr>
                  </w:pPr>
                </w:p>
              </w:tc>
              <w:tc>
                <w:tcPr>
                  <w:tcW w:w="630" w:type="dxa"/>
                  <w:tcBorders>
                    <w:tl2br w:val="nil"/>
                    <w:tr2bl w:val="nil"/>
                  </w:tcBorders>
                  <w:vAlign w:val="center"/>
                </w:tcPr>
                <w:p w14:paraId="3352DF63">
                  <w:pPr>
                    <w:pStyle w:val="13"/>
                    <w:jc w:val="center"/>
                    <w:rPr>
                      <w:rFonts w:hint="eastAsia" w:eastAsia="宋体"/>
                      <w:color w:val="FF0000"/>
                      <w:sz w:val="21"/>
                      <w:szCs w:val="21"/>
                      <w:highlight w:val="none"/>
                      <w:lang w:val="en-US" w:eastAsia="zh-CN"/>
                    </w:rPr>
                  </w:pPr>
                  <w:r>
                    <w:rPr>
                      <w:rFonts w:hint="eastAsia"/>
                      <w:color w:val="FF0000"/>
                      <w:sz w:val="21"/>
                      <w:szCs w:val="21"/>
                      <w:highlight w:val="none"/>
                    </w:rPr>
                    <w:t>G</w:t>
                  </w:r>
                  <w:r>
                    <w:rPr>
                      <w:rFonts w:hint="eastAsia"/>
                      <w:color w:val="FF0000"/>
                      <w:sz w:val="21"/>
                      <w:szCs w:val="21"/>
                      <w:highlight w:val="none"/>
                      <w:lang w:val="en-US" w:eastAsia="zh-CN"/>
                    </w:rPr>
                    <w:t>8</w:t>
                  </w:r>
                </w:p>
              </w:tc>
              <w:tc>
                <w:tcPr>
                  <w:tcW w:w="1636" w:type="dxa"/>
                  <w:tcBorders>
                    <w:tl2br w:val="nil"/>
                    <w:tr2bl w:val="nil"/>
                  </w:tcBorders>
                  <w:vAlign w:val="center"/>
                </w:tcPr>
                <w:p w14:paraId="0627D933">
                  <w:pPr>
                    <w:widowControl/>
                    <w:jc w:val="center"/>
                    <w:rPr>
                      <w:color w:val="FF0000"/>
                      <w:szCs w:val="21"/>
                      <w:highlight w:val="none"/>
                    </w:rPr>
                  </w:pPr>
                  <w:r>
                    <w:rPr>
                      <w:color w:val="FF0000"/>
                      <w:szCs w:val="21"/>
                      <w:highlight w:val="none"/>
                    </w:rPr>
                    <w:t>成品暂存</w:t>
                  </w:r>
                </w:p>
              </w:tc>
              <w:tc>
                <w:tcPr>
                  <w:tcW w:w="1303" w:type="dxa"/>
                  <w:vMerge w:val="continue"/>
                  <w:tcBorders>
                    <w:tl2br w:val="nil"/>
                    <w:tr2bl w:val="nil"/>
                  </w:tcBorders>
                  <w:vAlign w:val="center"/>
                </w:tcPr>
                <w:p w14:paraId="0CEAEABD">
                  <w:pPr>
                    <w:pStyle w:val="13"/>
                    <w:jc w:val="center"/>
                    <w:rPr>
                      <w:color w:val="FF0000"/>
                      <w:sz w:val="21"/>
                      <w:szCs w:val="21"/>
                      <w:highlight w:val="none"/>
                    </w:rPr>
                  </w:pPr>
                </w:p>
              </w:tc>
              <w:tc>
                <w:tcPr>
                  <w:tcW w:w="678" w:type="dxa"/>
                  <w:vMerge w:val="continue"/>
                  <w:tcBorders>
                    <w:tl2br w:val="nil"/>
                    <w:tr2bl w:val="nil"/>
                  </w:tcBorders>
                  <w:vAlign w:val="center"/>
                </w:tcPr>
                <w:p w14:paraId="173A0DF5">
                  <w:pPr>
                    <w:pStyle w:val="13"/>
                    <w:jc w:val="center"/>
                    <w:rPr>
                      <w:color w:val="FF0000"/>
                      <w:sz w:val="21"/>
                      <w:szCs w:val="21"/>
                      <w:highlight w:val="none"/>
                    </w:rPr>
                  </w:pPr>
                </w:p>
              </w:tc>
              <w:tc>
                <w:tcPr>
                  <w:tcW w:w="2897" w:type="dxa"/>
                  <w:vMerge w:val="continue"/>
                  <w:tcBorders>
                    <w:tl2br w:val="nil"/>
                    <w:tr2bl w:val="nil"/>
                  </w:tcBorders>
                  <w:vAlign w:val="center"/>
                </w:tcPr>
                <w:p w14:paraId="7488C439">
                  <w:pPr>
                    <w:widowControl/>
                    <w:jc w:val="center"/>
                    <w:rPr>
                      <w:color w:val="FF0000"/>
                      <w:kern w:val="0"/>
                      <w:szCs w:val="21"/>
                      <w:highlight w:val="none"/>
                      <w:lang w:bidi="ar"/>
                    </w:rPr>
                  </w:pPr>
                </w:p>
              </w:tc>
            </w:tr>
            <w:tr w14:paraId="0FE38B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8" w:hRule="atLeast"/>
                <w:jc w:val="center"/>
              </w:trPr>
              <w:tc>
                <w:tcPr>
                  <w:tcW w:w="801" w:type="dxa"/>
                  <w:vMerge w:val="continue"/>
                  <w:tcBorders>
                    <w:tl2br w:val="nil"/>
                    <w:tr2bl w:val="nil"/>
                  </w:tcBorders>
                  <w:vAlign w:val="center"/>
                </w:tcPr>
                <w:p w14:paraId="0FAEC114">
                  <w:pPr>
                    <w:pStyle w:val="13"/>
                    <w:jc w:val="center"/>
                    <w:rPr>
                      <w:color w:val="FF0000"/>
                      <w:sz w:val="21"/>
                      <w:szCs w:val="21"/>
                      <w:highlight w:val="none"/>
                    </w:rPr>
                  </w:pPr>
                </w:p>
              </w:tc>
              <w:tc>
                <w:tcPr>
                  <w:tcW w:w="630" w:type="dxa"/>
                  <w:tcBorders>
                    <w:tl2br w:val="nil"/>
                    <w:tr2bl w:val="nil"/>
                  </w:tcBorders>
                  <w:vAlign w:val="center"/>
                </w:tcPr>
                <w:p w14:paraId="427A533E">
                  <w:pPr>
                    <w:pStyle w:val="13"/>
                    <w:jc w:val="center"/>
                    <w:rPr>
                      <w:rFonts w:hint="eastAsia" w:eastAsia="宋体"/>
                      <w:color w:val="FF0000"/>
                      <w:sz w:val="21"/>
                      <w:szCs w:val="21"/>
                      <w:highlight w:val="none"/>
                      <w:lang w:eastAsia="zh-CN"/>
                    </w:rPr>
                  </w:pPr>
                  <w:r>
                    <w:rPr>
                      <w:rFonts w:hint="eastAsia"/>
                      <w:color w:val="FF0000"/>
                      <w:sz w:val="21"/>
                      <w:szCs w:val="21"/>
                      <w:highlight w:val="none"/>
                    </w:rPr>
                    <w:t>G</w:t>
                  </w:r>
                  <w:r>
                    <w:rPr>
                      <w:rFonts w:hint="eastAsia"/>
                      <w:color w:val="FF0000"/>
                      <w:sz w:val="21"/>
                      <w:szCs w:val="21"/>
                      <w:highlight w:val="none"/>
                      <w:lang w:val="en-US" w:eastAsia="zh-CN"/>
                    </w:rPr>
                    <w:t>9</w:t>
                  </w:r>
                </w:p>
              </w:tc>
              <w:tc>
                <w:tcPr>
                  <w:tcW w:w="1636" w:type="dxa"/>
                  <w:tcBorders>
                    <w:tl2br w:val="nil"/>
                    <w:tr2bl w:val="nil"/>
                  </w:tcBorders>
                  <w:vAlign w:val="center"/>
                </w:tcPr>
                <w:p w14:paraId="44EB880A">
                  <w:pPr>
                    <w:widowControl/>
                    <w:jc w:val="center"/>
                    <w:rPr>
                      <w:rFonts w:ascii="Times New Roman" w:hAnsi="Times New Roman" w:eastAsia="宋体" w:cs="Times New Roman"/>
                      <w:color w:val="FF0000"/>
                      <w:kern w:val="0"/>
                      <w:sz w:val="21"/>
                      <w:szCs w:val="21"/>
                      <w:highlight w:val="none"/>
                      <w:lang w:val="en-US" w:eastAsia="zh-CN" w:bidi="ar"/>
                    </w:rPr>
                  </w:pPr>
                  <w:r>
                    <w:rPr>
                      <w:color w:val="FF0000"/>
                      <w:szCs w:val="21"/>
                      <w:highlight w:val="none"/>
                    </w:rPr>
                    <w:t>成品装货</w:t>
                  </w:r>
                </w:p>
              </w:tc>
              <w:tc>
                <w:tcPr>
                  <w:tcW w:w="1303" w:type="dxa"/>
                  <w:vMerge w:val="continue"/>
                  <w:tcBorders>
                    <w:tl2br w:val="nil"/>
                    <w:tr2bl w:val="nil"/>
                  </w:tcBorders>
                  <w:vAlign w:val="center"/>
                </w:tcPr>
                <w:p w14:paraId="0CCAF951">
                  <w:pPr>
                    <w:pStyle w:val="13"/>
                    <w:jc w:val="center"/>
                    <w:rPr>
                      <w:color w:val="FF0000"/>
                      <w:sz w:val="21"/>
                      <w:szCs w:val="21"/>
                      <w:highlight w:val="none"/>
                    </w:rPr>
                  </w:pPr>
                </w:p>
              </w:tc>
              <w:tc>
                <w:tcPr>
                  <w:tcW w:w="678" w:type="dxa"/>
                  <w:vMerge w:val="continue"/>
                  <w:tcBorders>
                    <w:tl2br w:val="nil"/>
                    <w:tr2bl w:val="nil"/>
                  </w:tcBorders>
                  <w:vAlign w:val="center"/>
                </w:tcPr>
                <w:p w14:paraId="3F865E7D">
                  <w:pPr>
                    <w:pStyle w:val="13"/>
                    <w:jc w:val="center"/>
                    <w:rPr>
                      <w:color w:val="FF0000"/>
                      <w:sz w:val="21"/>
                      <w:szCs w:val="21"/>
                      <w:highlight w:val="none"/>
                    </w:rPr>
                  </w:pPr>
                </w:p>
              </w:tc>
              <w:tc>
                <w:tcPr>
                  <w:tcW w:w="2897" w:type="dxa"/>
                  <w:tcBorders>
                    <w:tl2br w:val="nil"/>
                    <w:tr2bl w:val="nil"/>
                  </w:tcBorders>
                  <w:vAlign w:val="center"/>
                </w:tcPr>
                <w:p w14:paraId="3438B754">
                  <w:pPr>
                    <w:widowControl/>
                    <w:jc w:val="center"/>
                    <w:rPr>
                      <w:color w:val="FF0000"/>
                      <w:kern w:val="0"/>
                      <w:szCs w:val="21"/>
                      <w:highlight w:val="none"/>
                      <w:lang w:bidi="ar"/>
                    </w:rPr>
                  </w:pPr>
                  <w:r>
                    <w:rPr>
                      <w:rFonts w:hint="eastAsia"/>
                      <w:color w:val="FF0000"/>
                      <w:kern w:val="0"/>
                      <w:szCs w:val="21"/>
                      <w:highlight w:val="none"/>
                      <w:lang w:bidi="ar"/>
                    </w:rPr>
                    <w:t>成品库</w:t>
                  </w:r>
                  <w:r>
                    <w:rPr>
                      <w:rFonts w:hint="eastAsia"/>
                      <w:color w:val="FF0000"/>
                      <w:kern w:val="0"/>
                      <w:szCs w:val="21"/>
                      <w:highlight w:val="none"/>
                      <w:lang w:val="en-US" w:eastAsia="zh-CN" w:bidi="ar"/>
                    </w:rPr>
                    <w:t>全</w:t>
                  </w:r>
                  <w:r>
                    <w:rPr>
                      <w:color w:val="FF0000"/>
                      <w:kern w:val="0"/>
                      <w:szCs w:val="21"/>
                      <w:highlight w:val="none"/>
                      <w:lang w:bidi="ar"/>
                    </w:rPr>
                    <w:t>封闭，配置</w:t>
                  </w:r>
                  <w:r>
                    <w:rPr>
                      <w:rFonts w:hint="eastAsia"/>
                      <w:color w:val="FF0000"/>
                      <w:kern w:val="0"/>
                      <w:szCs w:val="21"/>
                      <w:highlight w:val="none"/>
                      <w:lang w:bidi="ar"/>
                    </w:rPr>
                    <w:t>雾炮机</w:t>
                  </w:r>
                  <w:r>
                    <w:rPr>
                      <w:color w:val="FF0000"/>
                      <w:kern w:val="0"/>
                      <w:szCs w:val="21"/>
                      <w:highlight w:val="none"/>
                      <w:lang w:bidi="ar"/>
                    </w:rPr>
                    <w:t>洒水抑尘</w:t>
                  </w:r>
                </w:p>
              </w:tc>
            </w:tr>
            <w:tr w14:paraId="1688EE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tcBorders>
                    <w:tl2br w:val="nil"/>
                    <w:tr2bl w:val="nil"/>
                  </w:tcBorders>
                  <w:vAlign w:val="center"/>
                </w:tcPr>
                <w:p w14:paraId="28EF1C53">
                  <w:pPr>
                    <w:pStyle w:val="13"/>
                    <w:jc w:val="center"/>
                    <w:rPr>
                      <w:color w:val="FF0000"/>
                      <w:sz w:val="21"/>
                      <w:szCs w:val="21"/>
                      <w:highlight w:val="none"/>
                    </w:rPr>
                  </w:pPr>
                  <w:r>
                    <w:rPr>
                      <w:color w:val="FF0000"/>
                      <w:sz w:val="21"/>
                      <w:szCs w:val="21"/>
                      <w:highlight w:val="none"/>
                    </w:rPr>
                    <w:t>噪声</w:t>
                  </w:r>
                </w:p>
              </w:tc>
              <w:tc>
                <w:tcPr>
                  <w:tcW w:w="630" w:type="dxa"/>
                  <w:tcBorders>
                    <w:tl2br w:val="nil"/>
                    <w:tr2bl w:val="nil"/>
                  </w:tcBorders>
                  <w:vAlign w:val="center"/>
                </w:tcPr>
                <w:p w14:paraId="632A7EA2">
                  <w:pPr>
                    <w:widowControl/>
                    <w:jc w:val="center"/>
                    <w:rPr>
                      <w:color w:val="FF0000"/>
                      <w:szCs w:val="21"/>
                      <w:highlight w:val="none"/>
                    </w:rPr>
                  </w:pPr>
                  <w:r>
                    <w:rPr>
                      <w:color w:val="FF0000"/>
                      <w:kern w:val="0"/>
                      <w:szCs w:val="21"/>
                      <w:highlight w:val="none"/>
                      <w:lang w:bidi="ar"/>
                    </w:rPr>
                    <w:t>N</w:t>
                  </w:r>
                </w:p>
              </w:tc>
              <w:tc>
                <w:tcPr>
                  <w:tcW w:w="1636" w:type="dxa"/>
                  <w:tcBorders>
                    <w:tl2br w:val="nil"/>
                    <w:tr2bl w:val="nil"/>
                  </w:tcBorders>
                  <w:vAlign w:val="center"/>
                </w:tcPr>
                <w:p w14:paraId="04A22A9D">
                  <w:pPr>
                    <w:widowControl/>
                    <w:jc w:val="center"/>
                    <w:rPr>
                      <w:color w:val="FF0000"/>
                      <w:szCs w:val="21"/>
                      <w:highlight w:val="none"/>
                    </w:rPr>
                  </w:pPr>
                  <w:r>
                    <w:rPr>
                      <w:rFonts w:hint="eastAsia"/>
                      <w:color w:val="FF0000"/>
                      <w:kern w:val="0"/>
                      <w:szCs w:val="21"/>
                      <w:highlight w:val="none"/>
                      <w:lang w:bidi="ar"/>
                    </w:rPr>
                    <w:t>生产设备运行</w:t>
                  </w:r>
                </w:p>
              </w:tc>
              <w:tc>
                <w:tcPr>
                  <w:tcW w:w="1303" w:type="dxa"/>
                  <w:tcBorders>
                    <w:tl2br w:val="nil"/>
                    <w:tr2bl w:val="nil"/>
                  </w:tcBorders>
                  <w:vAlign w:val="center"/>
                </w:tcPr>
                <w:p w14:paraId="127E161C">
                  <w:pPr>
                    <w:widowControl/>
                    <w:jc w:val="center"/>
                    <w:rPr>
                      <w:color w:val="FF0000"/>
                      <w:szCs w:val="21"/>
                      <w:highlight w:val="none"/>
                    </w:rPr>
                  </w:pPr>
                  <w:r>
                    <w:rPr>
                      <w:color w:val="FF0000"/>
                      <w:kern w:val="0"/>
                      <w:szCs w:val="21"/>
                      <w:highlight w:val="none"/>
                      <w:lang w:bidi="ar"/>
                    </w:rPr>
                    <w:t>Leq（A）</w:t>
                  </w:r>
                </w:p>
              </w:tc>
              <w:tc>
                <w:tcPr>
                  <w:tcW w:w="678" w:type="dxa"/>
                  <w:tcBorders>
                    <w:tl2br w:val="nil"/>
                    <w:tr2bl w:val="nil"/>
                  </w:tcBorders>
                  <w:vAlign w:val="center"/>
                </w:tcPr>
                <w:p w14:paraId="1AB31813">
                  <w:pPr>
                    <w:pStyle w:val="13"/>
                    <w:jc w:val="center"/>
                    <w:rPr>
                      <w:color w:val="FF0000"/>
                      <w:sz w:val="21"/>
                      <w:szCs w:val="21"/>
                      <w:highlight w:val="none"/>
                    </w:rPr>
                  </w:pPr>
                  <w:r>
                    <w:rPr>
                      <w:color w:val="FF0000"/>
                      <w:sz w:val="21"/>
                      <w:szCs w:val="21"/>
                      <w:highlight w:val="none"/>
                    </w:rPr>
                    <w:t>连续</w:t>
                  </w:r>
                </w:p>
              </w:tc>
              <w:tc>
                <w:tcPr>
                  <w:tcW w:w="2897" w:type="dxa"/>
                  <w:tcBorders>
                    <w:tl2br w:val="nil"/>
                    <w:tr2bl w:val="nil"/>
                  </w:tcBorders>
                  <w:vAlign w:val="center"/>
                </w:tcPr>
                <w:p w14:paraId="33B05F2D">
                  <w:pPr>
                    <w:widowControl/>
                    <w:jc w:val="center"/>
                    <w:rPr>
                      <w:color w:val="FF0000"/>
                      <w:szCs w:val="21"/>
                      <w:highlight w:val="none"/>
                    </w:rPr>
                  </w:pPr>
                  <w:r>
                    <w:rPr>
                      <w:rFonts w:hint="eastAsia"/>
                      <w:color w:val="FF0000"/>
                      <w:kern w:val="0"/>
                      <w:szCs w:val="21"/>
                      <w:highlight w:val="none"/>
                      <w:lang w:val="en-US" w:eastAsia="zh-CN" w:bidi="ar"/>
                    </w:rPr>
                    <w:t>选用</w:t>
                  </w:r>
                  <w:r>
                    <w:rPr>
                      <w:color w:val="FF0000"/>
                      <w:kern w:val="0"/>
                      <w:szCs w:val="21"/>
                      <w:highlight w:val="none"/>
                      <w:lang w:bidi="ar"/>
                    </w:rPr>
                    <w:t>低噪声设备、</w:t>
                  </w:r>
                  <w:r>
                    <w:rPr>
                      <w:rFonts w:hint="eastAsia"/>
                      <w:color w:val="FF0000"/>
                      <w:kern w:val="0"/>
                      <w:szCs w:val="21"/>
                      <w:highlight w:val="none"/>
                      <w:lang w:bidi="ar"/>
                    </w:rPr>
                    <w:t>建筑隔声、合理布局、</w:t>
                  </w:r>
                  <w:r>
                    <w:rPr>
                      <w:color w:val="FF0000"/>
                      <w:kern w:val="0"/>
                      <w:szCs w:val="21"/>
                      <w:highlight w:val="none"/>
                      <w:lang w:bidi="ar"/>
                    </w:rPr>
                    <w:t>基础减振</w:t>
                  </w:r>
                  <w:r>
                    <w:rPr>
                      <w:rFonts w:hint="eastAsia"/>
                      <w:color w:val="FF0000"/>
                      <w:kern w:val="0"/>
                      <w:szCs w:val="21"/>
                      <w:highlight w:val="none"/>
                      <w:lang w:bidi="ar"/>
                    </w:rPr>
                    <w:t>、车辆限速限制鸣笛</w:t>
                  </w:r>
                </w:p>
              </w:tc>
            </w:tr>
            <w:tr w14:paraId="6244A7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801" w:type="dxa"/>
                  <w:vMerge w:val="restart"/>
                  <w:tcBorders>
                    <w:tl2br w:val="nil"/>
                    <w:tr2bl w:val="nil"/>
                  </w:tcBorders>
                  <w:vAlign w:val="center"/>
                </w:tcPr>
                <w:p w14:paraId="1EF8F958">
                  <w:pPr>
                    <w:widowControl/>
                    <w:jc w:val="center"/>
                    <w:rPr>
                      <w:color w:val="FF0000"/>
                      <w:szCs w:val="21"/>
                      <w:highlight w:val="none"/>
                    </w:rPr>
                  </w:pPr>
                  <w:r>
                    <w:rPr>
                      <w:color w:val="FF0000"/>
                      <w:kern w:val="0"/>
                      <w:szCs w:val="21"/>
                      <w:highlight w:val="none"/>
                      <w:lang w:bidi="ar"/>
                    </w:rPr>
                    <w:t>废水</w:t>
                  </w:r>
                </w:p>
              </w:tc>
              <w:tc>
                <w:tcPr>
                  <w:tcW w:w="630" w:type="dxa"/>
                  <w:tcBorders>
                    <w:tl2br w:val="nil"/>
                    <w:tr2bl w:val="nil"/>
                  </w:tcBorders>
                  <w:vAlign w:val="center"/>
                </w:tcPr>
                <w:p w14:paraId="366602A1">
                  <w:pPr>
                    <w:widowControl/>
                    <w:jc w:val="center"/>
                    <w:rPr>
                      <w:color w:val="FF0000"/>
                      <w:szCs w:val="21"/>
                      <w:highlight w:val="none"/>
                    </w:rPr>
                  </w:pPr>
                  <w:r>
                    <w:rPr>
                      <w:rFonts w:hint="eastAsia"/>
                      <w:color w:val="FF0000"/>
                      <w:kern w:val="0"/>
                      <w:szCs w:val="21"/>
                      <w:highlight w:val="none"/>
                      <w:lang w:bidi="ar"/>
                    </w:rPr>
                    <w:t>W1</w:t>
                  </w:r>
                </w:p>
              </w:tc>
              <w:tc>
                <w:tcPr>
                  <w:tcW w:w="1636" w:type="dxa"/>
                  <w:tcBorders>
                    <w:tl2br w:val="nil"/>
                    <w:tr2bl w:val="nil"/>
                  </w:tcBorders>
                  <w:vAlign w:val="center"/>
                </w:tcPr>
                <w:p w14:paraId="795B86EC">
                  <w:pPr>
                    <w:widowControl/>
                    <w:jc w:val="center"/>
                    <w:rPr>
                      <w:color w:val="FF0000"/>
                      <w:kern w:val="0"/>
                      <w:szCs w:val="21"/>
                      <w:highlight w:val="none"/>
                      <w:lang w:bidi="ar"/>
                    </w:rPr>
                  </w:pPr>
                  <w:r>
                    <w:rPr>
                      <w:rFonts w:hint="eastAsia"/>
                      <w:color w:val="FF0000"/>
                      <w:kern w:val="0"/>
                      <w:szCs w:val="21"/>
                      <w:highlight w:val="none"/>
                      <w:lang w:bidi="ar"/>
                    </w:rPr>
                    <w:t>运输车辆清洗废水</w:t>
                  </w:r>
                </w:p>
              </w:tc>
              <w:tc>
                <w:tcPr>
                  <w:tcW w:w="1303" w:type="dxa"/>
                  <w:tcBorders>
                    <w:tl2br w:val="nil"/>
                    <w:tr2bl w:val="nil"/>
                  </w:tcBorders>
                  <w:vAlign w:val="center"/>
                </w:tcPr>
                <w:p w14:paraId="433ED201">
                  <w:pPr>
                    <w:widowControl/>
                    <w:jc w:val="center"/>
                    <w:rPr>
                      <w:color w:val="FF0000"/>
                      <w:szCs w:val="21"/>
                      <w:highlight w:val="none"/>
                    </w:rPr>
                  </w:pPr>
                  <w:r>
                    <w:rPr>
                      <w:color w:val="FF0000"/>
                      <w:kern w:val="0"/>
                      <w:szCs w:val="21"/>
                      <w:highlight w:val="none"/>
                      <w:lang w:bidi="ar"/>
                    </w:rPr>
                    <w:t>SS</w:t>
                  </w:r>
                  <w:r>
                    <w:rPr>
                      <w:rFonts w:hint="eastAsia"/>
                      <w:color w:val="FF0000"/>
                      <w:highlight w:val="none"/>
                    </w:rPr>
                    <w:t>、石油类</w:t>
                  </w:r>
                </w:p>
              </w:tc>
              <w:tc>
                <w:tcPr>
                  <w:tcW w:w="678" w:type="dxa"/>
                  <w:tcBorders>
                    <w:tl2br w:val="nil"/>
                    <w:tr2bl w:val="nil"/>
                  </w:tcBorders>
                  <w:vAlign w:val="center"/>
                </w:tcPr>
                <w:p w14:paraId="61204C35">
                  <w:pPr>
                    <w:widowControl/>
                    <w:jc w:val="center"/>
                    <w:rPr>
                      <w:color w:val="FF0000"/>
                      <w:szCs w:val="21"/>
                      <w:highlight w:val="none"/>
                    </w:rPr>
                  </w:pPr>
                  <w:r>
                    <w:rPr>
                      <w:rFonts w:hint="eastAsia"/>
                      <w:color w:val="FF0000"/>
                      <w:kern w:val="0"/>
                      <w:szCs w:val="21"/>
                      <w:highlight w:val="none"/>
                      <w:lang w:bidi="ar"/>
                    </w:rPr>
                    <w:t>间断</w:t>
                  </w:r>
                </w:p>
              </w:tc>
              <w:tc>
                <w:tcPr>
                  <w:tcW w:w="2897" w:type="dxa"/>
                  <w:tcBorders>
                    <w:tl2br w:val="nil"/>
                    <w:tr2bl w:val="nil"/>
                  </w:tcBorders>
                  <w:vAlign w:val="center"/>
                </w:tcPr>
                <w:p w14:paraId="7BB4A355">
                  <w:pPr>
                    <w:widowControl/>
                    <w:jc w:val="center"/>
                    <w:rPr>
                      <w:color w:val="FF0000"/>
                      <w:szCs w:val="21"/>
                      <w:highlight w:val="none"/>
                    </w:rPr>
                  </w:pPr>
                  <w:r>
                    <w:rPr>
                      <w:rFonts w:hint="eastAsia"/>
                      <w:color w:val="FF0000"/>
                      <w:kern w:val="0"/>
                      <w:szCs w:val="21"/>
                      <w:highlight w:val="none"/>
                      <w:lang w:bidi="ar"/>
                    </w:rPr>
                    <w:t>沉淀池循环使用，不外排</w:t>
                  </w:r>
                </w:p>
              </w:tc>
            </w:tr>
            <w:tr w14:paraId="37FD7D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9" w:hRule="atLeast"/>
                <w:jc w:val="center"/>
              </w:trPr>
              <w:tc>
                <w:tcPr>
                  <w:tcW w:w="801" w:type="dxa"/>
                  <w:vMerge w:val="continue"/>
                  <w:tcBorders>
                    <w:tl2br w:val="nil"/>
                    <w:tr2bl w:val="nil"/>
                  </w:tcBorders>
                  <w:vAlign w:val="center"/>
                </w:tcPr>
                <w:p w14:paraId="4D593BDC">
                  <w:pPr>
                    <w:widowControl/>
                    <w:jc w:val="center"/>
                    <w:rPr>
                      <w:color w:val="FF0000"/>
                      <w:kern w:val="0"/>
                      <w:szCs w:val="21"/>
                      <w:highlight w:val="none"/>
                      <w:lang w:bidi="ar"/>
                    </w:rPr>
                  </w:pPr>
                </w:p>
              </w:tc>
              <w:tc>
                <w:tcPr>
                  <w:tcW w:w="630" w:type="dxa"/>
                  <w:tcBorders>
                    <w:tl2br w:val="nil"/>
                    <w:tr2bl w:val="nil"/>
                  </w:tcBorders>
                  <w:vAlign w:val="center"/>
                </w:tcPr>
                <w:p w14:paraId="05A8F88C">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W2</w:t>
                  </w:r>
                </w:p>
              </w:tc>
              <w:tc>
                <w:tcPr>
                  <w:tcW w:w="1636" w:type="dxa"/>
                  <w:tcBorders>
                    <w:tl2br w:val="nil"/>
                    <w:tr2bl w:val="nil"/>
                  </w:tcBorders>
                  <w:vAlign w:val="center"/>
                </w:tcPr>
                <w:p w14:paraId="68B19391">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人员生活</w:t>
                  </w:r>
                </w:p>
              </w:tc>
              <w:tc>
                <w:tcPr>
                  <w:tcW w:w="1303" w:type="dxa"/>
                  <w:tcBorders>
                    <w:tl2br w:val="nil"/>
                    <w:tr2bl w:val="nil"/>
                  </w:tcBorders>
                  <w:vAlign w:val="center"/>
                </w:tcPr>
                <w:p w14:paraId="39626202">
                  <w:pPr>
                    <w:widowControl/>
                    <w:jc w:val="center"/>
                    <w:rPr>
                      <w:rFonts w:hint="default" w:eastAsia="宋体"/>
                      <w:color w:val="FF0000"/>
                      <w:kern w:val="0"/>
                      <w:szCs w:val="21"/>
                      <w:highlight w:val="none"/>
                      <w:lang w:val="en-US" w:eastAsia="zh-CN" w:bidi="ar"/>
                    </w:rPr>
                  </w:pPr>
                  <w:r>
                    <w:rPr>
                      <w:rFonts w:hint="eastAsia"/>
                      <w:color w:val="FF0000"/>
                      <w:szCs w:val="21"/>
                      <w:highlight w:val="none"/>
                    </w:rPr>
                    <w:t>pH值、CODcr、BOD</w:t>
                  </w:r>
                  <w:r>
                    <w:rPr>
                      <w:rFonts w:hint="eastAsia"/>
                      <w:color w:val="FF0000"/>
                      <w:szCs w:val="21"/>
                      <w:highlight w:val="none"/>
                      <w:vertAlign w:val="subscript"/>
                    </w:rPr>
                    <w:t>5</w:t>
                  </w:r>
                  <w:r>
                    <w:rPr>
                      <w:rFonts w:hint="eastAsia"/>
                      <w:color w:val="FF0000"/>
                      <w:szCs w:val="21"/>
                      <w:highlight w:val="none"/>
                    </w:rPr>
                    <w:t>、SS、氨氮</w:t>
                  </w:r>
                  <w:r>
                    <w:rPr>
                      <w:rFonts w:hint="eastAsia"/>
                      <w:color w:val="FF0000"/>
                      <w:szCs w:val="21"/>
                      <w:highlight w:val="none"/>
                      <w:lang w:eastAsia="zh-CN"/>
                    </w:rPr>
                    <w:t>、</w:t>
                  </w:r>
                  <w:r>
                    <w:rPr>
                      <w:rFonts w:hint="eastAsia"/>
                      <w:color w:val="FF0000"/>
                      <w:szCs w:val="21"/>
                      <w:highlight w:val="none"/>
                      <w:lang w:val="en-US" w:eastAsia="zh-CN"/>
                    </w:rPr>
                    <w:t>总磷</w:t>
                  </w:r>
                </w:p>
              </w:tc>
              <w:tc>
                <w:tcPr>
                  <w:tcW w:w="678" w:type="dxa"/>
                  <w:tcBorders>
                    <w:tl2br w:val="nil"/>
                    <w:tr2bl w:val="nil"/>
                  </w:tcBorders>
                  <w:vAlign w:val="center"/>
                </w:tcPr>
                <w:p w14:paraId="166E14AF">
                  <w:pPr>
                    <w:widowControl/>
                    <w:jc w:val="center"/>
                    <w:rPr>
                      <w:rFonts w:hint="eastAsia"/>
                      <w:color w:val="FF0000"/>
                      <w:kern w:val="0"/>
                      <w:szCs w:val="21"/>
                      <w:highlight w:val="none"/>
                      <w:lang w:bidi="ar"/>
                    </w:rPr>
                  </w:pPr>
                  <w:r>
                    <w:rPr>
                      <w:color w:val="FF0000"/>
                      <w:kern w:val="0"/>
                      <w:szCs w:val="21"/>
                      <w:highlight w:val="none"/>
                      <w:lang w:bidi="ar"/>
                    </w:rPr>
                    <w:t>间断</w:t>
                  </w:r>
                </w:p>
              </w:tc>
              <w:tc>
                <w:tcPr>
                  <w:tcW w:w="2897" w:type="dxa"/>
                  <w:tcBorders>
                    <w:tl2br w:val="nil"/>
                    <w:tr2bl w:val="nil"/>
                  </w:tcBorders>
                  <w:vAlign w:val="center"/>
                </w:tcPr>
                <w:p w14:paraId="7D24A8BB">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排入旱厕，定期清掏</w:t>
                  </w:r>
                </w:p>
              </w:tc>
            </w:tr>
            <w:tr w14:paraId="0CFFF7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801" w:type="dxa"/>
                  <w:vMerge w:val="restart"/>
                  <w:tcBorders>
                    <w:tl2br w:val="nil"/>
                    <w:tr2bl w:val="nil"/>
                  </w:tcBorders>
                  <w:vAlign w:val="center"/>
                </w:tcPr>
                <w:p w14:paraId="4635F932">
                  <w:pPr>
                    <w:pStyle w:val="13"/>
                    <w:jc w:val="center"/>
                    <w:rPr>
                      <w:color w:val="FF0000"/>
                      <w:sz w:val="21"/>
                      <w:szCs w:val="21"/>
                      <w:highlight w:val="none"/>
                    </w:rPr>
                  </w:pPr>
                  <w:r>
                    <w:rPr>
                      <w:rFonts w:hint="eastAsia"/>
                      <w:color w:val="FF0000"/>
                      <w:sz w:val="21"/>
                      <w:szCs w:val="21"/>
                      <w:highlight w:val="none"/>
                    </w:rPr>
                    <w:t>固废</w:t>
                  </w:r>
                </w:p>
              </w:tc>
              <w:tc>
                <w:tcPr>
                  <w:tcW w:w="630" w:type="dxa"/>
                  <w:tcBorders>
                    <w:tl2br w:val="nil"/>
                    <w:tr2bl w:val="nil"/>
                  </w:tcBorders>
                  <w:shd w:val="clear" w:color="auto" w:fill="auto"/>
                  <w:vAlign w:val="center"/>
                </w:tcPr>
                <w:p w14:paraId="15E99B5A">
                  <w:pPr>
                    <w:widowControl/>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kern w:val="0"/>
                      <w:szCs w:val="21"/>
                      <w:highlight w:val="none"/>
                      <w:lang w:bidi="ar"/>
                    </w:rPr>
                    <w:t>S1</w:t>
                  </w:r>
                </w:p>
              </w:tc>
              <w:tc>
                <w:tcPr>
                  <w:tcW w:w="1636" w:type="dxa"/>
                  <w:tcBorders>
                    <w:tl2br w:val="nil"/>
                    <w:tr2bl w:val="nil"/>
                  </w:tcBorders>
                  <w:vAlign w:val="center"/>
                </w:tcPr>
                <w:p w14:paraId="7001EBA9">
                  <w:pPr>
                    <w:widowControl/>
                    <w:jc w:val="center"/>
                    <w:rPr>
                      <w:rFonts w:hint="eastAsia" w:eastAsia="宋体"/>
                      <w:color w:val="FF0000"/>
                      <w:kern w:val="0"/>
                      <w:szCs w:val="21"/>
                      <w:highlight w:val="none"/>
                      <w:lang w:val="en-US" w:eastAsia="zh-CN" w:bidi="ar"/>
                    </w:rPr>
                  </w:pPr>
                  <w:r>
                    <w:rPr>
                      <w:rFonts w:hint="eastAsia"/>
                      <w:color w:val="FF0000"/>
                      <w:kern w:val="0"/>
                      <w:szCs w:val="21"/>
                      <w:highlight w:val="none"/>
                      <w:lang w:val="en-US" w:eastAsia="zh-CN" w:bidi="ar"/>
                    </w:rPr>
                    <w:t>沉淀池</w:t>
                  </w:r>
                </w:p>
              </w:tc>
              <w:tc>
                <w:tcPr>
                  <w:tcW w:w="1303" w:type="dxa"/>
                  <w:tcBorders>
                    <w:tl2br w:val="nil"/>
                    <w:tr2bl w:val="nil"/>
                  </w:tcBorders>
                  <w:vAlign w:val="center"/>
                </w:tcPr>
                <w:p w14:paraId="672D2D14">
                  <w:pPr>
                    <w:pStyle w:val="13"/>
                    <w:jc w:val="center"/>
                    <w:rPr>
                      <w:rFonts w:hint="default" w:cs="Times New Roman"/>
                      <w:color w:val="FF0000"/>
                      <w:kern w:val="0"/>
                      <w:sz w:val="21"/>
                      <w:szCs w:val="21"/>
                      <w:highlight w:val="none"/>
                      <w:lang w:val="en-US" w:eastAsia="zh-CN" w:bidi="ar"/>
                    </w:rPr>
                  </w:pPr>
                  <w:r>
                    <w:rPr>
                      <w:rFonts w:hint="eastAsia" w:cs="Times New Roman"/>
                      <w:color w:val="FF0000"/>
                      <w:kern w:val="0"/>
                      <w:sz w:val="21"/>
                      <w:szCs w:val="21"/>
                      <w:highlight w:val="none"/>
                      <w:lang w:val="en-US" w:eastAsia="zh-CN" w:bidi="ar"/>
                    </w:rPr>
                    <w:t>泥渣</w:t>
                  </w:r>
                </w:p>
              </w:tc>
              <w:tc>
                <w:tcPr>
                  <w:tcW w:w="678" w:type="dxa"/>
                  <w:tcBorders>
                    <w:tl2br w:val="nil"/>
                    <w:tr2bl w:val="nil"/>
                  </w:tcBorders>
                  <w:vAlign w:val="center"/>
                </w:tcPr>
                <w:p w14:paraId="3B1ED749">
                  <w:pPr>
                    <w:widowControl/>
                    <w:jc w:val="center"/>
                    <w:rPr>
                      <w:color w:val="FF0000"/>
                      <w:kern w:val="0"/>
                      <w:szCs w:val="21"/>
                      <w:highlight w:val="none"/>
                      <w:lang w:bidi="ar"/>
                    </w:rPr>
                  </w:pPr>
                  <w:r>
                    <w:rPr>
                      <w:color w:val="FF0000"/>
                      <w:kern w:val="0"/>
                      <w:szCs w:val="21"/>
                      <w:highlight w:val="none"/>
                      <w:lang w:bidi="ar"/>
                    </w:rPr>
                    <w:t>间断</w:t>
                  </w:r>
                </w:p>
              </w:tc>
              <w:tc>
                <w:tcPr>
                  <w:tcW w:w="2897" w:type="dxa"/>
                  <w:vMerge w:val="restart"/>
                  <w:tcBorders>
                    <w:tl2br w:val="nil"/>
                    <w:tr2bl w:val="nil"/>
                  </w:tcBorders>
                  <w:vAlign w:val="center"/>
                </w:tcPr>
                <w:p w14:paraId="39DBEB39">
                  <w:pPr>
                    <w:widowControl/>
                    <w:jc w:val="center"/>
                    <w:rPr>
                      <w:color w:val="FF0000"/>
                      <w:szCs w:val="21"/>
                      <w:highlight w:val="none"/>
                    </w:rPr>
                  </w:pPr>
                  <w:r>
                    <w:rPr>
                      <w:color w:val="FF0000"/>
                      <w:szCs w:val="21"/>
                      <w:highlight w:val="none"/>
                    </w:rPr>
                    <w:t>统一收集到</w:t>
                  </w:r>
                  <w:r>
                    <w:rPr>
                      <w:rFonts w:hint="eastAsia"/>
                      <w:color w:val="FF0000"/>
                      <w:szCs w:val="21"/>
                      <w:highlight w:val="none"/>
                      <w:lang w:val="en-US" w:eastAsia="zh-CN"/>
                    </w:rPr>
                    <w:t>成品库的一般固废区</w:t>
                  </w:r>
                  <w:r>
                    <w:rPr>
                      <w:rFonts w:hint="eastAsia"/>
                      <w:color w:val="FF0000"/>
                      <w:szCs w:val="21"/>
                      <w:highlight w:val="none"/>
                    </w:rPr>
                    <w:t>，随产品</w:t>
                  </w:r>
                  <w:r>
                    <w:rPr>
                      <w:color w:val="FF0000"/>
                      <w:szCs w:val="21"/>
                      <w:highlight w:val="none"/>
                    </w:rPr>
                    <w:t>外售综合利用</w:t>
                  </w:r>
                </w:p>
              </w:tc>
            </w:tr>
            <w:tr w14:paraId="6A8330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801" w:type="dxa"/>
                  <w:vMerge w:val="continue"/>
                  <w:tcBorders>
                    <w:tl2br w:val="nil"/>
                    <w:tr2bl w:val="nil"/>
                  </w:tcBorders>
                  <w:vAlign w:val="center"/>
                </w:tcPr>
                <w:p w14:paraId="4E03C47B">
                  <w:pPr>
                    <w:pStyle w:val="13"/>
                    <w:jc w:val="center"/>
                    <w:rPr>
                      <w:color w:val="FF0000"/>
                      <w:sz w:val="21"/>
                      <w:szCs w:val="21"/>
                      <w:highlight w:val="none"/>
                    </w:rPr>
                  </w:pPr>
                </w:p>
              </w:tc>
              <w:tc>
                <w:tcPr>
                  <w:tcW w:w="630" w:type="dxa"/>
                  <w:tcBorders>
                    <w:tl2br w:val="nil"/>
                    <w:tr2bl w:val="nil"/>
                  </w:tcBorders>
                  <w:shd w:val="clear" w:color="auto" w:fill="auto"/>
                  <w:vAlign w:val="center"/>
                </w:tcPr>
                <w:p w14:paraId="37EFA492">
                  <w:pPr>
                    <w:widowControl/>
                    <w:jc w:val="center"/>
                    <w:rPr>
                      <w:rFonts w:ascii="Times New Roman" w:hAnsi="Times New Roman" w:eastAsia="宋体" w:cs="Times New Roman"/>
                      <w:color w:val="FF0000"/>
                      <w:kern w:val="2"/>
                      <w:sz w:val="21"/>
                      <w:szCs w:val="21"/>
                      <w:highlight w:val="none"/>
                      <w:lang w:val="en-US" w:eastAsia="zh-CN" w:bidi="ar-SA"/>
                    </w:rPr>
                  </w:pPr>
                  <w:r>
                    <w:rPr>
                      <w:rFonts w:hint="eastAsia"/>
                      <w:color w:val="FF0000"/>
                      <w:kern w:val="0"/>
                      <w:szCs w:val="21"/>
                      <w:highlight w:val="none"/>
                      <w:lang w:bidi="ar"/>
                    </w:rPr>
                    <w:t>S2</w:t>
                  </w:r>
                </w:p>
              </w:tc>
              <w:tc>
                <w:tcPr>
                  <w:tcW w:w="1636" w:type="dxa"/>
                  <w:vMerge w:val="restart"/>
                  <w:tcBorders>
                    <w:tl2br w:val="nil"/>
                    <w:tr2bl w:val="nil"/>
                  </w:tcBorders>
                  <w:vAlign w:val="center"/>
                </w:tcPr>
                <w:p w14:paraId="28593FC6">
                  <w:pPr>
                    <w:widowControl/>
                    <w:jc w:val="center"/>
                    <w:rPr>
                      <w:color w:val="FF0000"/>
                      <w:kern w:val="0"/>
                      <w:szCs w:val="21"/>
                      <w:highlight w:val="none"/>
                      <w:lang w:bidi="ar"/>
                    </w:rPr>
                  </w:pPr>
                  <w:r>
                    <w:rPr>
                      <w:rFonts w:hint="eastAsia"/>
                      <w:color w:val="FF0000"/>
                      <w:kern w:val="0"/>
                      <w:szCs w:val="21"/>
                      <w:highlight w:val="none"/>
                      <w:lang w:bidi="ar"/>
                    </w:rPr>
                    <w:t>袋式除尘</w:t>
                  </w:r>
                </w:p>
              </w:tc>
              <w:tc>
                <w:tcPr>
                  <w:tcW w:w="1303" w:type="dxa"/>
                  <w:tcBorders>
                    <w:tl2br w:val="nil"/>
                    <w:tr2bl w:val="nil"/>
                  </w:tcBorders>
                  <w:vAlign w:val="center"/>
                </w:tcPr>
                <w:p w14:paraId="12E98A74">
                  <w:pPr>
                    <w:pStyle w:val="13"/>
                    <w:jc w:val="center"/>
                    <w:rPr>
                      <w:color w:val="FF0000"/>
                      <w:sz w:val="21"/>
                      <w:szCs w:val="21"/>
                      <w:highlight w:val="none"/>
                    </w:rPr>
                  </w:pPr>
                  <w:r>
                    <w:rPr>
                      <w:rFonts w:hint="eastAsia" w:cs="Times New Roman"/>
                      <w:color w:val="FF0000"/>
                      <w:kern w:val="0"/>
                      <w:sz w:val="21"/>
                      <w:szCs w:val="21"/>
                      <w:highlight w:val="none"/>
                      <w:lang w:val="en-US" w:eastAsia="zh-CN" w:bidi="ar"/>
                    </w:rPr>
                    <w:t>除尘灰、地面沉积灰</w:t>
                  </w:r>
                </w:p>
              </w:tc>
              <w:tc>
                <w:tcPr>
                  <w:tcW w:w="678" w:type="dxa"/>
                  <w:tcBorders>
                    <w:tl2br w:val="nil"/>
                    <w:tr2bl w:val="nil"/>
                  </w:tcBorders>
                  <w:vAlign w:val="center"/>
                </w:tcPr>
                <w:p w14:paraId="2C4A25B2">
                  <w:pPr>
                    <w:widowControl/>
                    <w:jc w:val="center"/>
                    <w:rPr>
                      <w:color w:val="FF0000"/>
                      <w:szCs w:val="21"/>
                      <w:highlight w:val="none"/>
                    </w:rPr>
                  </w:pPr>
                  <w:r>
                    <w:rPr>
                      <w:color w:val="FF0000"/>
                      <w:kern w:val="0"/>
                      <w:szCs w:val="21"/>
                      <w:highlight w:val="none"/>
                      <w:lang w:bidi="ar"/>
                    </w:rPr>
                    <w:t>间断</w:t>
                  </w:r>
                </w:p>
              </w:tc>
              <w:tc>
                <w:tcPr>
                  <w:tcW w:w="2897" w:type="dxa"/>
                  <w:vMerge w:val="continue"/>
                  <w:tcBorders>
                    <w:tl2br w:val="nil"/>
                    <w:tr2bl w:val="nil"/>
                  </w:tcBorders>
                  <w:vAlign w:val="center"/>
                </w:tcPr>
                <w:p w14:paraId="085EB807">
                  <w:pPr>
                    <w:widowControl/>
                    <w:jc w:val="center"/>
                    <w:rPr>
                      <w:color w:val="FF0000"/>
                      <w:szCs w:val="21"/>
                      <w:highlight w:val="none"/>
                    </w:rPr>
                  </w:pPr>
                </w:p>
              </w:tc>
            </w:tr>
            <w:tr w14:paraId="217A5A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801" w:type="dxa"/>
                  <w:vMerge w:val="continue"/>
                  <w:tcBorders>
                    <w:tl2br w:val="nil"/>
                    <w:tr2bl w:val="nil"/>
                  </w:tcBorders>
                  <w:vAlign w:val="center"/>
                </w:tcPr>
                <w:p w14:paraId="3C4A75E2">
                  <w:pPr>
                    <w:widowControl/>
                    <w:jc w:val="center"/>
                    <w:rPr>
                      <w:color w:val="FF0000"/>
                      <w:highlight w:val="none"/>
                    </w:rPr>
                  </w:pPr>
                </w:p>
              </w:tc>
              <w:tc>
                <w:tcPr>
                  <w:tcW w:w="630" w:type="dxa"/>
                  <w:tcBorders>
                    <w:tl2br w:val="nil"/>
                    <w:tr2bl w:val="nil"/>
                  </w:tcBorders>
                  <w:shd w:val="clear" w:color="auto" w:fill="auto"/>
                  <w:vAlign w:val="center"/>
                </w:tcPr>
                <w:p w14:paraId="75E38124">
                  <w:pPr>
                    <w:widowControl/>
                    <w:jc w:val="center"/>
                    <w:rPr>
                      <w:rFonts w:ascii="Times New Roman" w:hAnsi="Times New Roman" w:eastAsia="宋体" w:cs="Times New Roman"/>
                      <w:color w:val="FF0000"/>
                      <w:kern w:val="0"/>
                      <w:sz w:val="21"/>
                      <w:szCs w:val="21"/>
                      <w:highlight w:val="none"/>
                      <w:lang w:val="en-US" w:eastAsia="zh-CN" w:bidi="ar"/>
                    </w:rPr>
                  </w:pPr>
                  <w:r>
                    <w:rPr>
                      <w:rFonts w:hint="eastAsia"/>
                      <w:color w:val="FF0000"/>
                      <w:kern w:val="0"/>
                      <w:szCs w:val="21"/>
                      <w:highlight w:val="none"/>
                      <w:lang w:bidi="ar"/>
                    </w:rPr>
                    <w:t>S3</w:t>
                  </w:r>
                </w:p>
              </w:tc>
              <w:tc>
                <w:tcPr>
                  <w:tcW w:w="1636" w:type="dxa"/>
                  <w:vMerge w:val="continue"/>
                  <w:tcBorders>
                    <w:tl2br w:val="nil"/>
                    <w:tr2bl w:val="nil"/>
                  </w:tcBorders>
                  <w:vAlign w:val="center"/>
                </w:tcPr>
                <w:p w14:paraId="4563E881">
                  <w:pPr>
                    <w:widowControl/>
                    <w:jc w:val="center"/>
                    <w:rPr>
                      <w:color w:val="FF0000"/>
                      <w:kern w:val="0"/>
                      <w:szCs w:val="21"/>
                      <w:highlight w:val="none"/>
                      <w:lang w:bidi="ar"/>
                    </w:rPr>
                  </w:pPr>
                </w:p>
              </w:tc>
              <w:tc>
                <w:tcPr>
                  <w:tcW w:w="1303" w:type="dxa"/>
                  <w:tcBorders>
                    <w:tl2br w:val="nil"/>
                    <w:tr2bl w:val="nil"/>
                  </w:tcBorders>
                  <w:vAlign w:val="center"/>
                </w:tcPr>
                <w:p w14:paraId="553AE961">
                  <w:pPr>
                    <w:widowControl/>
                    <w:jc w:val="center"/>
                    <w:rPr>
                      <w:color w:val="FF0000"/>
                      <w:kern w:val="0"/>
                      <w:szCs w:val="21"/>
                      <w:highlight w:val="none"/>
                      <w:lang w:bidi="ar"/>
                    </w:rPr>
                  </w:pPr>
                  <w:r>
                    <w:rPr>
                      <w:rFonts w:hint="eastAsia"/>
                      <w:color w:val="FF0000"/>
                      <w:kern w:val="0"/>
                      <w:szCs w:val="21"/>
                      <w:highlight w:val="none"/>
                      <w:lang w:bidi="ar"/>
                    </w:rPr>
                    <w:t>废布袋</w:t>
                  </w:r>
                </w:p>
              </w:tc>
              <w:tc>
                <w:tcPr>
                  <w:tcW w:w="678" w:type="dxa"/>
                  <w:tcBorders>
                    <w:tl2br w:val="nil"/>
                    <w:tr2bl w:val="nil"/>
                  </w:tcBorders>
                  <w:vAlign w:val="center"/>
                </w:tcPr>
                <w:p w14:paraId="0BB98DE4">
                  <w:pPr>
                    <w:widowControl/>
                    <w:jc w:val="center"/>
                    <w:rPr>
                      <w:color w:val="FF0000"/>
                      <w:kern w:val="0"/>
                      <w:szCs w:val="21"/>
                      <w:highlight w:val="none"/>
                      <w:lang w:bidi="ar"/>
                    </w:rPr>
                  </w:pPr>
                  <w:r>
                    <w:rPr>
                      <w:color w:val="FF0000"/>
                      <w:kern w:val="0"/>
                      <w:szCs w:val="21"/>
                      <w:highlight w:val="none"/>
                      <w:lang w:bidi="ar"/>
                    </w:rPr>
                    <w:t>间断</w:t>
                  </w:r>
                </w:p>
              </w:tc>
              <w:tc>
                <w:tcPr>
                  <w:tcW w:w="2897" w:type="dxa"/>
                  <w:tcBorders>
                    <w:tl2br w:val="nil"/>
                    <w:tr2bl w:val="nil"/>
                  </w:tcBorders>
                  <w:vAlign w:val="center"/>
                </w:tcPr>
                <w:p w14:paraId="12BA755A">
                  <w:pPr>
                    <w:widowControl/>
                    <w:jc w:val="center"/>
                    <w:rPr>
                      <w:color w:val="FF0000"/>
                      <w:kern w:val="0"/>
                      <w:szCs w:val="21"/>
                      <w:highlight w:val="none"/>
                      <w:lang w:bidi="ar"/>
                    </w:rPr>
                  </w:pPr>
                  <w:r>
                    <w:rPr>
                      <w:rFonts w:hint="eastAsia"/>
                      <w:color w:val="FF0000"/>
                      <w:szCs w:val="21"/>
                      <w:highlight w:val="none"/>
                    </w:rPr>
                    <w:t>厂家定期更换回收</w:t>
                  </w:r>
                </w:p>
              </w:tc>
            </w:tr>
            <w:tr w14:paraId="7E17BB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Merge w:val="continue"/>
                  <w:tcBorders>
                    <w:tl2br w:val="nil"/>
                    <w:tr2bl w:val="nil"/>
                  </w:tcBorders>
                  <w:vAlign w:val="center"/>
                </w:tcPr>
                <w:p w14:paraId="2C6EFF81">
                  <w:pPr>
                    <w:pStyle w:val="13"/>
                    <w:jc w:val="center"/>
                    <w:rPr>
                      <w:color w:val="FF0000"/>
                      <w:sz w:val="21"/>
                      <w:szCs w:val="21"/>
                      <w:highlight w:val="none"/>
                    </w:rPr>
                  </w:pPr>
                </w:p>
              </w:tc>
              <w:tc>
                <w:tcPr>
                  <w:tcW w:w="630" w:type="dxa"/>
                  <w:tcBorders>
                    <w:tl2br w:val="nil"/>
                    <w:tr2bl w:val="nil"/>
                  </w:tcBorders>
                  <w:shd w:val="clear" w:color="auto" w:fill="auto"/>
                  <w:vAlign w:val="center"/>
                </w:tcPr>
                <w:p w14:paraId="26BA2705">
                  <w:pPr>
                    <w:widowControl/>
                    <w:jc w:val="center"/>
                    <w:rPr>
                      <w:rFonts w:ascii="Times New Roman" w:hAnsi="Times New Roman" w:eastAsia="宋体" w:cs="Times New Roman"/>
                      <w:color w:val="FF0000"/>
                      <w:kern w:val="0"/>
                      <w:sz w:val="21"/>
                      <w:szCs w:val="21"/>
                      <w:highlight w:val="none"/>
                      <w:lang w:val="en-US" w:eastAsia="zh-CN" w:bidi="ar"/>
                    </w:rPr>
                  </w:pPr>
                  <w:r>
                    <w:rPr>
                      <w:rFonts w:hint="eastAsia"/>
                      <w:color w:val="FF0000"/>
                      <w:kern w:val="0"/>
                      <w:szCs w:val="21"/>
                      <w:highlight w:val="none"/>
                      <w:lang w:bidi="ar"/>
                    </w:rPr>
                    <w:t>S4</w:t>
                  </w:r>
                </w:p>
              </w:tc>
              <w:tc>
                <w:tcPr>
                  <w:tcW w:w="1636" w:type="dxa"/>
                  <w:tcBorders>
                    <w:tl2br w:val="nil"/>
                    <w:tr2bl w:val="nil"/>
                  </w:tcBorders>
                  <w:vAlign w:val="center"/>
                </w:tcPr>
                <w:p w14:paraId="3F010990">
                  <w:pPr>
                    <w:widowControl/>
                    <w:jc w:val="center"/>
                    <w:rPr>
                      <w:rFonts w:ascii="Times New Roman" w:hAnsi="Times New Roman" w:eastAsia="宋体" w:cs="Times New Roman"/>
                      <w:color w:val="FF0000"/>
                      <w:kern w:val="0"/>
                      <w:sz w:val="21"/>
                      <w:szCs w:val="21"/>
                      <w:highlight w:val="none"/>
                      <w:lang w:val="en-US" w:eastAsia="zh-CN" w:bidi="ar"/>
                    </w:rPr>
                  </w:pPr>
                  <w:r>
                    <w:rPr>
                      <w:rFonts w:hint="eastAsia"/>
                      <w:color w:val="FF0000"/>
                      <w:kern w:val="0"/>
                      <w:szCs w:val="21"/>
                      <w:highlight w:val="none"/>
                      <w:lang w:bidi="ar"/>
                    </w:rPr>
                    <w:t>设备保养维修</w:t>
                  </w:r>
                </w:p>
              </w:tc>
              <w:tc>
                <w:tcPr>
                  <w:tcW w:w="1303" w:type="dxa"/>
                  <w:tcBorders>
                    <w:tl2br w:val="nil"/>
                    <w:tr2bl w:val="nil"/>
                  </w:tcBorders>
                  <w:vAlign w:val="center"/>
                </w:tcPr>
                <w:p w14:paraId="4A5617CE">
                  <w:pPr>
                    <w:pStyle w:val="13"/>
                    <w:jc w:val="center"/>
                    <w:rPr>
                      <w:rFonts w:ascii="Times New Roman" w:hAnsi="Times New Roman" w:eastAsia="宋体" w:cs="Times New Roman"/>
                      <w:color w:val="FF0000"/>
                      <w:kern w:val="0"/>
                      <w:sz w:val="21"/>
                      <w:szCs w:val="21"/>
                      <w:highlight w:val="none"/>
                      <w:lang w:val="en-US" w:eastAsia="zh-CN" w:bidi="ar-SA"/>
                    </w:rPr>
                  </w:pPr>
                  <w:r>
                    <w:rPr>
                      <w:color w:val="FF0000"/>
                      <w:sz w:val="21"/>
                      <w:szCs w:val="21"/>
                      <w:highlight w:val="none"/>
                    </w:rPr>
                    <w:t>废</w:t>
                  </w:r>
                  <w:r>
                    <w:rPr>
                      <w:rFonts w:hint="eastAsia"/>
                      <w:color w:val="FF0000"/>
                      <w:sz w:val="21"/>
                      <w:szCs w:val="21"/>
                      <w:highlight w:val="none"/>
                    </w:rPr>
                    <w:t>润滑油</w:t>
                  </w:r>
                  <w:r>
                    <w:rPr>
                      <w:color w:val="FF0000"/>
                      <w:sz w:val="21"/>
                      <w:szCs w:val="21"/>
                      <w:highlight w:val="none"/>
                    </w:rPr>
                    <w:t>、废油桶</w:t>
                  </w:r>
                </w:p>
              </w:tc>
              <w:tc>
                <w:tcPr>
                  <w:tcW w:w="678" w:type="dxa"/>
                  <w:tcBorders>
                    <w:tl2br w:val="nil"/>
                    <w:tr2bl w:val="nil"/>
                  </w:tcBorders>
                  <w:vAlign w:val="center"/>
                </w:tcPr>
                <w:p w14:paraId="48DF4051">
                  <w:pPr>
                    <w:widowControl/>
                    <w:jc w:val="center"/>
                    <w:rPr>
                      <w:rFonts w:ascii="Times New Roman" w:hAnsi="Times New Roman" w:eastAsia="宋体" w:cs="Times New Roman"/>
                      <w:color w:val="FF0000"/>
                      <w:kern w:val="2"/>
                      <w:sz w:val="21"/>
                      <w:szCs w:val="21"/>
                      <w:highlight w:val="none"/>
                      <w:lang w:val="en-US" w:eastAsia="zh-CN" w:bidi="ar-SA"/>
                    </w:rPr>
                  </w:pPr>
                  <w:r>
                    <w:rPr>
                      <w:color w:val="FF0000"/>
                      <w:kern w:val="0"/>
                      <w:szCs w:val="21"/>
                      <w:highlight w:val="none"/>
                      <w:lang w:bidi="ar"/>
                    </w:rPr>
                    <w:t>间断</w:t>
                  </w:r>
                </w:p>
              </w:tc>
              <w:tc>
                <w:tcPr>
                  <w:tcW w:w="2897" w:type="dxa"/>
                  <w:tcBorders>
                    <w:tl2br w:val="nil"/>
                    <w:tr2bl w:val="nil"/>
                  </w:tcBorders>
                  <w:vAlign w:val="center"/>
                </w:tcPr>
                <w:p w14:paraId="210F1D05">
                  <w:pPr>
                    <w:widowControl/>
                    <w:jc w:val="center"/>
                    <w:rPr>
                      <w:rFonts w:ascii="Times New Roman" w:hAnsi="Times New Roman" w:eastAsia="宋体" w:cs="Times New Roman"/>
                      <w:color w:val="FF0000"/>
                      <w:kern w:val="2"/>
                      <w:sz w:val="21"/>
                      <w:szCs w:val="21"/>
                      <w:highlight w:val="none"/>
                      <w:lang w:val="en-US" w:eastAsia="zh-CN" w:bidi="ar-SA"/>
                    </w:rPr>
                  </w:pPr>
                  <w:r>
                    <w:rPr>
                      <w:color w:val="FF0000"/>
                      <w:kern w:val="0"/>
                      <w:szCs w:val="21"/>
                      <w:highlight w:val="none"/>
                      <w:lang w:bidi="ar"/>
                    </w:rPr>
                    <w:t>统一收集至</w:t>
                  </w:r>
                  <w:r>
                    <w:rPr>
                      <w:rFonts w:hint="eastAsia"/>
                      <w:color w:val="FF0000"/>
                      <w:kern w:val="0"/>
                      <w:szCs w:val="21"/>
                      <w:highlight w:val="none"/>
                      <w:lang w:bidi="ar"/>
                    </w:rPr>
                    <w:t>危废贮存点</w:t>
                  </w:r>
                  <w:r>
                    <w:rPr>
                      <w:color w:val="FF0000"/>
                      <w:kern w:val="0"/>
                      <w:szCs w:val="21"/>
                      <w:highlight w:val="none"/>
                      <w:lang w:bidi="ar"/>
                    </w:rPr>
                    <w:t>，由有资质单位进行清运处置</w:t>
                  </w:r>
                </w:p>
              </w:tc>
            </w:tr>
            <w:tr w14:paraId="37A296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01" w:type="dxa"/>
                  <w:vMerge w:val="continue"/>
                  <w:tcBorders>
                    <w:tl2br w:val="nil"/>
                    <w:tr2bl w:val="nil"/>
                  </w:tcBorders>
                  <w:vAlign w:val="center"/>
                </w:tcPr>
                <w:p w14:paraId="0EF1DB81">
                  <w:pPr>
                    <w:pStyle w:val="13"/>
                    <w:jc w:val="center"/>
                    <w:rPr>
                      <w:color w:val="FF0000"/>
                      <w:sz w:val="21"/>
                      <w:szCs w:val="21"/>
                      <w:highlight w:val="none"/>
                    </w:rPr>
                  </w:pPr>
                </w:p>
              </w:tc>
              <w:tc>
                <w:tcPr>
                  <w:tcW w:w="630" w:type="dxa"/>
                  <w:tcBorders>
                    <w:tl2br w:val="nil"/>
                    <w:tr2bl w:val="nil"/>
                  </w:tcBorders>
                  <w:vAlign w:val="center"/>
                </w:tcPr>
                <w:p w14:paraId="10CB804D">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S5</w:t>
                  </w:r>
                </w:p>
              </w:tc>
              <w:tc>
                <w:tcPr>
                  <w:tcW w:w="1636" w:type="dxa"/>
                  <w:tcBorders>
                    <w:tl2br w:val="nil"/>
                    <w:tr2bl w:val="nil"/>
                  </w:tcBorders>
                  <w:vAlign w:val="center"/>
                </w:tcPr>
                <w:p w14:paraId="586AF8BD">
                  <w:pPr>
                    <w:widowControl/>
                    <w:jc w:val="center"/>
                    <w:rPr>
                      <w:rFonts w:ascii="Times New Roman" w:hAnsi="Times New Roman" w:eastAsia="宋体" w:cs="Times New Roman"/>
                      <w:color w:val="FF0000"/>
                      <w:kern w:val="0"/>
                      <w:sz w:val="21"/>
                      <w:szCs w:val="21"/>
                      <w:highlight w:val="none"/>
                      <w:lang w:val="en-US" w:eastAsia="zh-CN" w:bidi="ar"/>
                    </w:rPr>
                  </w:pPr>
                  <w:r>
                    <w:rPr>
                      <w:color w:val="FF0000"/>
                      <w:kern w:val="0"/>
                      <w:szCs w:val="21"/>
                      <w:highlight w:val="none"/>
                      <w:lang w:bidi="ar"/>
                    </w:rPr>
                    <w:t>员工生活</w:t>
                  </w:r>
                </w:p>
              </w:tc>
              <w:tc>
                <w:tcPr>
                  <w:tcW w:w="1303" w:type="dxa"/>
                  <w:tcBorders>
                    <w:tl2br w:val="nil"/>
                    <w:tr2bl w:val="nil"/>
                  </w:tcBorders>
                  <w:vAlign w:val="center"/>
                </w:tcPr>
                <w:p w14:paraId="1CEB7C86">
                  <w:pPr>
                    <w:pStyle w:val="13"/>
                    <w:jc w:val="center"/>
                    <w:rPr>
                      <w:color w:val="FF0000"/>
                      <w:sz w:val="21"/>
                      <w:szCs w:val="21"/>
                      <w:highlight w:val="none"/>
                      <w:lang w:bidi="ar"/>
                    </w:rPr>
                  </w:pPr>
                  <w:r>
                    <w:rPr>
                      <w:color w:val="FF0000"/>
                      <w:sz w:val="21"/>
                      <w:szCs w:val="21"/>
                      <w:highlight w:val="none"/>
                      <w:lang w:bidi="ar"/>
                    </w:rPr>
                    <w:t>生活</w:t>
                  </w:r>
                </w:p>
                <w:p w14:paraId="45CAEA20">
                  <w:pPr>
                    <w:pStyle w:val="13"/>
                    <w:jc w:val="center"/>
                    <w:rPr>
                      <w:rFonts w:ascii="Times New Roman" w:hAnsi="Times New Roman" w:eastAsia="宋体" w:cs="Times New Roman"/>
                      <w:color w:val="FF0000"/>
                      <w:kern w:val="0"/>
                      <w:sz w:val="21"/>
                      <w:szCs w:val="21"/>
                      <w:highlight w:val="none"/>
                      <w:lang w:val="en-US" w:eastAsia="zh-CN" w:bidi="ar-SA"/>
                    </w:rPr>
                  </w:pPr>
                  <w:r>
                    <w:rPr>
                      <w:color w:val="FF0000"/>
                      <w:sz w:val="21"/>
                      <w:szCs w:val="21"/>
                      <w:highlight w:val="none"/>
                      <w:lang w:bidi="ar"/>
                    </w:rPr>
                    <w:t>垃圾</w:t>
                  </w:r>
                </w:p>
              </w:tc>
              <w:tc>
                <w:tcPr>
                  <w:tcW w:w="678" w:type="dxa"/>
                  <w:tcBorders>
                    <w:tl2br w:val="nil"/>
                    <w:tr2bl w:val="nil"/>
                  </w:tcBorders>
                  <w:vAlign w:val="center"/>
                </w:tcPr>
                <w:p w14:paraId="4CC911D4">
                  <w:pPr>
                    <w:widowControl/>
                    <w:jc w:val="center"/>
                    <w:rPr>
                      <w:rFonts w:ascii="Times New Roman" w:hAnsi="Times New Roman" w:eastAsia="宋体" w:cs="Times New Roman"/>
                      <w:color w:val="FF0000"/>
                      <w:kern w:val="2"/>
                      <w:sz w:val="21"/>
                      <w:szCs w:val="21"/>
                      <w:highlight w:val="none"/>
                      <w:lang w:val="en-US" w:eastAsia="zh-CN" w:bidi="ar-SA"/>
                    </w:rPr>
                  </w:pPr>
                  <w:r>
                    <w:rPr>
                      <w:color w:val="FF0000"/>
                      <w:kern w:val="0"/>
                      <w:szCs w:val="21"/>
                      <w:highlight w:val="none"/>
                      <w:lang w:bidi="ar"/>
                    </w:rPr>
                    <w:t>间断</w:t>
                  </w:r>
                </w:p>
              </w:tc>
              <w:tc>
                <w:tcPr>
                  <w:tcW w:w="2897" w:type="dxa"/>
                  <w:tcBorders>
                    <w:tl2br w:val="nil"/>
                    <w:tr2bl w:val="nil"/>
                  </w:tcBorders>
                  <w:vAlign w:val="center"/>
                </w:tcPr>
                <w:p w14:paraId="2D93584D">
                  <w:pPr>
                    <w:widowControl/>
                    <w:jc w:val="center"/>
                    <w:rPr>
                      <w:rFonts w:ascii="Times New Roman" w:hAnsi="Times New Roman" w:eastAsia="宋体" w:cs="Times New Roman"/>
                      <w:color w:val="FF0000"/>
                      <w:kern w:val="2"/>
                      <w:sz w:val="21"/>
                      <w:szCs w:val="21"/>
                      <w:highlight w:val="none"/>
                      <w:lang w:val="en-US" w:eastAsia="zh-CN" w:bidi="ar-SA"/>
                    </w:rPr>
                  </w:pPr>
                  <w:r>
                    <w:rPr>
                      <w:rFonts w:hint="eastAsia"/>
                      <w:color w:val="FF0000"/>
                      <w:kern w:val="0"/>
                      <w:szCs w:val="21"/>
                      <w:highlight w:val="none"/>
                      <w:lang w:bidi="ar"/>
                    </w:rPr>
                    <w:t>定期由</w:t>
                  </w:r>
                  <w:r>
                    <w:rPr>
                      <w:color w:val="FF0000"/>
                      <w:kern w:val="0"/>
                      <w:szCs w:val="21"/>
                      <w:highlight w:val="none"/>
                      <w:lang w:bidi="ar"/>
                    </w:rPr>
                    <w:t>环卫部门统一清运处理</w:t>
                  </w:r>
                </w:p>
              </w:tc>
            </w:tr>
          </w:tbl>
          <w:p w14:paraId="4400DD3C">
            <w:pPr>
              <w:pStyle w:val="13"/>
              <w:rPr>
                <w:color w:val="auto"/>
                <w:highlight w:val="none"/>
              </w:rPr>
            </w:pPr>
          </w:p>
        </w:tc>
      </w:tr>
      <w:tr w14:paraId="24B7796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064" w:hRule="atLeast"/>
          <w:jc w:val="center"/>
        </w:trPr>
        <w:tc>
          <w:tcPr>
            <w:tcW w:w="823" w:type="dxa"/>
            <w:vAlign w:val="center"/>
          </w:tcPr>
          <w:p w14:paraId="266A371B">
            <w:pPr>
              <w:pStyle w:val="16"/>
              <w:adjustRightInd w:val="0"/>
              <w:snapToGrid w:val="0"/>
              <w:spacing w:before="0" w:beforeAutospacing="0" w:after="0" w:afterAutospacing="0"/>
              <w:jc w:val="center"/>
              <w:rPr>
                <w:rFonts w:cs="宋体"/>
                <w:color w:val="000000" w:themeColor="text1"/>
                <w:sz w:val="21"/>
                <w:szCs w:val="21"/>
                <w:highlight w:val="none"/>
                <w14:textFill>
                  <w14:solidFill>
                    <w14:schemeClr w14:val="tx1"/>
                  </w14:solidFill>
                </w14:textFill>
              </w:rPr>
            </w:pPr>
            <w:r>
              <w:rPr>
                <w:rFonts w:hint="eastAsia" w:cs="宋体"/>
                <w:bCs/>
                <w:color w:val="000000" w:themeColor="text1"/>
                <w:kern w:val="2"/>
                <w:sz w:val="21"/>
                <w:szCs w:val="21"/>
                <w:highlight w:val="none"/>
                <w14:textFill>
                  <w14:solidFill>
                    <w14:schemeClr w14:val="tx1"/>
                  </w14:solidFill>
                </w14:textFill>
              </w:rPr>
              <w:t>与项目有关的原有环境污染问题</w:t>
            </w:r>
          </w:p>
        </w:tc>
        <w:tc>
          <w:tcPr>
            <w:tcW w:w="8161" w:type="dxa"/>
          </w:tcPr>
          <w:p w14:paraId="4EFA0FEC">
            <w:pPr>
              <w:widowControl/>
              <w:spacing w:line="360" w:lineRule="auto"/>
              <w:ind w:firstLine="480" w:firstLineChars="200"/>
              <w:jc w:val="both"/>
              <w:rPr>
                <w:rFonts w:hint="default" w:ascii="Times New Roman" w:hAnsi="Times New Roman" w:eastAsia="宋体" w:cs="Times New Roman"/>
                <w:color w:val="FF0000"/>
                <w:sz w:val="24"/>
                <w:szCs w:val="24"/>
                <w:highlight w:val="none"/>
                <w:lang w:val="en-US" w:eastAsia="zh-CN"/>
              </w:rPr>
            </w:pPr>
            <w:r>
              <w:rPr>
                <w:rFonts w:hint="eastAsia"/>
                <w:color w:val="FF0000"/>
                <w:sz w:val="24"/>
                <w:highlight w:val="none"/>
                <w:lang w:val="en-US" w:eastAsia="zh-CN"/>
              </w:rPr>
              <w:t>本</w:t>
            </w:r>
            <w:r>
              <w:rPr>
                <w:rFonts w:hint="eastAsia"/>
                <w:color w:val="FF0000"/>
                <w:sz w:val="24"/>
                <w:highlight w:val="none"/>
              </w:rPr>
              <w:t>项目位于辽宁省抚顺市东洲区哈达镇小寨子村，抚顺禹烽建筑石材有限公司</w:t>
            </w:r>
            <w:r>
              <w:rPr>
                <w:rFonts w:hint="eastAsia"/>
                <w:color w:val="FF0000"/>
                <w:sz w:val="24"/>
                <w:highlight w:val="none"/>
                <w:lang w:val="en-US" w:eastAsia="zh-CN"/>
              </w:rPr>
              <w:t>租赁</w:t>
            </w:r>
            <w:r>
              <w:rPr>
                <w:rFonts w:ascii="Times New Roman" w:hAnsi="Times New Roman" w:eastAsia="宋体" w:cs="Times New Roman"/>
                <w:color w:val="FF0000"/>
                <w:sz w:val="24"/>
                <w:szCs w:val="24"/>
                <w:highlight w:val="none"/>
              </w:rPr>
              <w:t>抚顺东方镁业有限责任公司</w:t>
            </w:r>
            <w:r>
              <w:rPr>
                <w:rFonts w:hint="eastAsia" w:ascii="Times New Roman" w:hAnsi="Times New Roman" w:eastAsia="宋体" w:cs="Times New Roman"/>
                <w:color w:val="FF0000"/>
                <w:sz w:val="24"/>
                <w:szCs w:val="24"/>
                <w:highlight w:val="none"/>
                <w:lang w:val="en-US" w:eastAsia="zh-CN"/>
              </w:rPr>
              <w:t>采区土地建设本项目。</w:t>
            </w:r>
            <w:r>
              <w:rPr>
                <w:rFonts w:ascii="Times New Roman" w:hAnsi="Times New Roman" w:eastAsia="宋体" w:cs="Times New Roman"/>
                <w:color w:val="FF0000"/>
                <w:sz w:val="24"/>
                <w:szCs w:val="24"/>
                <w:highlight w:val="none"/>
              </w:rPr>
              <w:t>抚顺东方镁业有限责任公司</w:t>
            </w:r>
            <w:r>
              <w:rPr>
                <w:rFonts w:hint="eastAsia" w:ascii="Times New Roman" w:hAnsi="Times New Roman" w:eastAsia="宋体" w:cs="Times New Roman"/>
                <w:color w:val="FF0000"/>
                <w:sz w:val="24"/>
                <w:szCs w:val="24"/>
                <w:highlight w:val="none"/>
                <w:lang w:val="en-US" w:eastAsia="zh-CN"/>
              </w:rPr>
              <w:t>采区为抚顺鑫兴镁业有限公司</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菱镁矿</w:t>
            </w:r>
            <w:r>
              <w:rPr>
                <w:rFonts w:hint="eastAsia" w:cs="Times New Roman"/>
                <w:color w:val="FF0000"/>
                <w:sz w:val="24"/>
                <w:szCs w:val="24"/>
                <w:highlight w:val="none"/>
                <w:lang w:val="en-US" w:eastAsia="zh-CN"/>
              </w:rPr>
              <w:t>）</w:t>
            </w:r>
            <w:r>
              <w:rPr>
                <w:rFonts w:hint="eastAsia" w:ascii="Times New Roman" w:hAnsi="Times New Roman" w:eastAsia="宋体" w:cs="Times New Roman"/>
                <w:color w:val="FF0000"/>
                <w:sz w:val="24"/>
                <w:szCs w:val="24"/>
                <w:highlight w:val="none"/>
                <w:lang w:val="en-US" w:eastAsia="zh-CN"/>
              </w:rPr>
              <w:t>项目中的四采区。</w:t>
            </w:r>
            <w:r>
              <w:rPr>
                <w:rFonts w:ascii="Times New Roman" w:hAnsi="Times New Roman" w:eastAsia="宋体" w:cs="Times New Roman"/>
                <w:color w:val="FF0000"/>
                <w:sz w:val="24"/>
                <w:szCs w:val="24"/>
                <w:highlight w:val="none"/>
              </w:rPr>
              <w:t>抚顺东方镁业有限责任公司</w:t>
            </w:r>
            <w:r>
              <w:rPr>
                <w:rFonts w:hint="eastAsia" w:cs="Times New Roman"/>
                <w:color w:val="FF0000"/>
                <w:sz w:val="24"/>
                <w:szCs w:val="24"/>
                <w:highlight w:val="none"/>
                <w:lang w:val="en-US" w:eastAsia="zh-CN"/>
              </w:rPr>
              <w:t>土地证明见附件2，土地性质为工业用地，本项目企业</w:t>
            </w:r>
            <w:r>
              <w:rPr>
                <w:rFonts w:hint="eastAsia"/>
                <w:color w:val="FF0000"/>
                <w:sz w:val="24"/>
                <w:highlight w:val="none"/>
              </w:rPr>
              <w:t>抚顺禹烽建筑石材有限公司</w:t>
            </w:r>
            <w:r>
              <w:rPr>
                <w:rFonts w:hint="eastAsia"/>
                <w:color w:val="FF0000"/>
                <w:sz w:val="24"/>
                <w:highlight w:val="none"/>
                <w:lang w:val="en-US" w:eastAsia="zh-CN"/>
              </w:rPr>
              <w:t>与</w:t>
            </w:r>
            <w:r>
              <w:rPr>
                <w:rFonts w:ascii="Times New Roman" w:hAnsi="Times New Roman" w:eastAsia="宋体" w:cs="Times New Roman"/>
                <w:color w:val="FF0000"/>
                <w:sz w:val="24"/>
                <w:szCs w:val="24"/>
                <w:highlight w:val="none"/>
              </w:rPr>
              <w:t>抚顺东方镁业有限责任公司</w:t>
            </w:r>
            <w:r>
              <w:rPr>
                <w:rFonts w:hint="eastAsia" w:cs="Times New Roman"/>
                <w:color w:val="FF0000"/>
                <w:sz w:val="24"/>
                <w:szCs w:val="24"/>
                <w:highlight w:val="none"/>
                <w:lang w:val="en-US" w:eastAsia="zh-CN"/>
              </w:rPr>
              <w:t>签订的租赁合同见附件2。</w:t>
            </w:r>
          </w:p>
          <w:p w14:paraId="69CAD396">
            <w:pPr>
              <w:widowControl/>
              <w:spacing w:line="360" w:lineRule="auto"/>
              <w:ind w:firstLine="480" w:firstLineChars="200"/>
              <w:jc w:val="both"/>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抚顺鑫兴镁业有限公司（菱镁矿）项目</w:t>
            </w:r>
            <w:r>
              <w:rPr>
                <w:rFonts w:ascii="Times New Roman" w:hAnsi="Times New Roman" w:cs="Times New Roman"/>
                <w:color w:val="FF0000"/>
                <w:sz w:val="24"/>
                <w:highlight w:val="none"/>
              </w:rPr>
              <w:t>由原抚顺市志新镁矿有限公司、原辽东镁达有限公司、原抚顺县哈达林场镁矿、原抚顺东方镁业有限责任公司四处采矿权进行资源整合</w:t>
            </w:r>
            <w:r>
              <w:rPr>
                <w:rFonts w:hint="eastAsia" w:ascii="Times New Roman" w:hAnsi="Times New Roman" w:cs="Times New Roman"/>
                <w:color w:val="FF0000"/>
                <w:sz w:val="24"/>
                <w:highlight w:val="none"/>
                <w:lang w:eastAsia="zh-CN"/>
              </w:rPr>
              <w:t>，</w:t>
            </w:r>
            <w:r>
              <w:rPr>
                <w:rFonts w:ascii="Times New Roman" w:hAnsi="Times New Roman" w:cs="Times New Roman"/>
                <w:color w:val="FF0000"/>
                <w:sz w:val="24"/>
                <w:highlight w:val="none"/>
              </w:rPr>
              <w:t>依据《辽宁省抚顺市东洲区哈达镇小寨子-富尔哈村四家菱镁矿矿山整合实施方案》（抚顺市东洲区人民政府2021年3月），4家矿山整合后，整合主体变更为抚顺鑫兴镁业有限公司。</w:t>
            </w:r>
          </w:p>
          <w:p w14:paraId="60D5EEF0">
            <w:pPr>
              <w:widowControl/>
              <w:spacing w:line="360" w:lineRule="auto"/>
              <w:ind w:firstLine="480" w:firstLineChars="200"/>
              <w:jc w:val="both"/>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抚顺鑫兴镁业有限公司于2022年7月编制完成了《抚顺鑫兴镁业有限公司（菱镁矿）项目环境影响报告书》，抚顺市生态环境局于2022年9月1日对《抚顺鑫兴镁业有限公司（菱镁矿）项目环境影响报告书》进行了批复（抚环审[2022]44号）。2022年11月申请排污登记许可，登记编号 91210403MA10Q6XQXT001W。</w:t>
            </w:r>
          </w:p>
          <w:p w14:paraId="4A7FC95D">
            <w:pPr>
              <w:widowControl/>
              <w:spacing w:line="360" w:lineRule="auto"/>
              <w:ind w:firstLine="480" w:firstLineChars="200"/>
              <w:jc w:val="both"/>
              <w:rPr>
                <w:rFonts w:hint="eastAsia" w:ascii="Times New Roman" w:hAnsi="Times New Roman" w:eastAsia="宋体" w:cs="Times New Roman"/>
                <w:color w:val="FF0000"/>
                <w:sz w:val="24"/>
                <w:highlight w:val="none"/>
                <w:lang w:val="en-US" w:eastAsia="zh-CN"/>
              </w:rPr>
            </w:pPr>
            <w:r>
              <w:rPr>
                <w:rFonts w:hint="eastAsia" w:ascii="Times New Roman" w:hAnsi="Times New Roman" w:eastAsia="宋体" w:cs="Times New Roman"/>
                <w:color w:val="FF0000"/>
                <w:sz w:val="24"/>
                <w:highlight w:val="none"/>
                <w:lang w:val="en-US" w:eastAsia="zh-CN"/>
              </w:rPr>
              <w:t>抚顺鑫兴镁业有限公司（菱镁矿）项目开采生产规划表如下：</w:t>
            </w:r>
          </w:p>
          <w:p w14:paraId="1C0C6EA2">
            <w:pPr>
              <w:widowControl/>
              <w:spacing w:before="120" w:beforeLines="50"/>
              <w:jc w:val="center"/>
              <w:rPr>
                <w:rFonts w:ascii="Times New Roman" w:hAnsi="Times New Roman" w:eastAsia="宋体" w:cs="Times New Roman"/>
                <w:b/>
                <w:bCs/>
                <w:color w:val="FF0000"/>
                <w:kern w:val="0"/>
                <w:szCs w:val="21"/>
                <w:highlight w:val="none"/>
                <w:lang w:bidi="ar"/>
              </w:rPr>
            </w:pPr>
            <w:r>
              <w:rPr>
                <w:rFonts w:ascii="Times New Roman" w:hAnsi="Times New Roman" w:eastAsia="宋体" w:cs="Times New Roman"/>
                <w:b/>
                <w:bCs/>
                <w:color w:val="FF0000"/>
                <w:kern w:val="0"/>
                <w:szCs w:val="21"/>
                <w:highlight w:val="none"/>
                <w:lang w:bidi="ar"/>
              </w:rPr>
              <w:t>表</w:t>
            </w:r>
            <w:r>
              <w:rPr>
                <w:rFonts w:hint="eastAsia" w:ascii="Times New Roman" w:hAnsi="Times New Roman" w:eastAsia="宋体" w:cs="Times New Roman"/>
                <w:b/>
                <w:bCs/>
                <w:color w:val="FF0000"/>
                <w:kern w:val="0"/>
                <w:szCs w:val="21"/>
                <w:highlight w:val="none"/>
                <w:lang w:val="en-US" w:eastAsia="zh-CN" w:bidi="ar"/>
              </w:rPr>
              <w:t>2-10</w:t>
            </w:r>
            <w:r>
              <w:rPr>
                <w:rFonts w:ascii="Times New Roman" w:hAnsi="Times New Roman" w:eastAsia="宋体" w:cs="Times New Roman"/>
                <w:b/>
                <w:bCs/>
                <w:color w:val="FF0000"/>
                <w:kern w:val="0"/>
                <w:szCs w:val="21"/>
                <w:highlight w:val="none"/>
                <w:lang w:bidi="ar"/>
              </w:rPr>
              <w:t xml:space="preserve"> 开采生产规划表</w:t>
            </w:r>
          </w:p>
          <w:tbl>
            <w:tblPr>
              <w:tblStyle w:val="18"/>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09"/>
              <w:gridCol w:w="899"/>
              <w:gridCol w:w="663"/>
              <w:gridCol w:w="531"/>
              <w:gridCol w:w="852"/>
              <w:gridCol w:w="509"/>
              <w:gridCol w:w="852"/>
              <w:gridCol w:w="636"/>
              <w:gridCol w:w="520"/>
              <w:gridCol w:w="852"/>
              <w:gridCol w:w="852"/>
            </w:tblGrid>
            <w:tr w14:paraId="51D325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1" w:type="pct"/>
                  <w:vAlign w:val="center"/>
                </w:tcPr>
                <w:p w14:paraId="23FD0383">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采区名称</w:t>
                  </w:r>
                </w:p>
              </w:tc>
              <w:tc>
                <w:tcPr>
                  <w:tcW w:w="477" w:type="pct"/>
                  <w:shd w:val="clear" w:color="auto" w:fill="auto"/>
                  <w:vAlign w:val="center"/>
                </w:tcPr>
                <w:p w14:paraId="3C7C7715">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设计量（万t）</w:t>
                  </w:r>
                </w:p>
              </w:tc>
              <w:tc>
                <w:tcPr>
                  <w:tcW w:w="479" w:type="pct"/>
                  <w:vAlign w:val="center"/>
                </w:tcPr>
                <w:p w14:paraId="0DF126D7">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1a</w:t>
                  </w:r>
                </w:p>
              </w:tc>
              <w:tc>
                <w:tcPr>
                  <w:tcW w:w="331" w:type="pct"/>
                  <w:vAlign w:val="center"/>
                </w:tcPr>
                <w:p w14:paraId="776BC125">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2～6a</w:t>
                  </w:r>
                </w:p>
              </w:tc>
              <w:tc>
                <w:tcPr>
                  <w:tcW w:w="529" w:type="pct"/>
                  <w:vAlign w:val="center"/>
                </w:tcPr>
                <w:p w14:paraId="7BDDADBC">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7a</w:t>
                  </w:r>
                </w:p>
              </w:tc>
              <w:tc>
                <w:tcPr>
                  <w:tcW w:w="382" w:type="pct"/>
                  <w:vAlign w:val="center"/>
                </w:tcPr>
                <w:p w14:paraId="025F0AE6">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8a</w:t>
                  </w:r>
                </w:p>
              </w:tc>
              <w:tc>
                <w:tcPr>
                  <w:tcW w:w="477" w:type="pct"/>
                  <w:vAlign w:val="center"/>
                </w:tcPr>
                <w:p w14:paraId="1331C7F0">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9a</w:t>
                  </w:r>
                </w:p>
              </w:tc>
              <w:tc>
                <w:tcPr>
                  <w:tcW w:w="457" w:type="pct"/>
                  <w:vAlign w:val="center"/>
                </w:tcPr>
                <w:p w14:paraId="77D0065F">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10～12a</w:t>
                  </w:r>
                </w:p>
              </w:tc>
              <w:tc>
                <w:tcPr>
                  <w:tcW w:w="312" w:type="pct"/>
                  <w:vAlign w:val="center"/>
                </w:tcPr>
                <w:p w14:paraId="02916699">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13a</w:t>
                  </w:r>
                </w:p>
              </w:tc>
              <w:tc>
                <w:tcPr>
                  <w:tcW w:w="485" w:type="pct"/>
                  <w:vAlign w:val="center"/>
                </w:tcPr>
                <w:p w14:paraId="1F19A744">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14a</w:t>
                  </w:r>
                </w:p>
              </w:tc>
              <w:tc>
                <w:tcPr>
                  <w:tcW w:w="494" w:type="pct"/>
                  <w:vAlign w:val="center"/>
                </w:tcPr>
                <w:p w14:paraId="3632B193">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15a</w:t>
                  </w:r>
                </w:p>
              </w:tc>
            </w:tr>
            <w:tr w14:paraId="693924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1" w:type="pct"/>
                  <w:vAlign w:val="center"/>
                </w:tcPr>
                <w:p w14:paraId="2C40421B">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一采区志新镁矿</w:t>
                  </w:r>
                </w:p>
              </w:tc>
              <w:tc>
                <w:tcPr>
                  <w:tcW w:w="477" w:type="pct"/>
                  <w:shd w:val="clear" w:color="auto" w:fill="auto"/>
                  <w:vAlign w:val="center"/>
                </w:tcPr>
                <w:p w14:paraId="3834C101">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143.804</w:t>
                  </w:r>
                </w:p>
              </w:tc>
              <w:tc>
                <w:tcPr>
                  <w:tcW w:w="479" w:type="pct"/>
                  <w:vAlign w:val="center"/>
                </w:tcPr>
                <w:p w14:paraId="5ADD09DF">
                  <w:pPr>
                    <w:pStyle w:val="52"/>
                    <w:jc w:val="center"/>
                    <w:rPr>
                      <w:rFonts w:hint="default" w:ascii="Times New Roman" w:hAnsi="Times New Roman" w:cs="Times New Roman" w:eastAsiaTheme="minorEastAsia"/>
                      <w:b w:val="0"/>
                      <w:bCs w:val="0"/>
                      <w:color w:val="FF0000"/>
                      <w:kern w:val="2"/>
                      <w:sz w:val="21"/>
                      <w:szCs w:val="21"/>
                      <w:highlight w:val="none"/>
                    </w:rPr>
                  </w:pPr>
                  <w:r>
                    <w:rPr>
                      <w:rFonts w:hint="default" w:ascii="Times New Roman" w:hAnsi="Times New Roman" w:cs="Times New Roman" w:eastAsiaTheme="minorEastAsia"/>
                      <w:b w:val="0"/>
                      <w:bCs w:val="0"/>
                      <w:color w:val="FF0000"/>
                      <w:kern w:val="2"/>
                      <w:sz w:val="21"/>
                      <w:szCs w:val="21"/>
                      <w:highlight w:val="none"/>
                    </w:rPr>
                    <w:t>18</w:t>
                  </w:r>
                </w:p>
              </w:tc>
              <w:tc>
                <w:tcPr>
                  <w:tcW w:w="331" w:type="pct"/>
                  <w:vAlign w:val="center"/>
                </w:tcPr>
                <w:p w14:paraId="6CD086ED">
                  <w:pPr>
                    <w:pStyle w:val="52"/>
                    <w:jc w:val="center"/>
                    <w:rPr>
                      <w:rFonts w:hint="default" w:ascii="Times New Roman" w:hAnsi="Times New Roman" w:cs="Times New Roman" w:eastAsiaTheme="minorEastAsia"/>
                      <w:b w:val="0"/>
                      <w:bCs w:val="0"/>
                      <w:color w:val="FF0000"/>
                      <w:kern w:val="2"/>
                      <w:sz w:val="21"/>
                      <w:szCs w:val="21"/>
                      <w:highlight w:val="none"/>
                    </w:rPr>
                  </w:pPr>
                  <w:r>
                    <w:rPr>
                      <w:rFonts w:hint="default" w:ascii="Times New Roman" w:hAnsi="Times New Roman" w:cs="Times New Roman" w:eastAsiaTheme="minorEastAsia"/>
                      <w:b w:val="0"/>
                      <w:bCs w:val="0"/>
                      <w:color w:val="FF0000"/>
                      <w:kern w:val="2"/>
                      <w:sz w:val="21"/>
                      <w:szCs w:val="21"/>
                      <w:highlight w:val="none"/>
                    </w:rPr>
                    <w:t>21</w:t>
                  </w:r>
                </w:p>
              </w:tc>
              <w:tc>
                <w:tcPr>
                  <w:tcW w:w="529" w:type="pct"/>
                  <w:vAlign w:val="center"/>
                </w:tcPr>
                <w:p w14:paraId="16D526EA">
                  <w:pPr>
                    <w:pStyle w:val="52"/>
                    <w:jc w:val="center"/>
                    <w:rPr>
                      <w:rFonts w:hint="default" w:ascii="Times New Roman" w:hAnsi="Times New Roman" w:cs="Times New Roman" w:eastAsiaTheme="minorEastAsia"/>
                      <w:b w:val="0"/>
                      <w:bCs w:val="0"/>
                      <w:color w:val="FF0000"/>
                      <w:kern w:val="2"/>
                      <w:sz w:val="21"/>
                      <w:szCs w:val="21"/>
                      <w:highlight w:val="none"/>
                    </w:rPr>
                  </w:pPr>
                  <w:r>
                    <w:rPr>
                      <w:rFonts w:hint="default" w:ascii="Times New Roman" w:hAnsi="Times New Roman" w:cs="Times New Roman" w:eastAsiaTheme="minorEastAsia"/>
                      <w:b w:val="0"/>
                      <w:bCs w:val="0"/>
                      <w:color w:val="FF0000"/>
                      <w:kern w:val="2"/>
                      <w:sz w:val="21"/>
                      <w:szCs w:val="21"/>
                      <w:highlight w:val="none"/>
                    </w:rPr>
                    <w:t>20.804/闭坑</w:t>
                  </w:r>
                </w:p>
              </w:tc>
              <w:tc>
                <w:tcPr>
                  <w:tcW w:w="382" w:type="pct"/>
                  <w:vAlign w:val="center"/>
                </w:tcPr>
                <w:p w14:paraId="0A429961">
                  <w:pPr>
                    <w:jc w:val="center"/>
                    <w:rPr>
                      <w:rFonts w:hint="default" w:ascii="Times New Roman" w:hAnsi="Times New Roman" w:cs="Times New Roman" w:eastAsiaTheme="minorEastAsia"/>
                      <w:b w:val="0"/>
                      <w:bCs w:val="0"/>
                      <w:color w:val="FF0000"/>
                      <w:szCs w:val="21"/>
                      <w:highlight w:val="none"/>
                    </w:rPr>
                  </w:pPr>
                </w:p>
              </w:tc>
              <w:tc>
                <w:tcPr>
                  <w:tcW w:w="477" w:type="pct"/>
                  <w:vAlign w:val="center"/>
                </w:tcPr>
                <w:p w14:paraId="3802E4D2">
                  <w:pPr>
                    <w:jc w:val="center"/>
                    <w:rPr>
                      <w:rFonts w:hint="default" w:ascii="Times New Roman" w:hAnsi="Times New Roman" w:cs="Times New Roman" w:eastAsiaTheme="minorEastAsia"/>
                      <w:b w:val="0"/>
                      <w:bCs w:val="0"/>
                      <w:color w:val="FF0000"/>
                      <w:szCs w:val="21"/>
                      <w:highlight w:val="none"/>
                    </w:rPr>
                  </w:pPr>
                </w:p>
              </w:tc>
              <w:tc>
                <w:tcPr>
                  <w:tcW w:w="457" w:type="pct"/>
                  <w:vAlign w:val="center"/>
                </w:tcPr>
                <w:p w14:paraId="62112A2C">
                  <w:pPr>
                    <w:jc w:val="center"/>
                    <w:rPr>
                      <w:rFonts w:hint="default" w:ascii="Times New Roman" w:hAnsi="Times New Roman" w:cs="Times New Roman" w:eastAsiaTheme="minorEastAsia"/>
                      <w:b w:val="0"/>
                      <w:bCs w:val="0"/>
                      <w:color w:val="FF0000"/>
                      <w:szCs w:val="21"/>
                      <w:highlight w:val="none"/>
                    </w:rPr>
                  </w:pPr>
                </w:p>
              </w:tc>
              <w:tc>
                <w:tcPr>
                  <w:tcW w:w="312" w:type="pct"/>
                  <w:vAlign w:val="center"/>
                </w:tcPr>
                <w:p w14:paraId="478BCAAD">
                  <w:pPr>
                    <w:jc w:val="center"/>
                    <w:rPr>
                      <w:rFonts w:hint="default" w:ascii="Times New Roman" w:hAnsi="Times New Roman" w:cs="Times New Roman" w:eastAsiaTheme="minorEastAsia"/>
                      <w:b w:val="0"/>
                      <w:bCs w:val="0"/>
                      <w:color w:val="FF0000"/>
                      <w:szCs w:val="21"/>
                      <w:highlight w:val="none"/>
                    </w:rPr>
                  </w:pPr>
                </w:p>
              </w:tc>
              <w:tc>
                <w:tcPr>
                  <w:tcW w:w="485" w:type="pct"/>
                  <w:vAlign w:val="center"/>
                </w:tcPr>
                <w:p w14:paraId="58EB2FE1">
                  <w:pPr>
                    <w:jc w:val="center"/>
                    <w:rPr>
                      <w:rFonts w:hint="default" w:ascii="Times New Roman" w:hAnsi="Times New Roman" w:cs="Times New Roman" w:eastAsiaTheme="minorEastAsia"/>
                      <w:b w:val="0"/>
                      <w:bCs w:val="0"/>
                      <w:color w:val="FF0000"/>
                      <w:szCs w:val="21"/>
                      <w:highlight w:val="none"/>
                    </w:rPr>
                  </w:pPr>
                </w:p>
              </w:tc>
              <w:tc>
                <w:tcPr>
                  <w:tcW w:w="494" w:type="pct"/>
                  <w:vAlign w:val="center"/>
                </w:tcPr>
                <w:p w14:paraId="5198AD31">
                  <w:pPr>
                    <w:jc w:val="center"/>
                    <w:rPr>
                      <w:rFonts w:hint="default" w:ascii="Times New Roman" w:hAnsi="Times New Roman" w:cs="Times New Roman" w:eastAsiaTheme="minorEastAsia"/>
                      <w:b w:val="0"/>
                      <w:bCs w:val="0"/>
                      <w:color w:val="FF0000"/>
                      <w:szCs w:val="21"/>
                      <w:highlight w:val="none"/>
                    </w:rPr>
                  </w:pPr>
                </w:p>
              </w:tc>
            </w:tr>
            <w:tr w14:paraId="3C27941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1" w:type="pct"/>
                  <w:vAlign w:val="center"/>
                </w:tcPr>
                <w:p w14:paraId="503C9A81">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二采区辽东镁达</w:t>
                  </w:r>
                </w:p>
              </w:tc>
              <w:tc>
                <w:tcPr>
                  <w:tcW w:w="477" w:type="pct"/>
                  <w:shd w:val="clear" w:color="auto" w:fill="auto"/>
                  <w:vAlign w:val="center"/>
                </w:tcPr>
                <w:p w14:paraId="400019CF">
                  <w:pPr>
                    <w:pStyle w:val="52"/>
                    <w:jc w:val="center"/>
                    <w:rPr>
                      <w:rFonts w:hint="default" w:ascii="Times New Roman" w:hAnsi="Times New Roman" w:cs="Times New Roman" w:eastAsiaTheme="minorEastAsia"/>
                      <w:b w:val="0"/>
                      <w:bCs w:val="0"/>
                      <w:color w:val="FF0000"/>
                      <w:sz w:val="21"/>
                      <w:szCs w:val="21"/>
                      <w:highlight w:val="none"/>
                    </w:rPr>
                  </w:pPr>
                  <w:r>
                    <w:rPr>
                      <w:rFonts w:hint="default" w:ascii="Times New Roman" w:hAnsi="Times New Roman" w:cs="Times New Roman" w:eastAsiaTheme="minorEastAsia"/>
                      <w:b w:val="0"/>
                      <w:bCs w:val="0"/>
                      <w:color w:val="FF0000"/>
                      <w:sz w:val="21"/>
                      <w:szCs w:val="21"/>
                      <w:highlight w:val="none"/>
                    </w:rPr>
                    <w:t>31.848</w:t>
                  </w:r>
                </w:p>
              </w:tc>
              <w:tc>
                <w:tcPr>
                  <w:tcW w:w="479" w:type="pct"/>
                  <w:vAlign w:val="center"/>
                </w:tcPr>
                <w:p w14:paraId="5EEAF6F5">
                  <w:pPr>
                    <w:pStyle w:val="52"/>
                    <w:jc w:val="center"/>
                    <w:rPr>
                      <w:rFonts w:hint="default" w:ascii="Times New Roman" w:hAnsi="Times New Roman" w:cs="Times New Roman" w:eastAsiaTheme="minorEastAsia"/>
                      <w:b w:val="0"/>
                      <w:bCs w:val="0"/>
                      <w:color w:val="FF0000"/>
                      <w:sz w:val="21"/>
                      <w:szCs w:val="21"/>
                      <w:highlight w:val="none"/>
                    </w:rPr>
                  </w:pPr>
                </w:p>
              </w:tc>
              <w:tc>
                <w:tcPr>
                  <w:tcW w:w="331" w:type="pct"/>
                  <w:vAlign w:val="center"/>
                </w:tcPr>
                <w:p w14:paraId="77111042">
                  <w:pPr>
                    <w:pStyle w:val="52"/>
                    <w:jc w:val="center"/>
                    <w:rPr>
                      <w:rFonts w:hint="default" w:ascii="Times New Roman" w:hAnsi="Times New Roman" w:cs="Times New Roman" w:eastAsiaTheme="minorEastAsia"/>
                      <w:b w:val="0"/>
                      <w:bCs w:val="0"/>
                      <w:color w:val="FF0000"/>
                      <w:sz w:val="21"/>
                      <w:szCs w:val="21"/>
                      <w:highlight w:val="none"/>
                    </w:rPr>
                  </w:pPr>
                </w:p>
              </w:tc>
              <w:tc>
                <w:tcPr>
                  <w:tcW w:w="529" w:type="pct"/>
                  <w:vAlign w:val="center"/>
                </w:tcPr>
                <w:p w14:paraId="64A9AC76">
                  <w:pPr>
                    <w:pStyle w:val="52"/>
                    <w:jc w:val="center"/>
                    <w:rPr>
                      <w:rFonts w:hint="default" w:ascii="Times New Roman" w:hAnsi="Times New Roman" w:cs="Times New Roman" w:eastAsiaTheme="minorEastAsia"/>
                      <w:b w:val="0"/>
                      <w:bCs w:val="0"/>
                      <w:color w:val="FF0000"/>
                      <w:sz w:val="21"/>
                      <w:szCs w:val="21"/>
                      <w:highlight w:val="none"/>
                    </w:rPr>
                  </w:pPr>
                  <w:r>
                    <w:rPr>
                      <w:rFonts w:hint="default" w:ascii="Times New Roman" w:hAnsi="Times New Roman" w:cs="Times New Roman" w:eastAsiaTheme="minorEastAsia"/>
                      <w:b w:val="0"/>
                      <w:bCs w:val="0"/>
                      <w:color w:val="FF0000"/>
                      <w:sz w:val="21"/>
                      <w:szCs w:val="21"/>
                      <w:highlight w:val="none"/>
                    </w:rPr>
                    <w:t>0.196</w:t>
                  </w:r>
                </w:p>
              </w:tc>
              <w:tc>
                <w:tcPr>
                  <w:tcW w:w="382" w:type="pct"/>
                  <w:vAlign w:val="center"/>
                </w:tcPr>
                <w:p w14:paraId="5C4A07B4">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21</w:t>
                  </w:r>
                </w:p>
              </w:tc>
              <w:tc>
                <w:tcPr>
                  <w:tcW w:w="477" w:type="pct"/>
                  <w:vAlign w:val="center"/>
                </w:tcPr>
                <w:p w14:paraId="1F166041">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10.652/闭坑</w:t>
                  </w:r>
                </w:p>
              </w:tc>
              <w:tc>
                <w:tcPr>
                  <w:tcW w:w="457" w:type="pct"/>
                  <w:vAlign w:val="center"/>
                </w:tcPr>
                <w:p w14:paraId="38776B9D">
                  <w:pPr>
                    <w:jc w:val="center"/>
                    <w:rPr>
                      <w:rFonts w:hint="default" w:ascii="Times New Roman" w:hAnsi="Times New Roman" w:cs="Times New Roman" w:eastAsiaTheme="minorEastAsia"/>
                      <w:b w:val="0"/>
                      <w:bCs w:val="0"/>
                      <w:color w:val="FF0000"/>
                      <w:szCs w:val="21"/>
                      <w:highlight w:val="none"/>
                    </w:rPr>
                  </w:pPr>
                </w:p>
              </w:tc>
              <w:tc>
                <w:tcPr>
                  <w:tcW w:w="312" w:type="pct"/>
                  <w:vAlign w:val="center"/>
                </w:tcPr>
                <w:p w14:paraId="5868433F">
                  <w:pPr>
                    <w:jc w:val="center"/>
                    <w:rPr>
                      <w:rFonts w:hint="default" w:ascii="Times New Roman" w:hAnsi="Times New Roman" w:cs="Times New Roman" w:eastAsiaTheme="minorEastAsia"/>
                      <w:b w:val="0"/>
                      <w:bCs w:val="0"/>
                      <w:color w:val="FF0000"/>
                      <w:szCs w:val="21"/>
                      <w:highlight w:val="none"/>
                    </w:rPr>
                  </w:pPr>
                </w:p>
              </w:tc>
              <w:tc>
                <w:tcPr>
                  <w:tcW w:w="485" w:type="pct"/>
                  <w:vAlign w:val="center"/>
                </w:tcPr>
                <w:p w14:paraId="32E8A03A">
                  <w:pPr>
                    <w:jc w:val="center"/>
                    <w:rPr>
                      <w:rFonts w:hint="default" w:ascii="Times New Roman" w:hAnsi="Times New Roman" w:cs="Times New Roman" w:eastAsiaTheme="minorEastAsia"/>
                      <w:b w:val="0"/>
                      <w:bCs w:val="0"/>
                      <w:color w:val="FF0000"/>
                      <w:szCs w:val="21"/>
                      <w:highlight w:val="none"/>
                    </w:rPr>
                  </w:pPr>
                </w:p>
              </w:tc>
              <w:tc>
                <w:tcPr>
                  <w:tcW w:w="494" w:type="pct"/>
                  <w:vAlign w:val="center"/>
                </w:tcPr>
                <w:p w14:paraId="2157B0D5">
                  <w:pPr>
                    <w:jc w:val="center"/>
                    <w:rPr>
                      <w:rFonts w:hint="default" w:ascii="Times New Roman" w:hAnsi="Times New Roman" w:cs="Times New Roman" w:eastAsiaTheme="minorEastAsia"/>
                      <w:b w:val="0"/>
                      <w:bCs w:val="0"/>
                      <w:color w:val="FF0000"/>
                      <w:szCs w:val="21"/>
                      <w:highlight w:val="none"/>
                    </w:rPr>
                  </w:pPr>
                </w:p>
              </w:tc>
            </w:tr>
            <w:tr w14:paraId="7252E7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1" w:type="pct"/>
                  <w:vAlign w:val="center"/>
                </w:tcPr>
                <w:p w14:paraId="5569702D">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三采区哈达林场</w:t>
                  </w:r>
                </w:p>
              </w:tc>
              <w:tc>
                <w:tcPr>
                  <w:tcW w:w="477" w:type="pct"/>
                  <w:shd w:val="clear" w:color="auto" w:fill="auto"/>
                  <w:vAlign w:val="center"/>
                </w:tcPr>
                <w:p w14:paraId="49015A2B">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108.710</w:t>
                  </w:r>
                </w:p>
              </w:tc>
              <w:tc>
                <w:tcPr>
                  <w:tcW w:w="479" w:type="pct"/>
                  <w:vAlign w:val="center"/>
                </w:tcPr>
                <w:p w14:paraId="53ED0C12">
                  <w:pPr>
                    <w:pStyle w:val="52"/>
                    <w:jc w:val="center"/>
                    <w:rPr>
                      <w:rFonts w:hint="default" w:ascii="Times New Roman" w:hAnsi="Times New Roman" w:cs="Times New Roman" w:eastAsiaTheme="minorEastAsia"/>
                      <w:b w:val="0"/>
                      <w:bCs w:val="0"/>
                      <w:color w:val="FF0000"/>
                      <w:sz w:val="21"/>
                      <w:szCs w:val="21"/>
                      <w:highlight w:val="none"/>
                    </w:rPr>
                  </w:pPr>
                </w:p>
              </w:tc>
              <w:tc>
                <w:tcPr>
                  <w:tcW w:w="331" w:type="pct"/>
                  <w:vAlign w:val="center"/>
                </w:tcPr>
                <w:p w14:paraId="47F4F052">
                  <w:pPr>
                    <w:pStyle w:val="52"/>
                    <w:jc w:val="center"/>
                    <w:rPr>
                      <w:rFonts w:hint="default" w:ascii="Times New Roman" w:hAnsi="Times New Roman" w:cs="Times New Roman" w:eastAsiaTheme="minorEastAsia"/>
                      <w:b w:val="0"/>
                      <w:bCs w:val="0"/>
                      <w:color w:val="FF0000"/>
                      <w:sz w:val="21"/>
                      <w:szCs w:val="21"/>
                      <w:highlight w:val="none"/>
                    </w:rPr>
                  </w:pPr>
                </w:p>
              </w:tc>
              <w:tc>
                <w:tcPr>
                  <w:tcW w:w="529" w:type="pct"/>
                  <w:vAlign w:val="center"/>
                </w:tcPr>
                <w:p w14:paraId="1AB45534">
                  <w:pPr>
                    <w:pStyle w:val="52"/>
                    <w:jc w:val="center"/>
                    <w:rPr>
                      <w:rFonts w:hint="default" w:ascii="Times New Roman" w:hAnsi="Times New Roman" w:cs="Times New Roman" w:eastAsiaTheme="minorEastAsia"/>
                      <w:b w:val="0"/>
                      <w:bCs w:val="0"/>
                      <w:color w:val="FF0000"/>
                      <w:sz w:val="21"/>
                      <w:szCs w:val="21"/>
                      <w:highlight w:val="none"/>
                    </w:rPr>
                  </w:pPr>
                </w:p>
              </w:tc>
              <w:tc>
                <w:tcPr>
                  <w:tcW w:w="382" w:type="pct"/>
                  <w:vAlign w:val="center"/>
                </w:tcPr>
                <w:p w14:paraId="13357673">
                  <w:pPr>
                    <w:pStyle w:val="52"/>
                    <w:jc w:val="center"/>
                    <w:rPr>
                      <w:rFonts w:hint="default" w:ascii="Times New Roman" w:hAnsi="Times New Roman" w:cs="Times New Roman" w:eastAsiaTheme="minorEastAsia"/>
                      <w:b w:val="0"/>
                      <w:bCs w:val="0"/>
                      <w:color w:val="FF0000"/>
                      <w:kern w:val="2"/>
                      <w:sz w:val="21"/>
                      <w:szCs w:val="21"/>
                      <w:highlight w:val="none"/>
                    </w:rPr>
                  </w:pPr>
                </w:p>
              </w:tc>
              <w:tc>
                <w:tcPr>
                  <w:tcW w:w="477" w:type="pct"/>
                  <w:vAlign w:val="center"/>
                </w:tcPr>
                <w:p w14:paraId="050DC2FE">
                  <w:pPr>
                    <w:pStyle w:val="52"/>
                    <w:jc w:val="center"/>
                    <w:rPr>
                      <w:rFonts w:hint="default" w:ascii="Times New Roman" w:hAnsi="Times New Roman" w:cs="Times New Roman" w:eastAsiaTheme="minorEastAsia"/>
                      <w:b w:val="0"/>
                      <w:bCs w:val="0"/>
                      <w:color w:val="FF0000"/>
                      <w:kern w:val="2"/>
                      <w:sz w:val="21"/>
                      <w:szCs w:val="21"/>
                      <w:highlight w:val="none"/>
                    </w:rPr>
                  </w:pPr>
                  <w:r>
                    <w:rPr>
                      <w:rFonts w:hint="default" w:ascii="Times New Roman" w:hAnsi="Times New Roman" w:cs="Times New Roman" w:eastAsiaTheme="minorEastAsia"/>
                      <w:b w:val="0"/>
                      <w:bCs w:val="0"/>
                      <w:color w:val="FF0000"/>
                      <w:kern w:val="2"/>
                      <w:sz w:val="21"/>
                      <w:szCs w:val="21"/>
                      <w:highlight w:val="none"/>
                    </w:rPr>
                    <w:t>10.348</w:t>
                  </w:r>
                </w:p>
              </w:tc>
              <w:tc>
                <w:tcPr>
                  <w:tcW w:w="457" w:type="pct"/>
                  <w:vAlign w:val="center"/>
                </w:tcPr>
                <w:p w14:paraId="7BFE3A00">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21</w:t>
                  </w:r>
                </w:p>
              </w:tc>
              <w:tc>
                <w:tcPr>
                  <w:tcW w:w="312" w:type="pct"/>
                  <w:vAlign w:val="center"/>
                </w:tcPr>
                <w:p w14:paraId="630406E3">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18</w:t>
                  </w:r>
                </w:p>
              </w:tc>
              <w:tc>
                <w:tcPr>
                  <w:tcW w:w="485" w:type="pct"/>
                  <w:vAlign w:val="center"/>
                </w:tcPr>
                <w:p w14:paraId="2C891A18">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17.362/闭坑</w:t>
                  </w:r>
                </w:p>
              </w:tc>
              <w:tc>
                <w:tcPr>
                  <w:tcW w:w="494" w:type="pct"/>
                  <w:vAlign w:val="center"/>
                </w:tcPr>
                <w:p w14:paraId="22BAC637">
                  <w:pPr>
                    <w:jc w:val="center"/>
                    <w:rPr>
                      <w:rFonts w:hint="default" w:ascii="Times New Roman" w:hAnsi="Times New Roman" w:cs="Times New Roman" w:eastAsiaTheme="minorEastAsia"/>
                      <w:b w:val="0"/>
                      <w:bCs w:val="0"/>
                      <w:color w:val="FF0000"/>
                      <w:szCs w:val="21"/>
                      <w:highlight w:val="none"/>
                    </w:rPr>
                  </w:pPr>
                </w:p>
              </w:tc>
            </w:tr>
            <w:tr w14:paraId="33A11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1" w:type="pct"/>
                  <w:vAlign w:val="center"/>
                </w:tcPr>
                <w:p w14:paraId="719B0E6E">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bCs/>
                      <w:color w:val="FF0000"/>
                      <w:szCs w:val="21"/>
                      <w:highlight w:val="none"/>
                    </w:rPr>
                    <w:t>四采区东方镁业</w:t>
                  </w:r>
                </w:p>
              </w:tc>
              <w:tc>
                <w:tcPr>
                  <w:tcW w:w="477" w:type="pct"/>
                  <w:shd w:val="clear" w:color="auto" w:fill="auto"/>
                  <w:vAlign w:val="center"/>
                </w:tcPr>
                <w:p w14:paraId="64858845">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23.002</w:t>
                  </w:r>
                </w:p>
              </w:tc>
              <w:tc>
                <w:tcPr>
                  <w:tcW w:w="479" w:type="pct"/>
                  <w:vAlign w:val="center"/>
                </w:tcPr>
                <w:p w14:paraId="71C9B813">
                  <w:pPr>
                    <w:pStyle w:val="52"/>
                    <w:jc w:val="center"/>
                    <w:rPr>
                      <w:rFonts w:hint="default" w:ascii="Times New Roman" w:hAnsi="Times New Roman" w:cs="Times New Roman" w:eastAsiaTheme="minorEastAsia"/>
                      <w:b w:val="0"/>
                      <w:bCs w:val="0"/>
                      <w:color w:val="FF0000"/>
                      <w:sz w:val="21"/>
                      <w:szCs w:val="21"/>
                      <w:highlight w:val="none"/>
                    </w:rPr>
                  </w:pPr>
                </w:p>
              </w:tc>
              <w:tc>
                <w:tcPr>
                  <w:tcW w:w="331" w:type="pct"/>
                  <w:vAlign w:val="center"/>
                </w:tcPr>
                <w:p w14:paraId="62A79827">
                  <w:pPr>
                    <w:pStyle w:val="52"/>
                    <w:jc w:val="center"/>
                    <w:rPr>
                      <w:rFonts w:hint="default" w:ascii="Times New Roman" w:hAnsi="Times New Roman" w:cs="Times New Roman" w:eastAsiaTheme="minorEastAsia"/>
                      <w:b w:val="0"/>
                      <w:bCs w:val="0"/>
                      <w:color w:val="FF0000"/>
                      <w:sz w:val="21"/>
                      <w:szCs w:val="21"/>
                      <w:highlight w:val="none"/>
                    </w:rPr>
                  </w:pPr>
                </w:p>
              </w:tc>
              <w:tc>
                <w:tcPr>
                  <w:tcW w:w="529" w:type="pct"/>
                  <w:vAlign w:val="center"/>
                </w:tcPr>
                <w:p w14:paraId="5284F5B2">
                  <w:pPr>
                    <w:pStyle w:val="52"/>
                    <w:jc w:val="center"/>
                    <w:rPr>
                      <w:rFonts w:hint="default" w:ascii="Times New Roman" w:hAnsi="Times New Roman" w:cs="Times New Roman" w:eastAsiaTheme="minorEastAsia"/>
                      <w:b w:val="0"/>
                      <w:bCs w:val="0"/>
                      <w:color w:val="FF0000"/>
                      <w:sz w:val="21"/>
                      <w:szCs w:val="21"/>
                      <w:highlight w:val="none"/>
                    </w:rPr>
                  </w:pPr>
                </w:p>
              </w:tc>
              <w:tc>
                <w:tcPr>
                  <w:tcW w:w="382" w:type="pct"/>
                  <w:vAlign w:val="center"/>
                </w:tcPr>
                <w:p w14:paraId="51D28C39">
                  <w:pPr>
                    <w:pStyle w:val="52"/>
                    <w:jc w:val="center"/>
                    <w:rPr>
                      <w:rFonts w:hint="default" w:ascii="Times New Roman" w:hAnsi="Times New Roman" w:cs="Times New Roman" w:eastAsiaTheme="minorEastAsia"/>
                      <w:b w:val="0"/>
                      <w:bCs w:val="0"/>
                      <w:color w:val="FF0000"/>
                      <w:sz w:val="21"/>
                      <w:szCs w:val="21"/>
                      <w:highlight w:val="none"/>
                    </w:rPr>
                  </w:pPr>
                </w:p>
              </w:tc>
              <w:tc>
                <w:tcPr>
                  <w:tcW w:w="477" w:type="pct"/>
                  <w:vAlign w:val="center"/>
                </w:tcPr>
                <w:p w14:paraId="155A4964">
                  <w:pPr>
                    <w:pStyle w:val="52"/>
                    <w:jc w:val="center"/>
                    <w:rPr>
                      <w:rFonts w:hint="default" w:ascii="Times New Roman" w:hAnsi="Times New Roman" w:cs="Times New Roman" w:eastAsiaTheme="minorEastAsia"/>
                      <w:b w:val="0"/>
                      <w:bCs w:val="0"/>
                      <w:color w:val="FF0000"/>
                      <w:sz w:val="21"/>
                      <w:szCs w:val="21"/>
                      <w:highlight w:val="none"/>
                    </w:rPr>
                  </w:pPr>
                </w:p>
              </w:tc>
              <w:tc>
                <w:tcPr>
                  <w:tcW w:w="457" w:type="pct"/>
                  <w:vAlign w:val="center"/>
                </w:tcPr>
                <w:p w14:paraId="43BE3D45">
                  <w:pPr>
                    <w:jc w:val="center"/>
                    <w:rPr>
                      <w:rFonts w:hint="default" w:ascii="Times New Roman" w:hAnsi="Times New Roman" w:cs="Times New Roman" w:eastAsiaTheme="minorEastAsia"/>
                      <w:b w:val="0"/>
                      <w:bCs w:val="0"/>
                      <w:color w:val="FF0000"/>
                      <w:szCs w:val="21"/>
                      <w:highlight w:val="none"/>
                    </w:rPr>
                  </w:pPr>
                </w:p>
              </w:tc>
              <w:tc>
                <w:tcPr>
                  <w:tcW w:w="312" w:type="pct"/>
                  <w:vAlign w:val="center"/>
                </w:tcPr>
                <w:p w14:paraId="744165E4">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3</w:t>
                  </w:r>
                </w:p>
              </w:tc>
              <w:tc>
                <w:tcPr>
                  <w:tcW w:w="485" w:type="pct"/>
                  <w:vAlign w:val="center"/>
                </w:tcPr>
                <w:p w14:paraId="0BEED644">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3.638</w:t>
                  </w:r>
                </w:p>
              </w:tc>
              <w:tc>
                <w:tcPr>
                  <w:tcW w:w="494" w:type="pct"/>
                  <w:vAlign w:val="center"/>
                </w:tcPr>
                <w:p w14:paraId="649E9AAF">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16.364/闭坑</w:t>
                  </w:r>
                </w:p>
              </w:tc>
            </w:tr>
            <w:tr w14:paraId="75F75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571" w:type="pct"/>
                  <w:vAlign w:val="center"/>
                </w:tcPr>
                <w:p w14:paraId="46EE7BED">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合计</w:t>
                  </w:r>
                </w:p>
              </w:tc>
              <w:tc>
                <w:tcPr>
                  <w:tcW w:w="477" w:type="pct"/>
                  <w:shd w:val="clear" w:color="auto" w:fill="auto"/>
                  <w:vAlign w:val="center"/>
                </w:tcPr>
                <w:p w14:paraId="46150239">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307.384</w:t>
                  </w:r>
                </w:p>
              </w:tc>
              <w:tc>
                <w:tcPr>
                  <w:tcW w:w="479" w:type="pct"/>
                  <w:vAlign w:val="center"/>
                </w:tcPr>
                <w:p w14:paraId="2F03175B">
                  <w:pPr>
                    <w:pStyle w:val="52"/>
                    <w:jc w:val="center"/>
                    <w:rPr>
                      <w:rFonts w:hint="default" w:ascii="Times New Roman" w:hAnsi="Times New Roman" w:cs="Times New Roman" w:eastAsiaTheme="minorEastAsia"/>
                      <w:b w:val="0"/>
                      <w:bCs w:val="0"/>
                      <w:color w:val="FF0000"/>
                      <w:sz w:val="21"/>
                      <w:szCs w:val="21"/>
                      <w:highlight w:val="none"/>
                    </w:rPr>
                  </w:pPr>
                  <w:r>
                    <w:rPr>
                      <w:rFonts w:hint="default" w:ascii="Times New Roman" w:hAnsi="Times New Roman" w:cs="Times New Roman" w:eastAsiaTheme="minorEastAsia"/>
                      <w:b w:val="0"/>
                      <w:bCs w:val="0"/>
                      <w:color w:val="FF0000"/>
                      <w:sz w:val="21"/>
                      <w:szCs w:val="21"/>
                      <w:highlight w:val="none"/>
                    </w:rPr>
                    <w:t>18</w:t>
                  </w:r>
                </w:p>
              </w:tc>
              <w:tc>
                <w:tcPr>
                  <w:tcW w:w="331" w:type="pct"/>
                  <w:vAlign w:val="center"/>
                </w:tcPr>
                <w:p w14:paraId="24A3BEF3">
                  <w:pPr>
                    <w:pStyle w:val="52"/>
                    <w:jc w:val="center"/>
                    <w:rPr>
                      <w:rFonts w:hint="default" w:ascii="Times New Roman" w:hAnsi="Times New Roman" w:cs="Times New Roman" w:eastAsiaTheme="minorEastAsia"/>
                      <w:b w:val="0"/>
                      <w:bCs w:val="0"/>
                      <w:color w:val="FF0000"/>
                      <w:sz w:val="21"/>
                      <w:szCs w:val="21"/>
                      <w:highlight w:val="none"/>
                    </w:rPr>
                  </w:pPr>
                  <w:r>
                    <w:rPr>
                      <w:rFonts w:hint="default" w:ascii="Times New Roman" w:hAnsi="Times New Roman" w:cs="Times New Roman" w:eastAsiaTheme="minorEastAsia"/>
                      <w:b w:val="0"/>
                      <w:bCs w:val="0"/>
                      <w:color w:val="FF0000"/>
                      <w:sz w:val="21"/>
                      <w:szCs w:val="21"/>
                      <w:highlight w:val="none"/>
                    </w:rPr>
                    <w:t>21</w:t>
                  </w:r>
                </w:p>
              </w:tc>
              <w:tc>
                <w:tcPr>
                  <w:tcW w:w="529" w:type="pct"/>
                  <w:vAlign w:val="center"/>
                </w:tcPr>
                <w:p w14:paraId="38E12F4B">
                  <w:pPr>
                    <w:pStyle w:val="52"/>
                    <w:jc w:val="center"/>
                    <w:rPr>
                      <w:rFonts w:hint="default" w:ascii="Times New Roman" w:hAnsi="Times New Roman" w:cs="Times New Roman" w:eastAsiaTheme="minorEastAsia"/>
                      <w:b w:val="0"/>
                      <w:bCs w:val="0"/>
                      <w:color w:val="FF0000"/>
                      <w:sz w:val="21"/>
                      <w:szCs w:val="21"/>
                      <w:highlight w:val="none"/>
                    </w:rPr>
                  </w:pPr>
                  <w:r>
                    <w:rPr>
                      <w:rFonts w:hint="default" w:ascii="Times New Roman" w:hAnsi="Times New Roman" w:cs="Times New Roman" w:eastAsiaTheme="minorEastAsia"/>
                      <w:b w:val="0"/>
                      <w:bCs w:val="0"/>
                      <w:color w:val="FF0000"/>
                      <w:sz w:val="21"/>
                      <w:szCs w:val="21"/>
                      <w:highlight w:val="none"/>
                    </w:rPr>
                    <w:t>21</w:t>
                  </w:r>
                </w:p>
              </w:tc>
              <w:tc>
                <w:tcPr>
                  <w:tcW w:w="382" w:type="pct"/>
                  <w:vAlign w:val="center"/>
                </w:tcPr>
                <w:p w14:paraId="31E020DF">
                  <w:pPr>
                    <w:pStyle w:val="52"/>
                    <w:jc w:val="center"/>
                    <w:rPr>
                      <w:rFonts w:hint="default" w:ascii="Times New Roman" w:hAnsi="Times New Roman" w:cs="Times New Roman" w:eastAsiaTheme="minorEastAsia"/>
                      <w:b w:val="0"/>
                      <w:bCs w:val="0"/>
                      <w:color w:val="FF0000"/>
                      <w:sz w:val="21"/>
                      <w:szCs w:val="21"/>
                      <w:highlight w:val="none"/>
                    </w:rPr>
                  </w:pPr>
                  <w:r>
                    <w:rPr>
                      <w:rFonts w:hint="default" w:ascii="Times New Roman" w:hAnsi="Times New Roman" w:cs="Times New Roman" w:eastAsiaTheme="minorEastAsia"/>
                      <w:b w:val="0"/>
                      <w:bCs w:val="0"/>
                      <w:color w:val="FF0000"/>
                      <w:sz w:val="21"/>
                      <w:szCs w:val="21"/>
                      <w:highlight w:val="none"/>
                    </w:rPr>
                    <w:t>21</w:t>
                  </w:r>
                </w:p>
              </w:tc>
              <w:tc>
                <w:tcPr>
                  <w:tcW w:w="477" w:type="pct"/>
                  <w:vAlign w:val="center"/>
                </w:tcPr>
                <w:p w14:paraId="7E59CF91">
                  <w:pPr>
                    <w:pStyle w:val="52"/>
                    <w:jc w:val="center"/>
                    <w:rPr>
                      <w:rFonts w:hint="default" w:ascii="Times New Roman" w:hAnsi="Times New Roman" w:cs="Times New Roman" w:eastAsiaTheme="minorEastAsia"/>
                      <w:b w:val="0"/>
                      <w:bCs w:val="0"/>
                      <w:color w:val="FF0000"/>
                      <w:sz w:val="21"/>
                      <w:szCs w:val="21"/>
                      <w:highlight w:val="none"/>
                    </w:rPr>
                  </w:pPr>
                  <w:r>
                    <w:rPr>
                      <w:rFonts w:hint="default" w:ascii="Times New Roman" w:hAnsi="Times New Roman" w:cs="Times New Roman" w:eastAsiaTheme="minorEastAsia"/>
                      <w:b w:val="0"/>
                      <w:bCs w:val="0"/>
                      <w:color w:val="FF0000"/>
                      <w:sz w:val="21"/>
                      <w:szCs w:val="21"/>
                      <w:highlight w:val="none"/>
                    </w:rPr>
                    <w:t>21</w:t>
                  </w:r>
                </w:p>
              </w:tc>
              <w:tc>
                <w:tcPr>
                  <w:tcW w:w="457" w:type="pct"/>
                  <w:vAlign w:val="center"/>
                </w:tcPr>
                <w:p w14:paraId="567CF598">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21</w:t>
                  </w:r>
                </w:p>
              </w:tc>
              <w:tc>
                <w:tcPr>
                  <w:tcW w:w="312" w:type="pct"/>
                  <w:vAlign w:val="center"/>
                </w:tcPr>
                <w:p w14:paraId="12E6B53E">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21</w:t>
                  </w:r>
                </w:p>
              </w:tc>
              <w:tc>
                <w:tcPr>
                  <w:tcW w:w="485" w:type="pct"/>
                  <w:vAlign w:val="center"/>
                </w:tcPr>
                <w:p w14:paraId="37C3CA04">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21</w:t>
                  </w:r>
                </w:p>
              </w:tc>
              <w:tc>
                <w:tcPr>
                  <w:tcW w:w="494" w:type="pct"/>
                  <w:vAlign w:val="center"/>
                </w:tcPr>
                <w:p w14:paraId="6D29C1A9">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16.364</w:t>
                  </w:r>
                </w:p>
              </w:tc>
            </w:tr>
            <w:tr w14:paraId="723C74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049" w:type="pct"/>
                  <w:gridSpan w:val="2"/>
                  <w:vAlign w:val="center"/>
                </w:tcPr>
                <w:p w14:paraId="2C0A0469">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产  能</w:t>
                  </w:r>
                </w:p>
              </w:tc>
              <w:tc>
                <w:tcPr>
                  <w:tcW w:w="479" w:type="pct"/>
                  <w:shd w:val="clear" w:color="auto" w:fill="auto"/>
                  <w:vAlign w:val="center"/>
                </w:tcPr>
                <w:p w14:paraId="1757E905">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未达产</w:t>
                  </w:r>
                </w:p>
              </w:tc>
              <w:tc>
                <w:tcPr>
                  <w:tcW w:w="2976" w:type="pct"/>
                  <w:gridSpan w:val="7"/>
                  <w:shd w:val="clear" w:color="auto" w:fill="auto"/>
                  <w:vAlign w:val="center"/>
                </w:tcPr>
                <w:p w14:paraId="22931320">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达产</w:t>
                  </w:r>
                </w:p>
              </w:tc>
              <w:tc>
                <w:tcPr>
                  <w:tcW w:w="494" w:type="pct"/>
                  <w:shd w:val="clear" w:color="auto" w:fill="auto"/>
                  <w:vAlign w:val="center"/>
                </w:tcPr>
                <w:p w14:paraId="7F516FD6">
                  <w:pPr>
                    <w:jc w:val="center"/>
                    <w:rPr>
                      <w:rFonts w:hint="default" w:ascii="Times New Roman" w:hAnsi="Times New Roman" w:cs="Times New Roman" w:eastAsiaTheme="minorEastAsia"/>
                      <w:b w:val="0"/>
                      <w:bCs w:val="0"/>
                      <w:color w:val="FF0000"/>
                      <w:szCs w:val="21"/>
                      <w:highlight w:val="none"/>
                    </w:rPr>
                  </w:pPr>
                  <w:r>
                    <w:rPr>
                      <w:rFonts w:hint="default" w:ascii="Times New Roman" w:hAnsi="Times New Roman" w:cs="Times New Roman" w:eastAsiaTheme="minorEastAsia"/>
                      <w:b w:val="0"/>
                      <w:bCs w:val="0"/>
                      <w:color w:val="FF0000"/>
                      <w:szCs w:val="21"/>
                      <w:highlight w:val="none"/>
                    </w:rPr>
                    <w:t>减产</w:t>
                  </w:r>
                </w:p>
              </w:tc>
            </w:tr>
          </w:tbl>
          <w:p w14:paraId="0FF387D5">
            <w:pPr>
              <w:widowControl/>
              <w:spacing w:line="360" w:lineRule="auto"/>
              <w:ind w:firstLine="480" w:firstLineChars="200"/>
              <w:jc w:val="both"/>
              <w:rPr>
                <w:rFonts w:hint="default" w:ascii="Times New Roman" w:hAnsi="Times New Roman" w:eastAsia="宋体" w:cs="Times New Roman"/>
                <w:color w:val="FF0000"/>
                <w:sz w:val="24"/>
                <w:highlight w:val="none"/>
                <w:lang w:val="en-US" w:eastAsia="zh-CN"/>
              </w:rPr>
            </w:pPr>
            <w:r>
              <w:rPr>
                <w:rFonts w:hint="default" w:ascii="Times New Roman" w:hAnsi="Times New Roman" w:eastAsia="宋体" w:cs="Times New Roman"/>
                <w:color w:val="FF0000"/>
                <w:sz w:val="24"/>
                <w:highlight w:val="none"/>
                <w:lang w:val="en-US" w:eastAsia="zh-CN"/>
              </w:rPr>
              <w:t>本项目所在的四采区东方镁业计划从第13年开始启动，目前并未开工，因此原环评中提出的环保问题目前并未解决：①运输道路未硬化；②废石堆场未进行土地平整；③露天料场未设挡土墙、未设置防尘网，废石堆场露天堆放；④未设置截、排水沟，露天矿积水未收集利用，直接外排；⑤危险废物贮存点设置不符合最新</w:t>
            </w:r>
            <w:r>
              <w:rPr>
                <w:rFonts w:hint="default" w:ascii="Times New Roman" w:hAnsi="Times New Roman" w:eastAsia="宋体" w:cs="Times New Roman"/>
                <w:color w:val="FF0000"/>
                <w:kern w:val="0"/>
                <w:sz w:val="24"/>
                <w:highlight w:val="none"/>
                <w:lang w:bidi="ar"/>
              </w:rPr>
              <w:t>《危险废物贮存污染控制标准》（GB 18597-2023）</w:t>
            </w:r>
            <w:r>
              <w:rPr>
                <w:rFonts w:hint="default" w:ascii="Times New Roman" w:hAnsi="Times New Roman" w:eastAsia="宋体" w:cs="Times New Roman"/>
                <w:color w:val="FF0000"/>
                <w:sz w:val="24"/>
                <w:highlight w:val="none"/>
                <w:lang w:val="en-US" w:eastAsia="zh-CN"/>
              </w:rPr>
              <w:t>标准要求。</w:t>
            </w:r>
            <w:r>
              <w:rPr>
                <w:rFonts w:hint="eastAsia" w:cs="Times New Roman"/>
                <w:color w:val="FF0000"/>
                <w:sz w:val="24"/>
                <w:highlight w:val="none"/>
                <w:lang w:val="en-US" w:eastAsia="zh-CN"/>
              </w:rPr>
              <w:t>上述问题待四采区开始运行时由</w:t>
            </w:r>
            <w:r>
              <w:rPr>
                <w:rFonts w:hint="eastAsia" w:ascii="Times New Roman" w:hAnsi="Times New Roman" w:eastAsia="宋体" w:cs="Times New Roman"/>
                <w:color w:val="FF0000"/>
                <w:sz w:val="24"/>
                <w:highlight w:val="none"/>
                <w:lang w:val="en-US" w:eastAsia="zh-CN"/>
              </w:rPr>
              <w:t>抚顺鑫兴镁业有限公司</w:t>
            </w:r>
            <w:r>
              <w:rPr>
                <w:rFonts w:hint="eastAsia" w:cs="Times New Roman"/>
                <w:color w:val="FF0000"/>
                <w:sz w:val="24"/>
                <w:highlight w:val="none"/>
                <w:lang w:val="en-US" w:eastAsia="zh-CN"/>
              </w:rPr>
              <w:t>进行整改和建设。</w:t>
            </w:r>
          </w:p>
          <w:p w14:paraId="75DCA047">
            <w:pPr>
              <w:widowControl/>
              <w:spacing w:line="360" w:lineRule="auto"/>
              <w:ind w:firstLine="480" w:firstLineChars="200"/>
              <w:jc w:val="both"/>
              <w:rPr>
                <w:rFonts w:hint="eastAsia"/>
                <w:color w:val="FF0000"/>
                <w:sz w:val="24"/>
                <w:highlight w:val="none"/>
                <w:lang w:val="en-US" w:eastAsia="zh-CN"/>
              </w:rPr>
            </w:pPr>
            <w:r>
              <w:rPr>
                <w:rFonts w:hint="eastAsia"/>
                <w:color w:val="FF0000"/>
                <w:sz w:val="24"/>
                <w:highlight w:val="none"/>
              </w:rPr>
              <w:t>本项目</w:t>
            </w:r>
            <w:r>
              <w:rPr>
                <w:rFonts w:hint="eastAsia"/>
                <w:color w:val="FF0000"/>
                <w:sz w:val="24"/>
                <w:highlight w:val="none"/>
                <w:lang w:val="en-US" w:eastAsia="zh-CN"/>
              </w:rPr>
              <w:t>厂区内不设置办公区，拟依托四采区的的办公区进行办公，项目运营期职工日常依托采矿场内的盥洗设施和防渗旱厕。本项目拟改造采矿场破碎设备进行生产，该批设备不属于落后淘汰设备。</w:t>
            </w:r>
          </w:p>
          <w:p w14:paraId="4FA64687">
            <w:pPr>
              <w:widowControl/>
              <w:spacing w:line="360" w:lineRule="auto"/>
              <w:ind w:firstLine="480" w:firstLineChars="200"/>
              <w:jc w:val="both"/>
              <w:rPr>
                <w:rFonts w:hint="default"/>
                <w:color w:val="FF0000"/>
                <w:sz w:val="24"/>
                <w:highlight w:val="none"/>
                <w:lang w:val="en-US" w:eastAsia="zh-CN"/>
              </w:rPr>
            </w:pPr>
            <w:r>
              <w:rPr>
                <w:rFonts w:hint="eastAsia"/>
                <w:color w:val="FF0000"/>
                <w:sz w:val="24"/>
                <w:highlight w:val="none"/>
                <w:lang w:val="en-US" w:eastAsia="zh-CN"/>
              </w:rPr>
              <w:t>无其他与本项目有关的环保问题。</w:t>
            </w:r>
          </w:p>
        </w:tc>
      </w:tr>
    </w:tbl>
    <w:p w14:paraId="550B7BF0">
      <w:pPr>
        <w:pStyle w:val="16"/>
        <w:jc w:val="center"/>
        <w:outlineLvl w:val="0"/>
        <w:rPr>
          <w:rFonts w:hint="eastAsia" w:ascii="黑体" w:hAnsi="黑体" w:eastAsia="黑体"/>
          <w:snapToGrid w:val="0"/>
          <w:color w:val="000000" w:themeColor="text1"/>
          <w:sz w:val="30"/>
          <w:szCs w:val="30"/>
          <w:highlight w:val="none"/>
          <w14:textFill>
            <w14:solidFill>
              <w14:schemeClr w14:val="tx1"/>
            </w14:solidFill>
          </w14:textFill>
        </w:rPr>
        <w:sectPr>
          <w:footerReference r:id="rId9" w:type="default"/>
          <w:pgSz w:w="11907" w:h="16840"/>
          <w:pgMar w:top="1701" w:right="1531" w:bottom="2127" w:left="1531" w:header="851" w:footer="851" w:gutter="0"/>
          <w:pgNumType w:fmt="decimal"/>
          <w:cols w:space="720" w:num="1"/>
          <w:docGrid w:linePitch="312" w:charSpace="0"/>
        </w:sectPr>
      </w:pPr>
    </w:p>
    <w:p w14:paraId="373C642C">
      <w:pPr>
        <w:pStyle w:val="16"/>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三、区域环境质量现状、环境保护目标及评价标准</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348"/>
        <w:gridCol w:w="8713"/>
      </w:tblGrid>
      <w:tr w14:paraId="67F706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348" w:type="dxa"/>
            <w:vAlign w:val="center"/>
          </w:tcPr>
          <w:p w14:paraId="738D9F99">
            <w:pPr>
              <w:adjustRightInd w:val="0"/>
              <w:snapToGrid w:val="0"/>
              <w:spacing w:line="360" w:lineRule="auto"/>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区</w:t>
            </w:r>
          </w:p>
          <w:p w14:paraId="3FA00D58">
            <w:pPr>
              <w:adjustRightInd w:val="0"/>
              <w:snapToGrid w:val="0"/>
              <w:spacing w:line="360" w:lineRule="auto"/>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域</w:t>
            </w:r>
          </w:p>
          <w:p w14:paraId="7FB18CEF">
            <w:pPr>
              <w:adjustRightInd w:val="0"/>
              <w:snapToGrid w:val="0"/>
              <w:spacing w:line="360" w:lineRule="auto"/>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环</w:t>
            </w:r>
          </w:p>
          <w:p w14:paraId="47EB7A2B">
            <w:pPr>
              <w:adjustRightInd w:val="0"/>
              <w:snapToGrid w:val="0"/>
              <w:spacing w:line="360" w:lineRule="auto"/>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境</w:t>
            </w:r>
          </w:p>
          <w:p w14:paraId="72A6FFA7">
            <w:pPr>
              <w:adjustRightInd w:val="0"/>
              <w:snapToGrid w:val="0"/>
              <w:spacing w:line="360" w:lineRule="auto"/>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质</w:t>
            </w:r>
          </w:p>
          <w:p w14:paraId="4C51EAB0">
            <w:pPr>
              <w:adjustRightInd w:val="0"/>
              <w:snapToGrid w:val="0"/>
              <w:spacing w:line="360" w:lineRule="auto"/>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量</w:t>
            </w:r>
          </w:p>
          <w:p w14:paraId="65A7528E">
            <w:pPr>
              <w:adjustRightInd w:val="0"/>
              <w:snapToGrid w:val="0"/>
              <w:spacing w:line="360" w:lineRule="auto"/>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现</w:t>
            </w:r>
          </w:p>
          <w:p w14:paraId="1911E051">
            <w:pPr>
              <w:adjustRightInd w:val="0"/>
              <w:snapToGrid w:val="0"/>
              <w:spacing w:line="360" w:lineRule="auto"/>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状</w:t>
            </w:r>
          </w:p>
        </w:tc>
        <w:tc>
          <w:tcPr>
            <w:tcW w:w="8713" w:type="dxa"/>
            <w:vAlign w:val="center"/>
          </w:tcPr>
          <w:p w14:paraId="1AF5E39A">
            <w:pPr>
              <w:spacing w:before="210" w:line="303" w:lineRule="exact"/>
              <w:rPr>
                <w:rFonts w:ascii="宋体" w:hAnsi="宋体" w:cs="宋体"/>
                <w:b/>
                <w:bCs/>
                <w:color w:val="000000" w:themeColor="text1"/>
                <w:sz w:val="24"/>
                <w:highlight w:val="none"/>
                <w14:textFill>
                  <w14:solidFill>
                    <w14:schemeClr w14:val="tx1"/>
                  </w14:solidFill>
                </w14:textFill>
              </w:rPr>
            </w:pPr>
            <w:r>
              <w:rPr>
                <w:rFonts w:hint="eastAsia" w:ascii="宋体" w:hAnsi="宋体" w:cs="宋体"/>
                <w:b/>
                <w:bCs/>
                <w:color w:val="000000" w:themeColor="text1"/>
                <w:spacing w:val="19"/>
                <w:position w:val="1"/>
                <w:sz w:val="24"/>
                <w:highlight w:val="none"/>
                <w14:textFill>
                  <w14:solidFill>
                    <w14:schemeClr w14:val="tx1"/>
                  </w14:solidFill>
                </w14:textFill>
              </w:rPr>
              <w:t>一</w:t>
            </w:r>
            <w:r>
              <w:rPr>
                <w:rFonts w:hint="eastAsia" w:ascii="宋体" w:hAnsi="宋体" w:cs="宋体"/>
                <w:b/>
                <w:bCs/>
                <w:color w:val="000000" w:themeColor="text1"/>
                <w:spacing w:val="18"/>
                <w:position w:val="1"/>
                <w:sz w:val="24"/>
                <w:highlight w:val="none"/>
                <w14:textFill>
                  <w14:solidFill>
                    <w14:schemeClr w14:val="tx1"/>
                  </w14:solidFill>
                </w14:textFill>
              </w:rPr>
              <w:t>、环境空气质量现状</w:t>
            </w:r>
          </w:p>
          <w:p w14:paraId="2523515B">
            <w:pPr>
              <w:spacing w:before="195" w:line="360" w:lineRule="auto"/>
              <w:rPr>
                <w:color w:val="000000" w:themeColor="text1"/>
                <w:sz w:val="24"/>
                <w:highlight w:val="none"/>
                <w14:textFill>
                  <w14:solidFill>
                    <w14:schemeClr w14:val="tx1"/>
                  </w14:solidFill>
                </w14:textFill>
              </w:rPr>
            </w:pPr>
            <w:r>
              <w:rPr>
                <w:color w:val="000000" w:themeColor="text1"/>
                <w:spacing w:val="26"/>
                <w:sz w:val="24"/>
                <w:highlight w:val="none"/>
                <w14:textFill>
                  <w14:solidFill>
                    <w14:schemeClr w14:val="tx1"/>
                  </w14:solidFill>
                </w14:textFill>
              </w:rPr>
              <w:t>1、</w:t>
            </w:r>
            <w:r>
              <w:rPr>
                <w:color w:val="000000" w:themeColor="text1"/>
                <w:spacing w:val="13"/>
                <w:sz w:val="24"/>
                <w:highlight w:val="none"/>
                <w14:textFill>
                  <w14:solidFill>
                    <w14:schemeClr w14:val="tx1"/>
                  </w14:solidFill>
                </w14:textFill>
              </w:rPr>
              <w:t>基本污染物环境质量现状及区域达标判断</w:t>
            </w:r>
          </w:p>
          <w:p w14:paraId="2179595E">
            <w:pPr>
              <w:adjustRightInd w:val="0"/>
              <w:snapToGrid w:val="0"/>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根据《环境影响评价技术导则大气环境》（HJ2.2-2018）的相关要求，项目所在区域达标判定，优先采用国家或地方生态环境主管部门公开发布的评价基准年环境质量公告或环境质量报告中的数据或结论。</w:t>
            </w:r>
          </w:p>
          <w:p w14:paraId="5E647B9D">
            <w:pPr>
              <w:adjustRightInd w:val="0"/>
              <w:snapToGrid w:val="0"/>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本项目环境质量常规因子现状调查数据来源为《抚顺市环境质量报告书》（202</w:t>
            </w:r>
            <w:r>
              <w:rPr>
                <w:rFonts w:hint="eastAsia"/>
                <w:color w:val="000000" w:themeColor="text1"/>
                <w:sz w:val="24"/>
                <w:highlight w:val="none"/>
                <w:lang w:val="en-US" w:eastAsia="zh-CN"/>
                <w14:textFill>
                  <w14:solidFill>
                    <w14:schemeClr w14:val="tx1"/>
                  </w14:solidFill>
                </w14:textFill>
              </w:rPr>
              <w:t>3</w:t>
            </w:r>
            <w:r>
              <w:rPr>
                <w:color w:val="000000" w:themeColor="text1"/>
                <w:sz w:val="24"/>
                <w:highlight w:val="none"/>
                <w14:textFill>
                  <w14:solidFill>
                    <w14:schemeClr w14:val="tx1"/>
                  </w14:solidFill>
                </w14:textFill>
              </w:rPr>
              <w:t>年），项目所在区域的环境质量达标情况见下表：</w:t>
            </w:r>
          </w:p>
          <w:p w14:paraId="09C3F163">
            <w:pPr>
              <w:spacing w:before="120" w:beforeLines="50"/>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表3</w:t>
            </w:r>
            <w:r>
              <w:rPr>
                <w:rFonts w:hint="eastAsia"/>
                <w:b/>
                <w:color w:val="000000" w:themeColor="text1"/>
                <w:szCs w:val="21"/>
                <w:highlight w:val="none"/>
                <w14:textFill>
                  <w14:solidFill>
                    <w14:schemeClr w14:val="tx1"/>
                  </w14:solidFill>
                </w14:textFill>
              </w:rPr>
              <w:t xml:space="preserve">-1 </w:t>
            </w:r>
            <w:r>
              <w:rPr>
                <w:b/>
                <w:color w:val="000000" w:themeColor="text1"/>
                <w:szCs w:val="21"/>
                <w:highlight w:val="none"/>
                <w14:textFill>
                  <w14:solidFill>
                    <w14:schemeClr w14:val="tx1"/>
                  </w14:solidFill>
                </w14:textFill>
              </w:rPr>
              <w:t>环境质量监测数据及达标情况</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85" w:type="dxa"/>
                <w:left w:w="108" w:type="dxa"/>
                <w:bottom w:w="85" w:type="dxa"/>
                <w:right w:w="108" w:type="dxa"/>
              </w:tblCellMar>
            </w:tblPr>
            <w:tblGrid>
              <w:gridCol w:w="1376"/>
              <w:gridCol w:w="2245"/>
              <w:gridCol w:w="1783"/>
              <w:gridCol w:w="1584"/>
              <w:gridCol w:w="1509"/>
            </w:tblGrid>
            <w:tr w14:paraId="4FA069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20" w:hRule="atLeast"/>
                <w:jc w:val="center"/>
              </w:trPr>
              <w:tc>
                <w:tcPr>
                  <w:tcW w:w="810" w:type="pct"/>
                  <w:vAlign w:val="center"/>
                </w:tcPr>
                <w:p w14:paraId="72CD1914">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污染物</w:t>
                  </w:r>
                </w:p>
              </w:tc>
              <w:tc>
                <w:tcPr>
                  <w:tcW w:w="1321" w:type="pct"/>
                  <w:vAlign w:val="center"/>
                </w:tcPr>
                <w:p w14:paraId="48DC9B4E">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年评价指标</w:t>
                  </w:r>
                </w:p>
              </w:tc>
              <w:tc>
                <w:tcPr>
                  <w:tcW w:w="1049" w:type="pct"/>
                  <w:vAlign w:val="center"/>
                </w:tcPr>
                <w:p w14:paraId="674E1A70">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现状浓度μg/m</w:t>
                  </w:r>
                  <w:r>
                    <w:rPr>
                      <w:b/>
                      <w:color w:val="000000" w:themeColor="text1"/>
                      <w:szCs w:val="21"/>
                      <w:highlight w:val="none"/>
                      <w:vertAlign w:val="superscript"/>
                      <w14:textFill>
                        <w14:solidFill>
                          <w14:schemeClr w14:val="tx1"/>
                        </w14:solidFill>
                      </w14:textFill>
                    </w:rPr>
                    <w:t>3</w:t>
                  </w:r>
                </w:p>
              </w:tc>
              <w:tc>
                <w:tcPr>
                  <w:tcW w:w="932" w:type="pct"/>
                  <w:vAlign w:val="center"/>
                </w:tcPr>
                <w:p w14:paraId="75C21E21">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标准值μg/m</w:t>
                  </w:r>
                  <w:r>
                    <w:rPr>
                      <w:b/>
                      <w:color w:val="000000" w:themeColor="text1"/>
                      <w:szCs w:val="21"/>
                      <w:highlight w:val="none"/>
                      <w:vertAlign w:val="superscript"/>
                      <w14:textFill>
                        <w14:solidFill>
                          <w14:schemeClr w14:val="tx1"/>
                        </w14:solidFill>
                      </w14:textFill>
                    </w:rPr>
                    <w:t>3</w:t>
                  </w:r>
                </w:p>
              </w:tc>
              <w:tc>
                <w:tcPr>
                  <w:tcW w:w="889" w:type="pct"/>
                  <w:vAlign w:val="center"/>
                </w:tcPr>
                <w:p w14:paraId="1328AADE">
                  <w:pPr>
                    <w:jc w:val="center"/>
                    <w:rPr>
                      <w:b/>
                      <w:color w:val="000000" w:themeColor="text1"/>
                      <w:szCs w:val="21"/>
                      <w:highlight w:val="none"/>
                      <w14:textFill>
                        <w14:solidFill>
                          <w14:schemeClr w14:val="tx1"/>
                        </w14:solidFill>
                      </w14:textFill>
                    </w:rPr>
                  </w:pPr>
                  <w:r>
                    <w:rPr>
                      <w:b/>
                      <w:color w:val="000000" w:themeColor="text1"/>
                      <w:szCs w:val="21"/>
                      <w:highlight w:val="none"/>
                      <w14:textFill>
                        <w14:solidFill>
                          <w14:schemeClr w14:val="tx1"/>
                        </w14:solidFill>
                      </w14:textFill>
                    </w:rPr>
                    <w:t>达标情况</w:t>
                  </w:r>
                </w:p>
              </w:tc>
            </w:tr>
            <w:tr w14:paraId="53F5C0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20" w:hRule="atLeast"/>
                <w:jc w:val="center"/>
              </w:trPr>
              <w:tc>
                <w:tcPr>
                  <w:tcW w:w="810" w:type="pct"/>
                  <w:vAlign w:val="center"/>
                </w:tcPr>
                <w:p w14:paraId="131BAB8B">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PM</w:t>
                  </w:r>
                  <w:r>
                    <w:rPr>
                      <w:color w:val="000000" w:themeColor="text1"/>
                      <w:szCs w:val="21"/>
                      <w:highlight w:val="none"/>
                      <w:vertAlign w:val="subscript"/>
                      <w14:textFill>
                        <w14:solidFill>
                          <w14:schemeClr w14:val="tx1"/>
                        </w14:solidFill>
                      </w14:textFill>
                    </w:rPr>
                    <w:t>10</w:t>
                  </w:r>
                </w:p>
              </w:tc>
              <w:tc>
                <w:tcPr>
                  <w:tcW w:w="1321" w:type="pct"/>
                  <w:vAlign w:val="center"/>
                </w:tcPr>
                <w:p w14:paraId="00016437">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年均浓度</w:t>
                  </w:r>
                </w:p>
              </w:tc>
              <w:tc>
                <w:tcPr>
                  <w:tcW w:w="1049" w:type="pct"/>
                  <w:vAlign w:val="center"/>
                </w:tcPr>
                <w:p w14:paraId="042441F8">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60</w:t>
                  </w:r>
                </w:p>
              </w:tc>
              <w:tc>
                <w:tcPr>
                  <w:tcW w:w="932" w:type="pct"/>
                  <w:vAlign w:val="center"/>
                </w:tcPr>
                <w:p w14:paraId="497B8E7F">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70</w:t>
                  </w:r>
                </w:p>
              </w:tc>
              <w:tc>
                <w:tcPr>
                  <w:tcW w:w="889" w:type="pct"/>
                  <w:vAlign w:val="center"/>
                </w:tcPr>
                <w:p w14:paraId="2524F1FB">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14:paraId="077E83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20" w:hRule="atLeast"/>
                <w:jc w:val="center"/>
              </w:trPr>
              <w:tc>
                <w:tcPr>
                  <w:tcW w:w="810" w:type="pct"/>
                  <w:vAlign w:val="center"/>
                </w:tcPr>
                <w:p w14:paraId="15AD8693">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PM</w:t>
                  </w:r>
                  <w:r>
                    <w:rPr>
                      <w:color w:val="000000" w:themeColor="text1"/>
                      <w:szCs w:val="21"/>
                      <w:highlight w:val="none"/>
                      <w:vertAlign w:val="subscript"/>
                      <w14:textFill>
                        <w14:solidFill>
                          <w14:schemeClr w14:val="tx1"/>
                        </w14:solidFill>
                      </w14:textFill>
                    </w:rPr>
                    <w:t>2.5</w:t>
                  </w:r>
                </w:p>
              </w:tc>
              <w:tc>
                <w:tcPr>
                  <w:tcW w:w="1321" w:type="pct"/>
                  <w:vAlign w:val="center"/>
                </w:tcPr>
                <w:p w14:paraId="5E4ED15E">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年均浓度</w:t>
                  </w:r>
                </w:p>
              </w:tc>
              <w:tc>
                <w:tcPr>
                  <w:tcW w:w="1049" w:type="pct"/>
                  <w:vAlign w:val="center"/>
                </w:tcPr>
                <w:p w14:paraId="6AEA3136">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35</w:t>
                  </w:r>
                </w:p>
              </w:tc>
              <w:tc>
                <w:tcPr>
                  <w:tcW w:w="932" w:type="pct"/>
                  <w:vAlign w:val="center"/>
                </w:tcPr>
                <w:p w14:paraId="43506DAE">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35</w:t>
                  </w:r>
                </w:p>
              </w:tc>
              <w:tc>
                <w:tcPr>
                  <w:tcW w:w="889" w:type="pct"/>
                  <w:vAlign w:val="center"/>
                </w:tcPr>
                <w:p w14:paraId="58F6FFA4">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14:paraId="14E077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20" w:hRule="atLeast"/>
                <w:jc w:val="center"/>
              </w:trPr>
              <w:tc>
                <w:tcPr>
                  <w:tcW w:w="810" w:type="pct"/>
                  <w:vAlign w:val="center"/>
                </w:tcPr>
                <w:p w14:paraId="4E09DE3F">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SO</w:t>
                  </w:r>
                  <w:r>
                    <w:rPr>
                      <w:color w:val="000000" w:themeColor="text1"/>
                      <w:szCs w:val="21"/>
                      <w:highlight w:val="none"/>
                      <w:vertAlign w:val="subscript"/>
                      <w14:textFill>
                        <w14:solidFill>
                          <w14:schemeClr w14:val="tx1"/>
                        </w14:solidFill>
                      </w14:textFill>
                    </w:rPr>
                    <w:t>2</w:t>
                  </w:r>
                </w:p>
              </w:tc>
              <w:tc>
                <w:tcPr>
                  <w:tcW w:w="1321" w:type="pct"/>
                  <w:vAlign w:val="center"/>
                </w:tcPr>
                <w:p w14:paraId="020B3A00">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年均浓度</w:t>
                  </w:r>
                </w:p>
              </w:tc>
              <w:tc>
                <w:tcPr>
                  <w:tcW w:w="1049" w:type="pct"/>
                  <w:vAlign w:val="center"/>
                </w:tcPr>
                <w:p w14:paraId="2C2AFF28">
                  <w:pPr>
                    <w:jc w:val="center"/>
                    <w:rPr>
                      <w:rFonts w:hint="eastAsia"/>
                      <w:color w:val="000000" w:themeColor="text1"/>
                      <w:szCs w:val="21"/>
                      <w:highlight w:val="none"/>
                      <w:lang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9</w:t>
                  </w:r>
                </w:p>
              </w:tc>
              <w:tc>
                <w:tcPr>
                  <w:tcW w:w="932" w:type="pct"/>
                  <w:vAlign w:val="center"/>
                </w:tcPr>
                <w:p w14:paraId="4D728C1F">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60</w:t>
                  </w:r>
                </w:p>
              </w:tc>
              <w:tc>
                <w:tcPr>
                  <w:tcW w:w="889" w:type="pct"/>
                  <w:vAlign w:val="center"/>
                </w:tcPr>
                <w:p w14:paraId="3364F5A1">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14:paraId="213D02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20" w:hRule="atLeast"/>
                <w:jc w:val="center"/>
              </w:trPr>
              <w:tc>
                <w:tcPr>
                  <w:tcW w:w="810" w:type="pct"/>
                  <w:vAlign w:val="center"/>
                </w:tcPr>
                <w:p w14:paraId="30A6C09B">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NO</w:t>
                  </w:r>
                  <w:r>
                    <w:rPr>
                      <w:color w:val="000000" w:themeColor="text1"/>
                      <w:szCs w:val="21"/>
                      <w:highlight w:val="none"/>
                      <w:vertAlign w:val="subscript"/>
                      <w14:textFill>
                        <w14:solidFill>
                          <w14:schemeClr w14:val="tx1"/>
                        </w14:solidFill>
                      </w14:textFill>
                    </w:rPr>
                    <w:t>2</w:t>
                  </w:r>
                </w:p>
              </w:tc>
              <w:tc>
                <w:tcPr>
                  <w:tcW w:w="1321" w:type="pct"/>
                  <w:vAlign w:val="center"/>
                </w:tcPr>
                <w:p w14:paraId="36E06E17">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年均浓度</w:t>
                  </w:r>
                </w:p>
              </w:tc>
              <w:tc>
                <w:tcPr>
                  <w:tcW w:w="1049" w:type="pct"/>
                  <w:vAlign w:val="center"/>
                </w:tcPr>
                <w:p w14:paraId="32BA3A9A">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24</w:t>
                  </w:r>
                </w:p>
              </w:tc>
              <w:tc>
                <w:tcPr>
                  <w:tcW w:w="932" w:type="pct"/>
                  <w:vAlign w:val="center"/>
                </w:tcPr>
                <w:p w14:paraId="4CD96051">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40</w:t>
                  </w:r>
                </w:p>
              </w:tc>
              <w:tc>
                <w:tcPr>
                  <w:tcW w:w="889" w:type="pct"/>
                  <w:vAlign w:val="center"/>
                </w:tcPr>
                <w:p w14:paraId="71C491CE">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14:paraId="35DB37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20" w:hRule="atLeast"/>
                <w:jc w:val="center"/>
              </w:trPr>
              <w:tc>
                <w:tcPr>
                  <w:tcW w:w="810" w:type="pct"/>
                  <w:vAlign w:val="center"/>
                </w:tcPr>
                <w:p w14:paraId="697E66DA">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CO-95Per</w:t>
                  </w:r>
                </w:p>
              </w:tc>
              <w:tc>
                <w:tcPr>
                  <w:tcW w:w="1321" w:type="pct"/>
                  <w:vAlign w:val="center"/>
                </w:tcPr>
                <w:p w14:paraId="5D1BCB4D">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第95百分位数浓度</w:t>
                  </w:r>
                </w:p>
              </w:tc>
              <w:tc>
                <w:tcPr>
                  <w:tcW w:w="1049" w:type="pct"/>
                  <w:vAlign w:val="center"/>
                </w:tcPr>
                <w:p w14:paraId="15F60978">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w:t>
                  </w:r>
                  <w:r>
                    <w:rPr>
                      <w:rFonts w:hint="eastAsia"/>
                      <w:color w:val="000000" w:themeColor="text1"/>
                      <w:szCs w:val="21"/>
                      <w:highlight w:val="none"/>
                      <w:lang w:val="en-US" w:eastAsia="zh-CN"/>
                      <w14:textFill>
                        <w14:solidFill>
                          <w14:schemeClr w14:val="tx1"/>
                        </w14:solidFill>
                      </w14:textFill>
                    </w:rPr>
                    <w:t>2</w:t>
                  </w:r>
                  <w:r>
                    <w:rPr>
                      <w:color w:val="000000" w:themeColor="text1"/>
                      <w:szCs w:val="21"/>
                      <w:highlight w:val="none"/>
                      <w14:textFill>
                        <w14:solidFill>
                          <w14:schemeClr w14:val="tx1"/>
                        </w14:solidFill>
                      </w14:textFill>
                    </w:rPr>
                    <w:t>mg/m</w:t>
                  </w:r>
                  <w:r>
                    <w:rPr>
                      <w:color w:val="000000" w:themeColor="text1"/>
                      <w:szCs w:val="21"/>
                      <w:highlight w:val="none"/>
                      <w:vertAlign w:val="superscript"/>
                      <w14:textFill>
                        <w14:solidFill>
                          <w14:schemeClr w14:val="tx1"/>
                        </w14:solidFill>
                      </w14:textFill>
                    </w:rPr>
                    <w:t>3</w:t>
                  </w:r>
                </w:p>
              </w:tc>
              <w:tc>
                <w:tcPr>
                  <w:tcW w:w="932" w:type="pct"/>
                  <w:vAlign w:val="center"/>
                </w:tcPr>
                <w:p w14:paraId="72ED1F19">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4mg/m</w:t>
                  </w:r>
                  <w:r>
                    <w:rPr>
                      <w:color w:val="000000" w:themeColor="text1"/>
                      <w:szCs w:val="21"/>
                      <w:highlight w:val="none"/>
                      <w:vertAlign w:val="superscript"/>
                      <w14:textFill>
                        <w14:solidFill>
                          <w14:schemeClr w14:val="tx1"/>
                        </w14:solidFill>
                      </w14:textFill>
                    </w:rPr>
                    <w:t>3</w:t>
                  </w:r>
                </w:p>
              </w:tc>
              <w:tc>
                <w:tcPr>
                  <w:tcW w:w="889" w:type="pct"/>
                  <w:vAlign w:val="center"/>
                </w:tcPr>
                <w:p w14:paraId="7C751B9F">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r w14:paraId="626E31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85" w:type="dxa"/>
                  <w:left w:w="108" w:type="dxa"/>
                  <w:bottom w:w="85" w:type="dxa"/>
                  <w:right w:w="108" w:type="dxa"/>
                </w:tblCellMar>
              </w:tblPrEx>
              <w:trPr>
                <w:trHeight w:val="20" w:hRule="atLeast"/>
                <w:jc w:val="center"/>
              </w:trPr>
              <w:tc>
                <w:tcPr>
                  <w:tcW w:w="810" w:type="pct"/>
                  <w:vAlign w:val="center"/>
                </w:tcPr>
                <w:p w14:paraId="078F3D5E">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O</w:t>
                  </w:r>
                  <w:r>
                    <w:rPr>
                      <w:color w:val="000000" w:themeColor="text1"/>
                      <w:szCs w:val="21"/>
                      <w:highlight w:val="none"/>
                      <w:vertAlign w:val="subscript"/>
                      <w14:textFill>
                        <w14:solidFill>
                          <w14:schemeClr w14:val="tx1"/>
                        </w14:solidFill>
                      </w14:textFill>
                    </w:rPr>
                    <w:t>3</w:t>
                  </w:r>
                  <w:r>
                    <w:rPr>
                      <w:color w:val="000000" w:themeColor="text1"/>
                      <w:szCs w:val="21"/>
                      <w:highlight w:val="none"/>
                      <w14:textFill>
                        <w14:solidFill>
                          <w14:schemeClr w14:val="tx1"/>
                        </w14:solidFill>
                      </w14:textFill>
                    </w:rPr>
                    <w:t>-</w:t>
                  </w:r>
                  <w:r>
                    <w:rPr>
                      <w:color w:val="000000" w:themeColor="text1"/>
                      <w:szCs w:val="21"/>
                      <w:highlight w:val="none"/>
                      <w:vertAlign w:val="subscript"/>
                      <w14:textFill>
                        <w14:solidFill>
                          <w14:schemeClr w14:val="tx1"/>
                        </w14:solidFill>
                      </w14:textFill>
                    </w:rPr>
                    <w:t>8h</w:t>
                  </w:r>
                  <w:r>
                    <w:rPr>
                      <w:color w:val="000000" w:themeColor="text1"/>
                      <w:szCs w:val="21"/>
                      <w:highlight w:val="none"/>
                      <w14:textFill>
                        <w14:solidFill>
                          <w14:schemeClr w14:val="tx1"/>
                        </w14:solidFill>
                      </w14:textFill>
                    </w:rPr>
                    <w:t>-90Per</w:t>
                  </w:r>
                </w:p>
              </w:tc>
              <w:tc>
                <w:tcPr>
                  <w:tcW w:w="1321" w:type="pct"/>
                  <w:vAlign w:val="center"/>
                </w:tcPr>
                <w:p w14:paraId="0ED4B38A">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第90百分位数浓度</w:t>
                  </w:r>
                </w:p>
              </w:tc>
              <w:tc>
                <w:tcPr>
                  <w:tcW w:w="1049" w:type="pct"/>
                  <w:vAlign w:val="center"/>
                </w:tcPr>
                <w:p w14:paraId="246488EE">
                  <w:pPr>
                    <w:jc w:val="center"/>
                    <w:rPr>
                      <w:rFonts w:hint="default"/>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159</w:t>
                  </w:r>
                </w:p>
              </w:tc>
              <w:tc>
                <w:tcPr>
                  <w:tcW w:w="932" w:type="pct"/>
                  <w:vAlign w:val="center"/>
                </w:tcPr>
                <w:p w14:paraId="15E366E5">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160</w:t>
                  </w:r>
                </w:p>
              </w:tc>
              <w:tc>
                <w:tcPr>
                  <w:tcW w:w="889" w:type="pct"/>
                  <w:vAlign w:val="center"/>
                </w:tcPr>
                <w:p w14:paraId="2162D3F9">
                  <w:pPr>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达标</w:t>
                  </w:r>
                </w:p>
              </w:tc>
            </w:tr>
          </w:tbl>
          <w:p w14:paraId="1EB41326">
            <w:pPr>
              <w:keepNext w:val="0"/>
              <w:keepLines w:val="0"/>
              <w:pageBreakBefore w:val="0"/>
              <w:widowControl/>
              <w:kinsoku/>
              <w:wordWrap/>
              <w:overflowPunct/>
              <w:topLinePunct w:val="0"/>
              <w:autoSpaceDE/>
              <w:autoSpaceDN/>
              <w:bidi w:val="0"/>
              <w:adjustRightInd/>
              <w:snapToGrid/>
              <w:spacing w:before="157" w:beforeLines="50" w:line="360" w:lineRule="auto"/>
              <w:ind w:firstLine="544" w:firstLineChars="200"/>
              <w:jc w:val="left"/>
              <w:textAlignment w:val="auto"/>
              <w:rPr>
                <w:rFonts w:ascii="宋体" w:hAnsi="宋体" w:cs="宋体"/>
                <w:color w:val="000000" w:themeColor="text1"/>
                <w:spacing w:val="16"/>
                <w:sz w:val="24"/>
                <w:highlight w:val="none"/>
                <w14:textFill>
                  <w14:solidFill>
                    <w14:schemeClr w14:val="tx1"/>
                  </w14:solidFill>
                </w14:textFill>
              </w:rPr>
            </w:pPr>
            <w:r>
              <w:rPr>
                <w:rFonts w:hint="eastAsia" w:ascii="宋体" w:hAnsi="宋体" w:cs="宋体"/>
                <w:color w:val="000000" w:themeColor="text1"/>
                <w:spacing w:val="16"/>
                <w:sz w:val="24"/>
                <w:highlight w:val="none"/>
                <w14:textFill>
                  <w14:solidFill>
                    <w14:schemeClr w14:val="tx1"/>
                  </w14:solidFill>
                </w14:textFill>
              </w:rPr>
              <w:t>由上表可知，项目所在区域</w:t>
            </w:r>
            <w:r>
              <w:rPr>
                <w:color w:val="000000" w:themeColor="text1"/>
                <w:sz w:val="24"/>
                <w:highlight w:val="none"/>
                <w14:textFill>
                  <w14:solidFill>
                    <w14:schemeClr w14:val="tx1"/>
                  </w14:solidFill>
                </w14:textFill>
              </w:rPr>
              <w:t>6</w:t>
            </w:r>
            <w:r>
              <w:rPr>
                <w:rFonts w:hint="eastAsia"/>
                <w:color w:val="000000" w:themeColor="text1"/>
                <w:sz w:val="24"/>
                <w:highlight w:val="none"/>
                <w14:textFill>
                  <w14:solidFill>
                    <w14:schemeClr w14:val="tx1"/>
                  </w14:solidFill>
                </w14:textFill>
              </w:rPr>
              <w:t>项基本</w:t>
            </w:r>
            <w:r>
              <w:rPr>
                <w:color w:val="000000" w:themeColor="text1"/>
                <w:sz w:val="24"/>
                <w:highlight w:val="none"/>
                <w14:textFill>
                  <w14:solidFill>
                    <w14:schemeClr w14:val="tx1"/>
                  </w14:solidFill>
                </w14:textFill>
              </w:rPr>
              <w:t>污染物</w:t>
            </w:r>
            <w:r>
              <w:rPr>
                <w:rFonts w:hint="eastAsia"/>
                <w:color w:val="000000" w:themeColor="text1"/>
                <w:sz w:val="24"/>
                <w:highlight w:val="none"/>
                <w14:textFill>
                  <w14:solidFill>
                    <w14:schemeClr w14:val="tx1"/>
                  </w14:solidFill>
                </w14:textFill>
              </w:rPr>
              <w:t>均满足</w:t>
            </w:r>
            <w:r>
              <w:rPr>
                <w:rFonts w:hint="eastAsia" w:ascii="宋体" w:hAnsi="宋体" w:cs="宋体"/>
                <w:color w:val="000000" w:themeColor="text1"/>
                <w:kern w:val="0"/>
                <w:sz w:val="24"/>
                <w:highlight w:val="none"/>
                <w:lang w:bidi="ar"/>
                <w14:textFill>
                  <w14:solidFill>
                    <w14:schemeClr w14:val="tx1"/>
                  </w14:solidFill>
                </w14:textFill>
              </w:rPr>
              <w:t>《环境空气质量标准》</w:t>
            </w:r>
            <w:r>
              <w:rPr>
                <w:rFonts w:hint="eastAsia"/>
                <w:color w:val="000000" w:themeColor="text1"/>
                <w:kern w:val="0"/>
                <w:sz w:val="24"/>
                <w:highlight w:val="none"/>
                <w:lang w:bidi="ar"/>
                <w14:textFill>
                  <w14:solidFill>
                    <w14:schemeClr w14:val="tx1"/>
                  </w14:solidFill>
                </w14:textFill>
              </w:rPr>
              <w:t>（</w:t>
            </w:r>
            <w:r>
              <w:rPr>
                <w:color w:val="000000" w:themeColor="text1"/>
                <w:kern w:val="0"/>
                <w:sz w:val="24"/>
                <w:highlight w:val="none"/>
                <w:lang w:bidi="ar"/>
                <w14:textFill>
                  <w14:solidFill>
                    <w14:schemeClr w14:val="tx1"/>
                  </w14:solidFill>
                </w14:textFill>
              </w:rPr>
              <w:t>GB3095-2012</w:t>
            </w:r>
            <w:r>
              <w:rPr>
                <w:rFonts w:hint="eastAsia"/>
                <w:color w:val="000000" w:themeColor="text1"/>
                <w:kern w:val="0"/>
                <w:sz w:val="24"/>
                <w:highlight w:val="none"/>
                <w:lang w:bidi="ar"/>
                <w14:textFill>
                  <w14:solidFill>
                    <w14:schemeClr w14:val="tx1"/>
                  </w14:solidFill>
                </w14:textFill>
              </w:rPr>
              <w:t>）及其修改单中的二级标准</w:t>
            </w:r>
            <w:r>
              <w:rPr>
                <w:rFonts w:hint="eastAsia"/>
                <w:color w:val="000000" w:themeColor="text1"/>
                <w:sz w:val="24"/>
                <w:highlight w:val="none"/>
                <w14:textFill>
                  <w14:solidFill>
                    <w14:schemeClr w14:val="tx1"/>
                  </w14:solidFill>
                </w14:textFill>
              </w:rPr>
              <w:t>，判定项目所在区域为环境空气质量达标区。</w:t>
            </w:r>
          </w:p>
          <w:p w14:paraId="5FA028D5">
            <w:pPr>
              <w:numPr>
                <w:ilvl w:val="0"/>
                <w:numId w:val="3"/>
              </w:numPr>
              <w:spacing w:before="37" w:line="360" w:lineRule="auto"/>
              <w:rPr>
                <w:color w:val="000000" w:themeColor="text1"/>
                <w:spacing w:val="14"/>
                <w:sz w:val="24"/>
                <w:highlight w:val="none"/>
                <w14:textFill>
                  <w14:solidFill>
                    <w14:schemeClr w14:val="tx1"/>
                  </w14:solidFill>
                </w14:textFill>
              </w:rPr>
            </w:pPr>
            <w:r>
              <w:rPr>
                <w:color w:val="000000" w:themeColor="text1"/>
                <w:spacing w:val="16"/>
                <w:sz w:val="24"/>
                <w:highlight w:val="none"/>
                <w14:textFill>
                  <w14:solidFill>
                    <w14:schemeClr w14:val="tx1"/>
                  </w14:solidFill>
                </w14:textFill>
              </w:rPr>
              <w:t>其他污染物环境质量现</w:t>
            </w:r>
            <w:r>
              <w:rPr>
                <w:color w:val="000000" w:themeColor="text1"/>
                <w:spacing w:val="14"/>
                <w:sz w:val="24"/>
                <w:highlight w:val="none"/>
                <w14:textFill>
                  <w14:solidFill>
                    <w14:schemeClr w14:val="tx1"/>
                  </w14:solidFill>
                </w14:textFill>
              </w:rPr>
              <w:t>状</w:t>
            </w:r>
          </w:p>
          <w:p w14:paraId="3C1138F0">
            <w:pPr>
              <w:spacing w:before="37"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根据《建设项目环境影响报告表编制技术指南（污染影响类）（试行）》中“排放国家、地方环境空气质量标准中有标准限值要求的特征污染物时，引用建设项目周边5千米范围内近3年的现有监测数据，无相关数据的选择当季主导风向下风向1个点位补充不少于3天的监测数据。”本项目涉及的特征污染物为TSP，本项目需要对TSP开展现状监测。</w:t>
            </w:r>
          </w:p>
          <w:p w14:paraId="267BBA4C">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w:t>
            </w:r>
            <w:r>
              <w:rPr>
                <w:rFonts w:hint="eastAsia"/>
                <w:color w:val="000000" w:themeColor="text1"/>
                <w:sz w:val="24"/>
                <w:highlight w:val="none"/>
                <w:lang w:val="en-US" w:eastAsia="zh-CN"/>
                <w14:textFill>
                  <w14:solidFill>
                    <w14:schemeClr w14:val="tx1"/>
                  </w14:solidFill>
                </w14:textFill>
              </w:rPr>
              <w:t>引用《抚顺东方镁业有限责任公司机制砂加工项目环境影响报告表》中的监测数据，该项目</w:t>
            </w:r>
            <w:r>
              <w:rPr>
                <w:rFonts w:hint="eastAsia"/>
                <w:color w:val="000000" w:themeColor="text1"/>
                <w:sz w:val="24"/>
                <w:highlight w:val="none"/>
                <w14:textFill>
                  <w14:solidFill>
                    <w14:schemeClr w14:val="tx1"/>
                  </w14:solidFill>
                </w14:textFill>
              </w:rPr>
              <w:t>委托辽宁世达环保科技有限公司于2024年4月16日至4月18日对本项目厂区下风向的TSP现状监测数据。</w:t>
            </w:r>
          </w:p>
          <w:p w14:paraId="616CD1BA">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①监测点位：G1；</w:t>
            </w:r>
          </w:p>
          <w:p w14:paraId="1DBFBECC">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②监测因子：TSP；</w:t>
            </w:r>
          </w:p>
          <w:p w14:paraId="1C6BB655">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③监测频率：连续监测3天</w:t>
            </w: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24</w:t>
            </w:r>
            <w:r>
              <w:rPr>
                <w:rFonts w:hint="eastAsia" w:ascii="宋体" w:hAnsi="宋体" w:eastAsia="宋体" w:cs="宋体"/>
                <w:color w:val="auto"/>
                <w:kern w:val="0"/>
                <w:sz w:val="24"/>
                <w:szCs w:val="24"/>
                <w:highlight w:val="none"/>
                <w:lang w:val="en-US" w:eastAsia="zh-CN" w:bidi="ar"/>
              </w:rPr>
              <w:t>小时平均浓度值</w:t>
            </w:r>
            <w:r>
              <w:rPr>
                <w:rFonts w:hint="eastAsia"/>
                <w:color w:val="000000" w:themeColor="text1"/>
                <w:sz w:val="24"/>
                <w:highlight w:val="none"/>
                <w14:textFill>
                  <w14:solidFill>
                    <w14:schemeClr w14:val="tx1"/>
                  </w14:solidFill>
                </w14:textFill>
              </w:rPr>
              <w:t>；</w:t>
            </w:r>
          </w:p>
          <w:p w14:paraId="4DE343C5">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监测信息见下表3-2，监测点位图见附图</w:t>
            </w:r>
            <w:r>
              <w:rPr>
                <w:rFonts w:hint="eastAsia"/>
                <w:color w:val="000000" w:themeColor="text1"/>
                <w:sz w:val="24"/>
                <w:highlight w:val="none"/>
                <w:lang w:val="en-US" w:eastAsia="zh-CN"/>
                <w14:textFill>
                  <w14:solidFill>
                    <w14:schemeClr w14:val="tx1"/>
                  </w14:solidFill>
                </w14:textFill>
              </w:rPr>
              <w:t>6</w:t>
            </w:r>
            <w:r>
              <w:rPr>
                <w:rFonts w:hint="eastAsia"/>
                <w:color w:val="000000" w:themeColor="text1"/>
                <w:sz w:val="24"/>
                <w:highlight w:val="none"/>
                <w14:textFill>
                  <w14:solidFill>
                    <w14:schemeClr w14:val="tx1"/>
                  </w14:solidFill>
                </w14:textFill>
              </w:rPr>
              <w:t>。</w:t>
            </w:r>
          </w:p>
          <w:p w14:paraId="50B363A0">
            <w:pPr>
              <w:spacing w:line="360" w:lineRule="auto"/>
              <w:ind w:firstLine="422" w:firstLineChars="20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表3-</w:t>
            </w:r>
            <w:r>
              <w:rPr>
                <w:rFonts w:hint="eastAsia"/>
                <w:b/>
                <w:bCs/>
                <w:color w:val="000000" w:themeColor="text1"/>
                <w:szCs w:val="21"/>
                <w:highlight w:val="none"/>
                <w14:textFill>
                  <w14:solidFill>
                    <w14:schemeClr w14:val="tx1"/>
                  </w14:solidFill>
                </w14:textFill>
              </w:rPr>
              <w:t>2  其他污染物（TSP）补充监测点位基本信息</w:t>
            </w:r>
          </w:p>
          <w:tbl>
            <w:tblPr>
              <w:tblStyle w:val="18"/>
              <w:tblW w:w="4933" w:type="pct"/>
              <w:jc w:val="center"/>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10"/>
              <w:gridCol w:w="1345"/>
              <w:gridCol w:w="1292"/>
              <w:gridCol w:w="730"/>
              <w:gridCol w:w="2182"/>
              <w:gridCol w:w="903"/>
              <w:gridCol w:w="1010"/>
            </w:tblGrid>
            <w:tr w14:paraId="27AB7EB6">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543" w:type="pct"/>
                  <w:vMerge w:val="restart"/>
                  <w:tcBorders>
                    <w:top w:val="single" w:color="auto" w:sz="12" w:space="0"/>
                    <w:left w:val="nil"/>
                  </w:tcBorders>
                  <w:noWrap/>
                  <w:vAlign w:val="center"/>
                </w:tcPr>
                <w:p w14:paraId="0FAE2CC7">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监测点名称</w:t>
                  </w:r>
                </w:p>
              </w:tc>
              <w:tc>
                <w:tcPr>
                  <w:tcW w:w="1575" w:type="pct"/>
                  <w:gridSpan w:val="2"/>
                  <w:tcBorders>
                    <w:top w:val="single" w:color="auto" w:sz="12" w:space="0"/>
                    <w:bottom w:val="single" w:color="auto" w:sz="4" w:space="0"/>
                  </w:tcBorders>
                  <w:noWrap/>
                  <w:vAlign w:val="center"/>
                </w:tcPr>
                <w:p w14:paraId="38897A7A">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监测点坐标/°</w:t>
                  </w:r>
                </w:p>
              </w:tc>
              <w:tc>
                <w:tcPr>
                  <w:tcW w:w="436" w:type="pct"/>
                  <w:vMerge w:val="restart"/>
                  <w:tcBorders>
                    <w:top w:val="single" w:color="auto" w:sz="12" w:space="0"/>
                  </w:tcBorders>
                  <w:noWrap/>
                  <w:vAlign w:val="center"/>
                </w:tcPr>
                <w:p w14:paraId="4F0694EA">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监测因子</w:t>
                  </w:r>
                </w:p>
              </w:tc>
              <w:tc>
                <w:tcPr>
                  <w:tcW w:w="1302" w:type="pct"/>
                  <w:vMerge w:val="restart"/>
                  <w:tcBorders>
                    <w:top w:val="single" w:color="auto" w:sz="12" w:space="0"/>
                  </w:tcBorders>
                  <w:noWrap/>
                  <w:vAlign w:val="center"/>
                </w:tcPr>
                <w:p w14:paraId="58E80790">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监测时段</w:t>
                  </w:r>
                </w:p>
              </w:tc>
              <w:tc>
                <w:tcPr>
                  <w:tcW w:w="539" w:type="pct"/>
                  <w:vMerge w:val="restart"/>
                  <w:tcBorders>
                    <w:top w:val="single" w:color="auto" w:sz="12" w:space="0"/>
                  </w:tcBorders>
                  <w:noWrap/>
                  <w:vAlign w:val="center"/>
                </w:tcPr>
                <w:p w14:paraId="3D848ED7">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相对厂址方位</w:t>
                  </w:r>
                </w:p>
              </w:tc>
              <w:tc>
                <w:tcPr>
                  <w:tcW w:w="603" w:type="pct"/>
                  <w:vMerge w:val="restart"/>
                  <w:tcBorders>
                    <w:top w:val="single" w:color="auto" w:sz="12" w:space="0"/>
                    <w:right w:val="nil"/>
                  </w:tcBorders>
                  <w:noWrap/>
                  <w:vAlign w:val="center"/>
                </w:tcPr>
                <w:p w14:paraId="0DED8872">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相对厂界距离</w:t>
                  </w:r>
                </w:p>
              </w:tc>
            </w:tr>
            <w:tr w14:paraId="5FCA2B9E">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543" w:type="pct"/>
                  <w:vMerge w:val="continue"/>
                  <w:tcBorders>
                    <w:left w:val="nil"/>
                    <w:bottom w:val="single" w:color="auto" w:sz="4" w:space="0"/>
                  </w:tcBorders>
                  <w:noWrap/>
                  <w:vAlign w:val="center"/>
                </w:tcPr>
                <w:p w14:paraId="35D2E45C">
                  <w:pPr>
                    <w:pStyle w:val="49"/>
                    <w:rPr>
                      <w:color w:val="000000" w:themeColor="text1"/>
                      <w:highlight w:val="none"/>
                      <w14:textFill>
                        <w14:solidFill>
                          <w14:schemeClr w14:val="tx1"/>
                        </w14:solidFill>
                      </w14:textFill>
                    </w:rPr>
                  </w:pPr>
                </w:p>
              </w:tc>
              <w:tc>
                <w:tcPr>
                  <w:tcW w:w="803" w:type="pct"/>
                  <w:tcBorders>
                    <w:top w:val="single" w:color="auto" w:sz="4" w:space="0"/>
                    <w:bottom w:val="single" w:color="auto" w:sz="4" w:space="0"/>
                  </w:tcBorders>
                  <w:noWrap/>
                  <w:vAlign w:val="center"/>
                </w:tcPr>
                <w:p w14:paraId="051269DA">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X</w:t>
                  </w:r>
                </w:p>
              </w:tc>
              <w:tc>
                <w:tcPr>
                  <w:tcW w:w="771" w:type="pct"/>
                  <w:tcBorders>
                    <w:top w:val="single" w:color="auto" w:sz="4" w:space="0"/>
                    <w:bottom w:val="single" w:color="auto" w:sz="4" w:space="0"/>
                  </w:tcBorders>
                  <w:noWrap/>
                  <w:vAlign w:val="center"/>
                </w:tcPr>
                <w:p w14:paraId="13E5ABCF">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Y</w:t>
                  </w:r>
                </w:p>
              </w:tc>
              <w:tc>
                <w:tcPr>
                  <w:tcW w:w="436" w:type="pct"/>
                  <w:vMerge w:val="continue"/>
                  <w:tcBorders>
                    <w:bottom w:val="single" w:color="auto" w:sz="4" w:space="0"/>
                  </w:tcBorders>
                  <w:noWrap/>
                  <w:vAlign w:val="center"/>
                </w:tcPr>
                <w:p w14:paraId="3CC32D84">
                  <w:pPr>
                    <w:pStyle w:val="49"/>
                    <w:rPr>
                      <w:b/>
                      <w:bCs/>
                      <w:color w:val="000000" w:themeColor="text1"/>
                      <w:highlight w:val="none"/>
                      <w14:textFill>
                        <w14:solidFill>
                          <w14:schemeClr w14:val="tx1"/>
                        </w14:solidFill>
                      </w14:textFill>
                    </w:rPr>
                  </w:pPr>
                </w:p>
              </w:tc>
              <w:tc>
                <w:tcPr>
                  <w:tcW w:w="1302" w:type="pct"/>
                  <w:vMerge w:val="continue"/>
                  <w:tcBorders>
                    <w:bottom w:val="single" w:color="auto" w:sz="4" w:space="0"/>
                  </w:tcBorders>
                  <w:noWrap/>
                  <w:vAlign w:val="center"/>
                </w:tcPr>
                <w:p w14:paraId="20859F44">
                  <w:pPr>
                    <w:pStyle w:val="49"/>
                    <w:rPr>
                      <w:b/>
                      <w:bCs/>
                      <w:color w:val="000000" w:themeColor="text1"/>
                      <w:highlight w:val="none"/>
                      <w14:textFill>
                        <w14:solidFill>
                          <w14:schemeClr w14:val="tx1"/>
                        </w14:solidFill>
                      </w14:textFill>
                    </w:rPr>
                  </w:pPr>
                </w:p>
              </w:tc>
              <w:tc>
                <w:tcPr>
                  <w:tcW w:w="539" w:type="pct"/>
                  <w:vMerge w:val="continue"/>
                  <w:tcBorders>
                    <w:bottom w:val="single" w:color="auto" w:sz="4" w:space="0"/>
                  </w:tcBorders>
                  <w:noWrap/>
                  <w:vAlign w:val="center"/>
                </w:tcPr>
                <w:p w14:paraId="616ACF14">
                  <w:pPr>
                    <w:pStyle w:val="49"/>
                    <w:rPr>
                      <w:b/>
                      <w:bCs/>
                      <w:color w:val="000000" w:themeColor="text1"/>
                      <w:highlight w:val="none"/>
                      <w14:textFill>
                        <w14:solidFill>
                          <w14:schemeClr w14:val="tx1"/>
                        </w14:solidFill>
                      </w14:textFill>
                    </w:rPr>
                  </w:pPr>
                </w:p>
              </w:tc>
              <w:tc>
                <w:tcPr>
                  <w:tcW w:w="603" w:type="pct"/>
                  <w:vMerge w:val="continue"/>
                  <w:tcBorders>
                    <w:bottom w:val="single" w:color="auto" w:sz="4" w:space="0"/>
                    <w:right w:val="nil"/>
                  </w:tcBorders>
                  <w:noWrap/>
                  <w:vAlign w:val="center"/>
                </w:tcPr>
                <w:p w14:paraId="42201025">
                  <w:pPr>
                    <w:pStyle w:val="49"/>
                    <w:rPr>
                      <w:b/>
                      <w:bCs/>
                      <w:color w:val="000000" w:themeColor="text1"/>
                      <w:highlight w:val="none"/>
                      <w14:textFill>
                        <w14:solidFill>
                          <w14:schemeClr w14:val="tx1"/>
                        </w14:solidFill>
                      </w14:textFill>
                    </w:rPr>
                  </w:pPr>
                </w:p>
              </w:tc>
            </w:tr>
            <w:tr w14:paraId="2642FA1F">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43" w:type="pct"/>
                  <w:tcBorders>
                    <w:top w:val="single" w:color="auto" w:sz="4" w:space="0"/>
                    <w:left w:val="nil"/>
                  </w:tcBorders>
                  <w:noWrap/>
                  <w:vAlign w:val="center"/>
                </w:tcPr>
                <w:p w14:paraId="695C79A0">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G1</w:t>
                  </w:r>
                </w:p>
              </w:tc>
              <w:tc>
                <w:tcPr>
                  <w:tcW w:w="803" w:type="pct"/>
                  <w:tcBorders>
                    <w:top w:val="single" w:color="auto" w:sz="4" w:space="0"/>
                  </w:tcBorders>
                  <w:noWrap/>
                  <w:vAlign w:val="center"/>
                </w:tcPr>
                <w:p w14:paraId="5B637F69">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124.104606</w:t>
                  </w:r>
                </w:p>
              </w:tc>
              <w:tc>
                <w:tcPr>
                  <w:tcW w:w="771" w:type="pct"/>
                  <w:tcBorders>
                    <w:top w:val="single" w:color="auto" w:sz="4" w:space="0"/>
                  </w:tcBorders>
                  <w:noWrap/>
                  <w:vAlign w:val="center"/>
                </w:tcPr>
                <w:p w14:paraId="58D76DB1">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42.032978</w:t>
                  </w:r>
                </w:p>
              </w:tc>
              <w:tc>
                <w:tcPr>
                  <w:tcW w:w="436" w:type="pct"/>
                  <w:tcBorders>
                    <w:top w:val="single" w:color="auto" w:sz="4" w:space="0"/>
                  </w:tcBorders>
                  <w:noWrap/>
                  <w:vAlign w:val="center"/>
                </w:tcPr>
                <w:p w14:paraId="2754EA79">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TSP</w:t>
                  </w:r>
                </w:p>
              </w:tc>
              <w:tc>
                <w:tcPr>
                  <w:tcW w:w="1302" w:type="pct"/>
                  <w:tcBorders>
                    <w:top w:val="single" w:color="auto" w:sz="4" w:space="0"/>
                  </w:tcBorders>
                  <w:noWrap/>
                  <w:vAlign w:val="center"/>
                </w:tcPr>
                <w:p w14:paraId="52C7C94E">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2024.04.16-2024.04.18</w:t>
                  </w:r>
                </w:p>
              </w:tc>
              <w:tc>
                <w:tcPr>
                  <w:tcW w:w="539" w:type="pct"/>
                  <w:tcBorders>
                    <w:top w:val="single" w:color="auto" w:sz="4" w:space="0"/>
                  </w:tcBorders>
                  <w:noWrap/>
                  <w:vAlign w:val="center"/>
                </w:tcPr>
                <w:p w14:paraId="7FFE8F6E">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SE</w:t>
                  </w:r>
                </w:p>
              </w:tc>
              <w:tc>
                <w:tcPr>
                  <w:tcW w:w="603" w:type="pct"/>
                  <w:tcBorders>
                    <w:top w:val="single" w:color="auto" w:sz="4" w:space="0"/>
                    <w:right w:val="nil"/>
                  </w:tcBorders>
                  <w:noWrap/>
                  <w:vAlign w:val="center"/>
                </w:tcPr>
                <w:p w14:paraId="0F631B83">
                  <w:pPr>
                    <w:jc w:val="center"/>
                    <w:rPr>
                      <w:rFonts w:hint="default" w:eastAsia="宋体"/>
                      <w:color w:val="000000" w:themeColor="text1"/>
                      <w:szCs w:val="21"/>
                      <w:highlight w:val="none"/>
                      <w:lang w:val="en-US" w:eastAsia="zh-CN"/>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2092</w:t>
                  </w:r>
                </w:p>
              </w:tc>
            </w:tr>
          </w:tbl>
          <w:p w14:paraId="53D54002">
            <w:pPr>
              <w:widowControl/>
              <w:jc w:val="center"/>
              <w:rPr>
                <w:rFonts w:ascii="宋体" w:hAnsi="宋体" w:cs="宋体"/>
                <w:color w:val="000000" w:themeColor="text1"/>
                <w:szCs w:val="21"/>
                <w:highlight w:val="none"/>
                <w14:textFill>
                  <w14:solidFill>
                    <w14:schemeClr w14:val="tx1"/>
                  </w14:solidFill>
                </w14:textFill>
              </w:rPr>
            </w:pPr>
          </w:p>
          <w:p w14:paraId="50D9C689">
            <w:pPr>
              <w:adjustRightInd w:val="0"/>
              <w:snapToGrid w:val="0"/>
              <w:spacing w:line="360" w:lineRule="auto"/>
              <w:ind w:firstLine="480" w:firstLineChars="200"/>
              <w:rPr>
                <w:rFonts w:ascii="宋体" w:hAnsi="宋体" w:cs="宋体"/>
                <w:color w:val="000000" w:themeColor="text1"/>
                <w:sz w:val="24"/>
                <w:highlight w:val="none"/>
                <w14:textFill>
                  <w14:solidFill>
                    <w14:schemeClr w14:val="tx1"/>
                  </w14:solidFill>
                </w14:textFill>
              </w:rPr>
            </w:pPr>
            <w:r>
              <w:rPr>
                <w:rFonts w:hint="eastAsia" w:ascii="宋体" w:hAnsi="宋体" w:cs="宋体"/>
                <w:color w:val="000000" w:themeColor="text1"/>
                <w:sz w:val="24"/>
                <w:highlight w:val="none"/>
                <w14:textFill>
                  <w14:solidFill>
                    <w14:schemeClr w14:val="tx1"/>
                  </w14:solidFill>
                </w14:textFill>
              </w:rPr>
              <w:t>监测结果及评价：</w:t>
            </w:r>
          </w:p>
          <w:p w14:paraId="5C12809C">
            <w:pPr>
              <w:spacing w:line="360" w:lineRule="auto"/>
              <w:ind w:firstLine="422" w:firstLineChars="20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表3</w:t>
            </w:r>
            <w:r>
              <w:rPr>
                <w:rFonts w:hint="eastAsia"/>
                <w:b/>
                <w:bCs/>
                <w:color w:val="000000" w:themeColor="text1"/>
                <w:szCs w:val="21"/>
                <w:highlight w:val="none"/>
                <w14:textFill>
                  <w14:solidFill>
                    <w14:schemeClr w14:val="tx1"/>
                  </w14:solidFill>
                </w14:textFill>
              </w:rPr>
              <w:t>-3  其他污染物（TSP）环境质量现状（监测结果）表</w:t>
            </w:r>
          </w:p>
          <w:tbl>
            <w:tblPr>
              <w:tblStyle w:val="18"/>
              <w:tblW w:w="4922" w:type="pct"/>
              <w:jc w:val="center"/>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86"/>
              <w:gridCol w:w="749"/>
              <w:gridCol w:w="724"/>
              <w:gridCol w:w="645"/>
              <w:gridCol w:w="687"/>
              <w:gridCol w:w="1111"/>
              <w:gridCol w:w="1420"/>
              <w:gridCol w:w="981"/>
              <w:gridCol w:w="675"/>
              <w:gridCol w:w="675"/>
            </w:tblGrid>
            <w:tr w14:paraId="53E168A4">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2" w:hRule="atLeast"/>
                <w:jc w:val="center"/>
              </w:trPr>
              <w:tc>
                <w:tcPr>
                  <w:tcW w:w="410" w:type="pct"/>
                  <w:vMerge w:val="restart"/>
                  <w:tcBorders>
                    <w:top w:val="single" w:color="auto" w:sz="12" w:space="0"/>
                    <w:left w:val="nil"/>
                  </w:tcBorders>
                  <w:noWrap/>
                  <w:vAlign w:val="center"/>
                </w:tcPr>
                <w:p w14:paraId="4C58E95C">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监测点位</w:t>
                  </w:r>
                </w:p>
              </w:tc>
              <w:tc>
                <w:tcPr>
                  <w:tcW w:w="881" w:type="pct"/>
                  <w:gridSpan w:val="2"/>
                  <w:tcBorders>
                    <w:top w:val="single" w:color="auto" w:sz="12" w:space="0"/>
                    <w:bottom w:val="single" w:color="auto" w:sz="4" w:space="0"/>
                  </w:tcBorders>
                  <w:noWrap/>
                  <w:vAlign w:val="center"/>
                </w:tcPr>
                <w:p w14:paraId="5F438261">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监测坐标/°</w:t>
                  </w:r>
                </w:p>
              </w:tc>
              <w:tc>
                <w:tcPr>
                  <w:tcW w:w="386" w:type="pct"/>
                  <w:vMerge w:val="restart"/>
                  <w:tcBorders>
                    <w:top w:val="single" w:color="auto" w:sz="12" w:space="0"/>
                  </w:tcBorders>
                  <w:noWrap/>
                  <w:vAlign w:val="center"/>
                </w:tcPr>
                <w:p w14:paraId="12B263E8">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污染物</w:t>
                  </w:r>
                </w:p>
              </w:tc>
              <w:tc>
                <w:tcPr>
                  <w:tcW w:w="411" w:type="pct"/>
                  <w:vMerge w:val="restart"/>
                  <w:tcBorders>
                    <w:top w:val="single" w:color="auto" w:sz="12" w:space="0"/>
                  </w:tcBorders>
                  <w:noWrap/>
                  <w:vAlign w:val="center"/>
                </w:tcPr>
                <w:p w14:paraId="7196BFE3">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平均时间</w:t>
                  </w:r>
                </w:p>
              </w:tc>
              <w:tc>
                <w:tcPr>
                  <w:tcW w:w="665" w:type="pct"/>
                  <w:vMerge w:val="restart"/>
                  <w:tcBorders>
                    <w:top w:val="single" w:color="auto" w:sz="12" w:space="0"/>
                  </w:tcBorders>
                  <w:noWrap/>
                  <w:vAlign w:val="center"/>
                </w:tcPr>
                <w:p w14:paraId="60F5690F">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评价标准/（</w:t>
                  </w:r>
                  <w:r>
                    <w:rPr>
                      <w:b/>
                      <w:bCs/>
                      <w:color w:val="000000" w:themeColor="text1"/>
                      <w:highlight w:val="none"/>
                      <w14:textFill>
                        <w14:solidFill>
                          <w14:schemeClr w14:val="tx1"/>
                        </w14:solidFill>
                      </w14:textFill>
                    </w:rPr>
                    <w:t>μg/m</w:t>
                  </w:r>
                  <w:r>
                    <w:rPr>
                      <w:b/>
                      <w:bCs/>
                      <w:color w:val="000000" w:themeColor="text1"/>
                      <w:highlight w:val="none"/>
                      <w:vertAlign w:val="superscript"/>
                      <w14:textFill>
                        <w14:solidFill>
                          <w14:schemeClr w14:val="tx1"/>
                        </w14:solidFill>
                      </w14:textFill>
                    </w:rPr>
                    <w:t>3</w:t>
                  </w:r>
                  <w:r>
                    <w:rPr>
                      <w:rFonts w:hint="eastAsia"/>
                      <w:b/>
                      <w:bCs/>
                      <w:color w:val="000000" w:themeColor="text1"/>
                      <w:highlight w:val="none"/>
                      <w14:textFill>
                        <w14:solidFill>
                          <w14:schemeClr w14:val="tx1"/>
                        </w14:solidFill>
                      </w14:textFill>
                    </w:rPr>
                    <w:t>）</w:t>
                  </w:r>
                </w:p>
              </w:tc>
              <w:tc>
                <w:tcPr>
                  <w:tcW w:w="849" w:type="pct"/>
                  <w:vMerge w:val="restart"/>
                  <w:tcBorders>
                    <w:top w:val="single" w:color="auto" w:sz="12" w:space="0"/>
                    <w:right w:val="nil"/>
                  </w:tcBorders>
                  <w:noWrap/>
                  <w:vAlign w:val="center"/>
                </w:tcPr>
                <w:p w14:paraId="172B299C">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监测浓度范围/（</w:t>
                  </w:r>
                  <w:r>
                    <w:rPr>
                      <w:b/>
                      <w:bCs/>
                      <w:color w:val="000000" w:themeColor="text1"/>
                      <w:highlight w:val="none"/>
                      <w14:textFill>
                        <w14:solidFill>
                          <w14:schemeClr w14:val="tx1"/>
                        </w14:solidFill>
                      </w14:textFill>
                    </w:rPr>
                    <w:t>μg/m</w:t>
                  </w:r>
                  <w:r>
                    <w:rPr>
                      <w:b/>
                      <w:bCs/>
                      <w:color w:val="000000" w:themeColor="text1"/>
                      <w:highlight w:val="none"/>
                      <w:vertAlign w:val="superscript"/>
                      <w14:textFill>
                        <w14:solidFill>
                          <w14:schemeClr w14:val="tx1"/>
                        </w14:solidFill>
                      </w14:textFill>
                    </w:rPr>
                    <w:t>3</w:t>
                  </w:r>
                  <w:r>
                    <w:rPr>
                      <w:rFonts w:hint="eastAsia"/>
                      <w:b/>
                      <w:bCs/>
                      <w:color w:val="000000" w:themeColor="text1"/>
                      <w:highlight w:val="none"/>
                      <w14:textFill>
                        <w14:solidFill>
                          <w14:schemeClr w14:val="tx1"/>
                        </w14:solidFill>
                      </w14:textFill>
                    </w:rPr>
                    <w:t>）</w:t>
                  </w:r>
                </w:p>
              </w:tc>
              <w:tc>
                <w:tcPr>
                  <w:tcW w:w="587" w:type="pct"/>
                  <w:vMerge w:val="restart"/>
                  <w:tcBorders>
                    <w:top w:val="single" w:color="auto" w:sz="12" w:space="0"/>
                    <w:right w:val="nil"/>
                  </w:tcBorders>
                  <w:noWrap/>
                  <w:vAlign w:val="center"/>
                </w:tcPr>
                <w:p w14:paraId="3F2E7FE6">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最大占标率/%</w:t>
                  </w:r>
                </w:p>
              </w:tc>
              <w:tc>
                <w:tcPr>
                  <w:tcW w:w="404" w:type="pct"/>
                  <w:vMerge w:val="restart"/>
                  <w:tcBorders>
                    <w:top w:val="single" w:color="auto" w:sz="12" w:space="0"/>
                    <w:right w:val="nil"/>
                  </w:tcBorders>
                  <w:noWrap/>
                  <w:vAlign w:val="center"/>
                </w:tcPr>
                <w:p w14:paraId="35690DB3">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超标率%</w:t>
                  </w:r>
                </w:p>
              </w:tc>
              <w:tc>
                <w:tcPr>
                  <w:tcW w:w="404" w:type="pct"/>
                  <w:vMerge w:val="restart"/>
                  <w:tcBorders>
                    <w:top w:val="single" w:color="auto" w:sz="12" w:space="0"/>
                    <w:right w:val="nil"/>
                  </w:tcBorders>
                  <w:noWrap/>
                  <w:vAlign w:val="center"/>
                </w:tcPr>
                <w:p w14:paraId="4C65F413">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达标情况</w:t>
                  </w:r>
                </w:p>
              </w:tc>
            </w:tr>
            <w:tr w14:paraId="1BAD65EF">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410" w:type="pct"/>
                  <w:vMerge w:val="continue"/>
                  <w:tcBorders>
                    <w:left w:val="nil"/>
                    <w:bottom w:val="single" w:color="auto" w:sz="4" w:space="0"/>
                  </w:tcBorders>
                  <w:noWrap/>
                  <w:vAlign w:val="center"/>
                </w:tcPr>
                <w:p w14:paraId="4E84B4E2">
                  <w:pPr>
                    <w:pStyle w:val="49"/>
                    <w:rPr>
                      <w:color w:val="000000" w:themeColor="text1"/>
                      <w:highlight w:val="none"/>
                      <w14:textFill>
                        <w14:solidFill>
                          <w14:schemeClr w14:val="tx1"/>
                        </w14:solidFill>
                      </w14:textFill>
                    </w:rPr>
                  </w:pPr>
                </w:p>
              </w:tc>
              <w:tc>
                <w:tcPr>
                  <w:tcW w:w="448" w:type="pct"/>
                  <w:tcBorders>
                    <w:top w:val="single" w:color="auto" w:sz="12" w:space="0"/>
                    <w:bottom w:val="single" w:color="auto" w:sz="4" w:space="0"/>
                  </w:tcBorders>
                  <w:noWrap/>
                  <w:vAlign w:val="center"/>
                </w:tcPr>
                <w:p w14:paraId="754E1A01">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X</w:t>
                  </w:r>
                </w:p>
              </w:tc>
              <w:tc>
                <w:tcPr>
                  <w:tcW w:w="433" w:type="pct"/>
                  <w:tcBorders>
                    <w:top w:val="single" w:color="auto" w:sz="12" w:space="0"/>
                    <w:bottom w:val="single" w:color="auto" w:sz="4" w:space="0"/>
                  </w:tcBorders>
                  <w:noWrap/>
                  <w:vAlign w:val="center"/>
                </w:tcPr>
                <w:p w14:paraId="5BE88C45">
                  <w:pPr>
                    <w:pStyle w:val="49"/>
                    <w:rPr>
                      <w:b/>
                      <w:bCs/>
                      <w:color w:val="000000" w:themeColor="text1"/>
                      <w:highlight w:val="none"/>
                      <w14:textFill>
                        <w14:solidFill>
                          <w14:schemeClr w14:val="tx1"/>
                        </w14:solidFill>
                      </w14:textFill>
                    </w:rPr>
                  </w:pPr>
                  <w:r>
                    <w:rPr>
                      <w:rFonts w:hint="eastAsia"/>
                      <w:b/>
                      <w:bCs/>
                      <w:color w:val="000000" w:themeColor="text1"/>
                      <w:highlight w:val="none"/>
                      <w14:textFill>
                        <w14:solidFill>
                          <w14:schemeClr w14:val="tx1"/>
                        </w14:solidFill>
                      </w14:textFill>
                    </w:rPr>
                    <w:t>Y</w:t>
                  </w:r>
                </w:p>
              </w:tc>
              <w:tc>
                <w:tcPr>
                  <w:tcW w:w="386" w:type="pct"/>
                  <w:vMerge w:val="continue"/>
                  <w:tcBorders>
                    <w:bottom w:val="single" w:color="auto" w:sz="4" w:space="0"/>
                  </w:tcBorders>
                  <w:noWrap/>
                  <w:vAlign w:val="center"/>
                </w:tcPr>
                <w:p w14:paraId="54EFC8D0">
                  <w:pPr>
                    <w:pStyle w:val="49"/>
                    <w:rPr>
                      <w:b/>
                      <w:bCs/>
                      <w:color w:val="000000" w:themeColor="text1"/>
                      <w:highlight w:val="none"/>
                      <w14:textFill>
                        <w14:solidFill>
                          <w14:schemeClr w14:val="tx1"/>
                        </w14:solidFill>
                      </w14:textFill>
                    </w:rPr>
                  </w:pPr>
                </w:p>
              </w:tc>
              <w:tc>
                <w:tcPr>
                  <w:tcW w:w="411" w:type="pct"/>
                  <w:vMerge w:val="continue"/>
                  <w:tcBorders>
                    <w:bottom w:val="single" w:color="auto" w:sz="4" w:space="0"/>
                  </w:tcBorders>
                  <w:noWrap/>
                  <w:vAlign w:val="center"/>
                </w:tcPr>
                <w:p w14:paraId="45C150DD">
                  <w:pPr>
                    <w:pStyle w:val="49"/>
                    <w:rPr>
                      <w:b/>
                      <w:bCs/>
                      <w:color w:val="000000" w:themeColor="text1"/>
                      <w:highlight w:val="none"/>
                      <w14:textFill>
                        <w14:solidFill>
                          <w14:schemeClr w14:val="tx1"/>
                        </w14:solidFill>
                      </w14:textFill>
                    </w:rPr>
                  </w:pPr>
                </w:p>
              </w:tc>
              <w:tc>
                <w:tcPr>
                  <w:tcW w:w="665" w:type="pct"/>
                  <w:vMerge w:val="continue"/>
                  <w:tcBorders>
                    <w:bottom w:val="single" w:color="auto" w:sz="4" w:space="0"/>
                  </w:tcBorders>
                  <w:noWrap/>
                  <w:vAlign w:val="center"/>
                </w:tcPr>
                <w:p w14:paraId="2DC7244A">
                  <w:pPr>
                    <w:pStyle w:val="49"/>
                    <w:rPr>
                      <w:b/>
                      <w:bCs/>
                      <w:color w:val="000000" w:themeColor="text1"/>
                      <w:highlight w:val="none"/>
                      <w14:textFill>
                        <w14:solidFill>
                          <w14:schemeClr w14:val="tx1"/>
                        </w14:solidFill>
                      </w14:textFill>
                    </w:rPr>
                  </w:pPr>
                </w:p>
              </w:tc>
              <w:tc>
                <w:tcPr>
                  <w:tcW w:w="849" w:type="pct"/>
                  <w:vMerge w:val="continue"/>
                  <w:tcBorders>
                    <w:bottom w:val="single" w:color="auto" w:sz="4" w:space="0"/>
                    <w:right w:val="nil"/>
                  </w:tcBorders>
                  <w:noWrap/>
                  <w:vAlign w:val="center"/>
                </w:tcPr>
                <w:p w14:paraId="742275D8">
                  <w:pPr>
                    <w:pStyle w:val="49"/>
                    <w:rPr>
                      <w:b/>
                      <w:bCs/>
                      <w:color w:val="000000" w:themeColor="text1"/>
                      <w:highlight w:val="none"/>
                      <w14:textFill>
                        <w14:solidFill>
                          <w14:schemeClr w14:val="tx1"/>
                        </w14:solidFill>
                      </w14:textFill>
                    </w:rPr>
                  </w:pPr>
                </w:p>
              </w:tc>
              <w:tc>
                <w:tcPr>
                  <w:tcW w:w="587" w:type="pct"/>
                  <w:vMerge w:val="continue"/>
                  <w:tcBorders>
                    <w:bottom w:val="single" w:color="auto" w:sz="4" w:space="0"/>
                    <w:right w:val="nil"/>
                  </w:tcBorders>
                  <w:noWrap/>
                  <w:vAlign w:val="center"/>
                </w:tcPr>
                <w:p w14:paraId="638D78E7">
                  <w:pPr>
                    <w:pStyle w:val="49"/>
                    <w:rPr>
                      <w:b/>
                      <w:bCs/>
                      <w:color w:val="000000" w:themeColor="text1"/>
                      <w:highlight w:val="none"/>
                      <w14:textFill>
                        <w14:solidFill>
                          <w14:schemeClr w14:val="tx1"/>
                        </w14:solidFill>
                      </w14:textFill>
                    </w:rPr>
                  </w:pPr>
                </w:p>
              </w:tc>
              <w:tc>
                <w:tcPr>
                  <w:tcW w:w="404" w:type="pct"/>
                  <w:vMerge w:val="continue"/>
                  <w:tcBorders>
                    <w:bottom w:val="single" w:color="auto" w:sz="4" w:space="0"/>
                    <w:right w:val="nil"/>
                  </w:tcBorders>
                  <w:noWrap/>
                  <w:vAlign w:val="center"/>
                </w:tcPr>
                <w:p w14:paraId="3B4D235E">
                  <w:pPr>
                    <w:pStyle w:val="49"/>
                    <w:rPr>
                      <w:b/>
                      <w:bCs/>
                      <w:color w:val="000000" w:themeColor="text1"/>
                      <w:highlight w:val="none"/>
                      <w14:textFill>
                        <w14:solidFill>
                          <w14:schemeClr w14:val="tx1"/>
                        </w14:solidFill>
                      </w14:textFill>
                    </w:rPr>
                  </w:pPr>
                </w:p>
              </w:tc>
              <w:tc>
                <w:tcPr>
                  <w:tcW w:w="404" w:type="pct"/>
                  <w:vMerge w:val="continue"/>
                  <w:tcBorders>
                    <w:bottom w:val="single" w:color="auto" w:sz="4" w:space="0"/>
                    <w:right w:val="nil"/>
                  </w:tcBorders>
                  <w:noWrap/>
                  <w:vAlign w:val="center"/>
                </w:tcPr>
                <w:p w14:paraId="6E11A415">
                  <w:pPr>
                    <w:pStyle w:val="49"/>
                    <w:rPr>
                      <w:b/>
                      <w:bCs/>
                      <w:color w:val="000000" w:themeColor="text1"/>
                      <w:highlight w:val="none"/>
                      <w14:textFill>
                        <w14:solidFill>
                          <w14:schemeClr w14:val="tx1"/>
                        </w14:solidFill>
                      </w14:textFill>
                    </w:rPr>
                  </w:pPr>
                </w:p>
              </w:tc>
            </w:tr>
            <w:tr w14:paraId="176D3945">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0" w:type="pct"/>
                  <w:tcBorders>
                    <w:top w:val="single" w:color="auto" w:sz="4" w:space="0"/>
                    <w:left w:val="nil"/>
                  </w:tcBorders>
                  <w:noWrap/>
                  <w:vAlign w:val="center"/>
                </w:tcPr>
                <w:p w14:paraId="6791D800">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G1</w:t>
                  </w:r>
                </w:p>
              </w:tc>
              <w:tc>
                <w:tcPr>
                  <w:tcW w:w="448" w:type="pct"/>
                  <w:tcBorders>
                    <w:top w:val="single" w:color="auto" w:sz="4" w:space="0"/>
                  </w:tcBorders>
                  <w:noWrap/>
                  <w:vAlign w:val="center"/>
                </w:tcPr>
                <w:p w14:paraId="34024DF7">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124.104606</w:t>
                  </w:r>
                </w:p>
              </w:tc>
              <w:tc>
                <w:tcPr>
                  <w:tcW w:w="433" w:type="pct"/>
                  <w:tcBorders>
                    <w:top w:val="single" w:color="auto" w:sz="4" w:space="0"/>
                  </w:tcBorders>
                  <w:noWrap/>
                  <w:vAlign w:val="center"/>
                </w:tcPr>
                <w:p w14:paraId="2A767625">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42.032978</w:t>
                  </w:r>
                </w:p>
              </w:tc>
              <w:tc>
                <w:tcPr>
                  <w:tcW w:w="386" w:type="pct"/>
                  <w:tcBorders>
                    <w:top w:val="single" w:color="auto" w:sz="4" w:space="0"/>
                  </w:tcBorders>
                  <w:noWrap/>
                  <w:vAlign w:val="center"/>
                </w:tcPr>
                <w:p w14:paraId="78178FC1">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TSP</w:t>
                  </w:r>
                </w:p>
              </w:tc>
              <w:tc>
                <w:tcPr>
                  <w:tcW w:w="411" w:type="pct"/>
                  <w:tcBorders>
                    <w:top w:val="single" w:color="auto" w:sz="4" w:space="0"/>
                  </w:tcBorders>
                  <w:noWrap/>
                  <w:vAlign w:val="center"/>
                </w:tcPr>
                <w:p w14:paraId="7B1E9FA2">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24h</w:t>
                  </w:r>
                </w:p>
              </w:tc>
              <w:tc>
                <w:tcPr>
                  <w:tcW w:w="665" w:type="pct"/>
                  <w:tcBorders>
                    <w:top w:val="single" w:color="auto" w:sz="4" w:space="0"/>
                  </w:tcBorders>
                  <w:noWrap/>
                  <w:vAlign w:val="center"/>
                </w:tcPr>
                <w:p w14:paraId="54661622">
                  <w:pPr>
                    <w:pStyle w:val="49"/>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300</w:t>
                  </w:r>
                </w:p>
              </w:tc>
              <w:tc>
                <w:tcPr>
                  <w:tcW w:w="849" w:type="pct"/>
                  <w:tcBorders>
                    <w:top w:val="single" w:color="auto" w:sz="4" w:space="0"/>
                    <w:right w:val="nil"/>
                  </w:tcBorders>
                  <w:noWrap/>
                  <w:vAlign w:val="center"/>
                </w:tcPr>
                <w:p w14:paraId="57F13C34">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164~186</w:t>
                  </w:r>
                </w:p>
              </w:tc>
              <w:tc>
                <w:tcPr>
                  <w:tcW w:w="587" w:type="pct"/>
                  <w:tcBorders>
                    <w:top w:val="single" w:color="auto" w:sz="4" w:space="0"/>
                    <w:right w:val="nil"/>
                  </w:tcBorders>
                  <w:noWrap/>
                  <w:vAlign w:val="center"/>
                </w:tcPr>
                <w:p w14:paraId="20EE3CE2">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62</w:t>
                  </w:r>
                </w:p>
              </w:tc>
              <w:tc>
                <w:tcPr>
                  <w:tcW w:w="404" w:type="pct"/>
                  <w:tcBorders>
                    <w:top w:val="single" w:color="auto" w:sz="4" w:space="0"/>
                    <w:right w:val="nil"/>
                  </w:tcBorders>
                  <w:noWrap/>
                  <w:vAlign w:val="center"/>
                </w:tcPr>
                <w:p w14:paraId="5D26D5E3">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0</w:t>
                  </w:r>
                </w:p>
              </w:tc>
              <w:tc>
                <w:tcPr>
                  <w:tcW w:w="404" w:type="pct"/>
                  <w:tcBorders>
                    <w:top w:val="single" w:color="auto" w:sz="4" w:space="0"/>
                    <w:right w:val="nil"/>
                  </w:tcBorders>
                  <w:noWrap/>
                  <w:vAlign w:val="center"/>
                </w:tcPr>
                <w:p w14:paraId="6431C8DF">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达标</w:t>
                  </w:r>
                </w:p>
              </w:tc>
            </w:tr>
          </w:tbl>
          <w:p w14:paraId="3C598418">
            <w:pPr>
              <w:widowControl/>
              <w:spacing w:before="120" w:beforeLines="50" w:line="360" w:lineRule="auto"/>
              <w:ind w:firstLine="480" w:firstLineChars="200"/>
              <w:rPr>
                <w:color w:val="000000" w:themeColor="text1"/>
                <w:highlight w:val="none"/>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本项目位于达标区，由上表可知，补充监测点位</w:t>
            </w:r>
            <w:r>
              <w:rPr>
                <w:color w:val="000000" w:themeColor="text1"/>
                <w:kern w:val="0"/>
                <w:sz w:val="24"/>
                <w:highlight w:val="none"/>
                <w:lang w:bidi="ar"/>
                <w14:textFill>
                  <w14:solidFill>
                    <w14:schemeClr w14:val="tx1"/>
                  </w14:solidFill>
                </w14:textFill>
              </w:rPr>
              <w:t>TSP</w:t>
            </w:r>
            <w:r>
              <w:rPr>
                <w:rFonts w:hint="eastAsia"/>
                <w:color w:val="000000" w:themeColor="text1"/>
                <w:sz w:val="24"/>
                <w:highlight w:val="none"/>
                <w14:textFill>
                  <w14:solidFill>
                    <w14:schemeClr w14:val="tx1"/>
                  </w14:solidFill>
                </w14:textFill>
              </w:rPr>
              <w:t>满足</w:t>
            </w:r>
            <w:r>
              <w:rPr>
                <w:rFonts w:hint="eastAsia" w:ascii="宋体" w:hAnsi="宋体" w:cs="宋体"/>
                <w:color w:val="000000" w:themeColor="text1"/>
                <w:kern w:val="0"/>
                <w:sz w:val="24"/>
                <w:highlight w:val="none"/>
                <w:lang w:bidi="ar"/>
                <w14:textFill>
                  <w14:solidFill>
                    <w14:schemeClr w14:val="tx1"/>
                  </w14:solidFill>
                </w14:textFill>
              </w:rPr>
              <w:t>《环境空气质量标准》</w:t>
            </w:r>
            <w:r>
              <w:rPr>
                <w:rFonts w:hint="eastAsia"/>
                <w:color w:val="000000" w:themeColor="text1"/>
                <w:kern w:val="0"/>
                <w:sz w:val="24"/>
                <w:highlight w:val="none"/>
                <w:lang w:bidi="ar"/>
                <w14:textFill>
                  <w14:solidFill>
                    <w14:schemeClr w14:val="tx1"/>
                  </w14:solidFill>
                </w14:textFill>
              </w:rPr>
              <w:t>（</w:t>
            </w:r>
            <w:r>
              <w:rPr>
                <w:color w:val="000000" w:themeColor="text1"/>
                <w:kern w:val="0"/>
                <w:sz w:val="24"/>
                <w:highlight w:val="none"/>
                <w:lang w:bidi="ar"/>
                <w14:textFill>
                  <w14:solidFill>
                    <w14:schemeClr w14:val="tx1"/>
                  </w14:solidFill>
                </w14:textFill>
              </w:rPr>
              <w:t>GB3095-2012</w:t>
            </w:r>
            <w:r>
              <w:rPr>
                <w:rFonts w:hint="eastAsia"/>
                <w:color w:val="000000" w:themeColor="text1"/>
                <w:kern w:val="0"/>
                <w:sz w:val="24"/>
                <w:highlight w:val="none"/>
                <w:lang w:bidi="ar"/>
                <w14:textFill>
                  <w14:solidFill>
                    <w14:schemeClr w14:val="tx1"/>
                  </w14:solidFill>
                </w14:textFill>
              </w:rPr>
              <w:t>）及其修改单中的二级标准</w:t>
            </w:r>
            <w:r>
              <w:rPr>
                <w:rFonts w:hint="eastAsia" w:ascii="宋体" w:hAnsi="宋体" w:cs="宋体"/>
                <w:color w:val="000000" w:themeColor="text1"/>
                <w:kern w:val="0"/>
                <w:sz w:val="24"/>
                <w:highlight w:val="none"/>
                <w:lang w:bidi="ar"/>
                <w14:textFill>
                  <w14:solidFill>
                    <w14:schemeClr w14:val="tx1"/>
                  </w14:solidFill>
                </w14:textFill>
              </w:rPr>
              <w:t>。</w:t>
            </w:r>
          </w:p>
          <w:p w14:paraId="3A57B3C8">
            <w:pPr>
              <w:widowControl/>
              <w:spacing w:line="360" w:lineRule="auto"/>
              <w:jc w:val="left"/>
              <w:rPr>
                <w:color w:val="FF0000"/>
                <w:highlight w:val="none"/>
              </w:rPr>
            </w:pPr>
            <w:r>
              <w:rPr>
                <w:rFonts w:hint="eastAsia"/>
                <w:b/>
                <w:bCs/>
                <w:color w:val="FF0000"/>
                <w:kern w:val="0"/>
                <w:sz w:val="24"/>
                <w:highlight w:val="none"/>
                <w:lang w:bidi="ar"/>
              </w:rPr>
              <w:t>二</w:t>
            </w:r>
            <w:r>
              <w:rPr>
                <w:rFonts w:hint="eastAsia" w:ascii="宋体" w:hAnsi="宋体" w:cs="宋体"/>
                <w:b/>
                <w:bCs/>
                <w:color w:val="FF0000"/>
                <w:kern w:val="0"/>
                <w:sz w:val="24"/>
                <w:highlight w:val="none"/>
                <w:lang w:bidi="ar"/>
              </w:rPr>
              <w:t>、地表水环境质量现状</w:t>
            </w:r>
          </w:p>
          <w:p w14:paraId="4D70CC9D">
            <w:pPr>
              <w:widowControl/>
              <w:spacing w:line="360" w:lineRule="auto"/>
              <w:ind w:firstLine="480" w:firstLineChars="200"/>
              <w:rPr>
                <w:rFonts w:hint="eastAsia" w:ascii="宋体" w:hAnsi="宋体" w:cs="宋体"/>
                <w:color w:val="FF0000"/>
                <w:kern w:val="0"/>
                <w:sz w:val="24"/>
                <w:highlight w:val="none"/>
                <w:lang w:bidi="ar"/>
              </w:rPr>
            </w:pPr>
            <w:r>
              <w:rPr>
                <w:rFonts w:hint="eastAsia" w:ascii="宋体" w:hAnsi="宋体" w:cs="宋体"/>
                <w:color w:val="FF0000"/>
                <w:kern w:val="0"/>
                <w:sz w:val="24"/>
                <w:highlight w:val="none"/>
                <w:lang w:bidi="ar"/>
              </w:rPr>
              <w:t>本项目区域地表水体为项目</w:t>
            </w:r>
            <w:r>
              <w:rPr>
                <w:rFonts w:hint="eastAsia" w:ascii="宋体" w:hAnsi="宋体" w:cs="宋体"/>
                <w:color w:val="FF0000"/>
                <w:kern w:val="0"/>
                <w:sz w:val="24"/>
                <w:highlight w:val="none"/>
                <w:lang w:val="en-US" w:eastAsia="zh-CN" w:bidi="ar"/>
              </w:rPr>
              <w:t>南侧</w:t>
            </w:r>
            <w:r>
              <w:rPr>
                <w:rFonts w:hint="eastAsia" w:ascii="宋体" w:hAnsi="宋体" w:cs="宋体"/>
                <w:color w:val="FF0000"/>
                <w:kern w:val="0"/>
                <w:sz w:val="24"/>
                <w:highlight w:val="none"/>
                <w:lang w:bidi="ar"/>
              </w:rPr>
              <w:t>约</w:t>
            </w:r>
            <w:r>
              <w:rPr>
                <w:rFonts w:hint="eastAsia"/>
                <w:color w:val="FF0000"/>
                <w:sz w:val="24"/>
                <w:highlight w:val="none"/>
              </w:rPr>
              <w:t>2.</w:t>
            </w:r>
            <w:r>
              <w:rPr>
                <w:rFonts w:hint="eastAsia"/>
                <w:color w:val="FF0000"/>
                <w:sz w:val="24"/>
                <w:highlight w:val="none"/>
                <w:lang w:val="en-US" w:eastAsia="zh-CN"/>
              </w:rPr>
              <w:t>6</w:t>
            </w:r>
            <w:r>
              <w:rPr>
                <w:rFonts w:hint="eastAsia"/>
                <w:color w:val="FF0000"/>
                <w:sz w:val="24"/>
                <w:highlight w:val="none"/>
              </w:rPr>
              <w:t>km的章党河</w:t>
            </w:r>
            <w:r>
              <w:rPr>
                <w:rFonts w:hint="eastAsia" w:ascii="宋体" w:hAnsi="宋体" w:cs="宋体"/>
                <w:color w:val="FF0000"/>
                <w:kern w:val="0"/>
                <w:sz w:val="24"/>
                <w:highlight w:val="none"/>
                <w:lang w:bidi="ar"/>
              </w:rPr>
              <w:t>，章党河为浑河支流，执行《地表水环境质量标准》（</w:t>
            </w:r>
            <w:r>
              <w:rPr>
                <w:color w:val="FF0000"/>
                <w:kern w:val="0"/>
                <w:sz w:val="24"/>
                <w:highlight w:val="none"/>
                <w:lang w:bidi="ar"/>
              </w:rPr>
              <w:t>GB3838-2002</w:t>
            </w:r>
            <w:r>
              <w:rPr>
                <w:rFonts w:hint="eastAsia" w:ascii="宋体" w:hAnsi="宋体" w:cs="宋体"/>
                <w:color w:val="FF0000"/>
                <w:kern w:val="0"/>
                <w:sz w:val="24"/>
                <w:highlight w:val="none"/>
                <w:lang w:bidi="ar"/>
              </w:rPr>
              <w:t>）</w:t>
            </w:r>
            <w:r>
              <w:rPr>
                <w:color w:val="FF0000"/>
                <w:kern w:val="0"/>
                <w:sz w:val="24"/>
                <w:highlight w:val="none"/>
                <w:lang w:bidi="ar"/>
              </w:rPr>
              <w:t>III</w:t>
            </w:r>
            <w:r>
              <w:rPr>
                <w:rFonts w:hint="eastAsia" w:ascii="宋体" w:hAnsi="宋体" w:cs="宋体"/>
                <w:color w:val="FF0000"/>
                <w:kern w:val="0"/>
                <w:sz w:val="24"/>
                <w:highlight w:val="none"/>
                <w:lang w:bidi="ar"/>
              </w:rPr>
              <w:t>类水质标准。</w:t>
            </w:r>
          </w:p>
          <w:p w14:paraId="67C8C199">
            <w:pPr>
              <w:widowControl/>
              <w:spacing w:line="360" w:lineRule="auto"/>
              <w:ind w:firstLine="480" w:firstLineChars="200"/>
              <w:rPr>
                <w:rFonts w:hint="eastAsia" w:ascii="宋体" w:hAnsi="宋体" w:cs="宋体"/>
                <w:color w:val="FF0000"/>
                <w:kern w:val="0"/>
                <w:sz w:val="24"/>
                <w:highlight w:val="none"/>
                <w:lang w:val="en-US" w:eastAsia="zh-CN" w:bidi="ar"/>
              </w:rPr>
            </w:pPr>
            <w:r>
              <w:rPr>
                <w:rFonts w:hint="eastAsia" w:ascii="宋体" w:hAnsi="宋体" w:cs="宋体"/>
                <w:color w:val="FF0000"/>
                <w:kern w:val="0"/>
                <w:sz w:val="24"/>
                <w:highlight w:val="none"/>
                <w:lang w:bidi="ar"/>
              </w:rPr>
              <w:t>根据《</w:t>
            </w:r>
            <w:r>
              <w:rPr>
                <w:color w:val="FF0000"/>
                <w:kern w:val="0"/>
                <w:sz w:val="24"/>
                <w:highlight w:val="none"/>
                <w:lang w:bidi="ar"/>
              </w:rPr>
              <w:t>202</w:t>
            </w:r>
            <w:r>
              <w:rPr>
                <w:rFonts w:hint="eastAsia"/>
                <w:color w:val="FF0000"/>
                <w:kern w:val="0"/>
                <w:sz w:val="24"/>
                <w:highlight w:val="none"/>
                <w:lang w:val="en-US" w:eastAsia="zh-CN" w:bidi="ar"/>
              </w:rPr>
              <w:t>3</w:t>
            </w:r>
            <w:r>
              <w:rPr>
                <w:rFonts w:hint="eastAsia" w:ascii="宋体" w:hAnsi="宋体" w:cs="宋体"/>
                <w:color w:val="FF0000"/>
                <w:kern w:val="0"/>
                <w:sz w:val="24"/>
                <w:highlight w:val="none"/>
                <w:lang w:bidi="ar"/>
              </w:rPr>
              <w:t>年抚顺生态环境质量报告书》，</w:t>
            </w:r>
            <w:r>
              <w:rPr>
                <w:rFonts w:hint="eastAsia" w:ascii="宋体" w:hAnsi="宋体" w:cs="宋体"/>
                <w:color w:val="FF0000"/>
                <w:kern w:val="0"/>
                <w:sz w:val="24"/>
                <w:highlight w:val="none"/>
                <w:lang w:val="en-US" w:eastAsia="zh-CN" w:bidi="ar"/>
              </w:rPr>
              <w:t>距离本项目最近的监测断面为阿及堡断面，</w:t>
            </w:r>
            <w:r>
              <w:rPr>
                <w:color w:val="FF0000"/>
                <w:kern w:val="0"/>
                <w:sz w:val="24"/>
                <w:highlight w:val="none"/>
                <w:lang w:bidi="ar"/>
              </w:rPr>
              <w:t>202</w:t>
            </w:r>
            <w:r>
              <w:rPr>
                <w:rFonts w:hint="eastAsia"/>
                <w:color w:val="FF0000"/>
                <w:kern w:val="0"/>
                <w:sz w:val="24"/>
                <w:highlight w:val="none"/>
                <w:lang w:val="en-US" w:eastAsia="zh-CN" w:bidi="ar"/>
              </w:rPr>
              <w:t>3</w:t>
            </w:r>
            <w:r>
              <w:rPr>
                <w:rFonts w:hint="eastAsia" w:ascii="宋体" w:hAnsi="宋体" w:cs="宋体"/>
                <w:color w:val="FF0000"/>
                <w:kern w:val="0"/>
                <w:sz w:val="24"/>
                <w:highlight w:val="none"/>
                <w:lang w:bidi="ar"/>
              </w:rPr>
              <w:t>年章党河的监测指标中，总磷年均浓度符合《地表水环境质量标准》（</w:t>
            </w:r>
            <w:r>
              <w:rPr>
                <w:color w:val="FF0000"/>
                <w:kern w:val="0"/>
                <w:sz w:val="24"/>
                <w:highlight w:val="none"/>
                <w:lang w:bidi="ar"/>
              </w:rPr>
              <w:t>GB3838-2002</w:t>
            </w:r>
            <w:r>
              <w:rPr>
                <w:rFonts w:hint="eastAsia" w:ascii="宋体" w:hAnsi="宋体" w:cs="宋体"/>
                <w:color w:val="FF0000"/>
                <w:kern w:val="0"/>
                <w:sz w:val="24"/>
                <w:highlight w:val="none"/>
                <w:lang w:bidi="ar"/>
              </w:rPr>
              <w:t>）</w:t>
            </w:r>
            <w:r>
              <w:rPr>
                <w:rFonts w:hint="eastAsia" w:ascii="宋体" w:hAnsi="宋体" w:eastAsia="宋体" w:cs="宋体"/>
                <w:color w:val="FF0000"/>
                <w:kern w:val="0"/>
                <w:sz w:val="24"/>
                <w:highlight w:val="none"/>
                <w:lang w:bidi="ar"/>
              </w:rPr>
              <w:t>Ⅱ</w:t>
            </w:r>
            <w:r>
              <w:rPr>
                <w:rFonts w:hint="eastAsia" w:ascii="宋体" w:hAnsi="宋体" w:cs="宋体"/>
                <w:color w:val="FF0000"/>
                <w:kern w:val="0"/>
                <w:sz w:val="24"/>
                <w:highlight w:val="none"/>
                <w:lang w:bidi="ar"/>
              </w:rPr>
              <w:t>类水质标准，五日生化需氧量、氨氮</w:t>
            </w:r>
            <w:r>
              <w:rPr>
                <w:rFonts w:hint="eastAsia" w:ascii="宋体" w:hAnsi="宋体" w:cs="宋体"/>
                <w:color w:val="FF0000"/>
                <w:kern w:val="0"/>
                <w:sz w:val="24"/>
                <w:highlight w:val="none"/>
                <w:lang w:val="en-US" w:eastAsia="zh-CN" w:bidi="ar"/>
              </w:rPr>
              <w:t>等</w:t>
            </w:r>
            <w:r>
              <w:rPr>
                <w:rFonts w:hint="eastAsia" w:ascii="宋体" w:hAnsi="宋体" w:cs="宋体"/>
                <w:color w:val="FF0000"/>
                <w:kern w:val="0"/>
                <w:sz w:val="24"/>
                <w:highlight w:val="none"/>
                <w:lang w:bidi="ar"/>
              </w:rPr>
              <w:t>其他监测指标年均浓度均符合《地表水环境质量标准》（</w:t>
            </w:r>
            <w:r>
              <w:rPr>
                <w:color w:val="FF0000"/>
                <w:kern w:val="0"/>
                <w:sz w:val="24"/>
                <w:highlight w:val="none"/>
                <w:lang w:bidi="ar"/>
              </w:rPr>
              <w:t>GB3838-2002</w:t>
            </w:r>
            <w:r>
              <w:rPr>
                <w:rFonts w:hint="eastAsia" w:ascii="宋体" w:hAnsi="宋体" w:cs="宋体"/>
                <w:color w:val="FF0000"/>
                <w:kern w:val="0"/>
                <w:sz w:val="24"/>
                <w:highlight w:val="none"/>
                <w:lang w:bidi="ar"/>
              </w:rPr>
              <w:t>）</w:t>
            </w:r>
            <w:r>
              <w:rPr>
                <w:rFonts w:hint="eastAsia" w:ascii="宋体" w:hAnsi="宋体" w:eastAsia="宋体" w:cs="宋体"/>
                <w:color w:val="FF0000"/>
                <w:kern w:val="0"/>
                <w:sz w:val="24"/>
                <w:highlight w:val="none"/>
                <w:lang w:bidi="ar"/>
              </w:rPr>
              <w:t>Ⅰ</w:t>
            </w:r>
            <w:r>
              <w:rPr>
                <w:rFonts w:hint="eastAsia" w:ascii="宋体" w:hAnsi="宋体" w:cs="宋体"/>
                <w:color w:val="FF0000"/>
                <w:kern w:val="0"/>
                <w:sz w:val="24"/>
                <w:highlight w:val="none"/>
                <w:lang w:bidi="ar"/>
              </w:rPr>
              <w:t>类水质标准，满足章党河水质目标，达标率为</w:t>
            </w:r>
            <w:r>
              <w:rPr>
                <w:color w:val="FF0000"/>
                <w:kern w:val="0"/>
                <w:sz w:val="24"/>
                <w:highlight w:val="none"/>
                <w:lang w:bidi="ar"/>
              </w:rPr>
              <w:t>100%</w:t>
            </w:r>
            <w:r>
              <w:rPr>
                <w:rFonts w:hint="eastAsia"/>
                <w:color w:val="FF0000"/>
                <w:kern w:val="0"/>
                <w:sz w:val="24"/>
                <w:highlight w:val="none"/>
                <w:lang w:bidi="ar"/>
              </w:rPr>
              <w:t>。</w:t>
            </w:r>
            <w:r>
              <w:rPr>
                <w:rFonts w:hint="eastAsia" w:ascii="宋体" w:hAnsi="宋体" w:cs="宋体"/>
                <w:color w:val="FF0000"/>
                <w:kern w:val="0"/>
                <w:sz w:val="24"/>
                <w:highlight w:val="none"/>
                <w:lang w:val="en-US" w:eastAsia="zh-CN" w:bidi="ar"/>
              </w:rPr>
              <w:t>阿及堡断面水质监测结果如下表所示：</w:t>
            </w:r>
          </w:p>
          <w:p w14:paraId="1DDD6ACF">
            <w:pPr>
              <w:spacing w:line="360" w:lineRule="auto"/>
              <w:ind w:firstLine="422" w:firstLineChars="200"/>
              <w:jc w:val="center"/>
              <w:rPr>
                <w:rFonts w:hint="default" w:eastAsia="宋体"/>
                <w:b/>
                <w:bCs/>
                <w:color w:val="FF0000"/>
                <w:szCs w:val="21"/>
                <w:highlight w:val="none"/>
                <w:lang w:val="en-US" w:eastAsia="zh-CN"/>
              </w:rPr>
            </w:pPr>
            <w:r>
              <w:rPr>
                <w:b/>
                <w:bCs/>
                <w:color w:val="FF0000"/>
                <w:szCs w:val="21"/>
                <w:highlight w:val="none"/>
              </w:rPr>
              <w:t>表3</w:t>
            </w:r>
            <w:r>
              <w:rPr>
                <w:rFonts w:hint="eastAsia"/>
                <w:b/>
                <w:bCs/>
                <w:color w:val="FF0000"/>
                <w:szCs w:val="21"/>
                <w:highlight w:val="none"/>
              </w:rPr>
              <w:t>-</w:t>
            </w:r>
            <w:r>
              <w:rPr>
                <w:rFonts w:hint="eastAsia"/>
                <w:b/>
                <w:bCs/>
                <w:color w:val="FF0000"/>
                <w:szCs w:val="21"/>
                <w:highlight w:val="none"/>
                <w:lang w:val="en-US" w:eastAsia="zh-CN"/>
              </w:rPr>
              <w:t>4</w:t>
            </w:r>
            <w:r>
              <w:rPr>
                <w:rFonts w:hint="eastAsia"/>
                <w:b/>
                <w:bCs/>
                <w:color w:val="FF0000"/>
                <w:szCs w:val="21"/>
                <w:highlight w:val="none"/>
              </w:rPr>
              <w:t xml:space="preserve">  </w:t>
            </w:r>
            <w:r>
              <w:rPr>
                <w:rFonts w:hint="eastAsia"/>
                <w:b/>
                <w:bCs/>
                <w:color w:val="FF0000"/>
                <w:szCs w:val="21"/>
                <w:highlight w:val="none"/>
                <w:lang w:val="en-US" w:eastAsia="zh-CN"/>
              </w:rPr>
              <w:t>地表水</w:t>
            </w:r>
            <w:r>
              <w:rPr>
                <w:rFonts w:hint="eastAsia"/>
                <w:b/>
                <w:bCs/>
                <w:color w:val="FF0000"/>
                <w:szCs w:val="21"/>
                <w:highlight w:val="none"/>
              </w:rPr>
              <w:t>环境质量现状（监测结果）表</w:t>
            </w:r>
            <w:r>
              <w:rPr>
                <w:rFonts w:hint="eastAsia"/>
                <w:b/>
                <w:bCs/>
                <w:color w:val="FF0000"/>
                <w:szCs w:val="21"/>
                <w:highlight w:val="none"/>
                <w:lang w:val="en-US" w:eastAsia="zh-CN"/>
              </w:rPr>
              <w:t xml:space="preserve">       mg/L</w:t>
            </w:r>
          </w:p>
          <w:tbl>
            <w:tblPr>
              <w:tblStyle w:val="18"/>
              <w:tblW w:w="4806" w:type="pct"/>
              <w:jc w:val="center"/>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28"/>
              <w:gridCol w:w="1414"/>
              <w:gridCol w:w="1553"/>
              <w:gridCol w:w="1259"/>
              <w:gridCol w:w="948"/>
              <w:gridCol w:w="818"/>
              <w:gridCol w:w="838"/>
            </w:tblGrid>
            <w:tr w14:paraId="6FE1726D">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14" w:type="pct"/>
                  <w:tcBorders>
                    <w:top w:val="single" w:color="auto" w:sz="12" w:space="0"/>
                    <w:left w:val="nil"/>
                  </w:tcBorders>
                  <w:noWrap/>
                  <w:vAlign w:val="center"/>
                </w:tcPr>
                <w:p w14:paraId="69C7F383">
                  <w:pPr>
                    <w:pStyle w:val="49"/>
                    <w:rPr>
                      <w:b/>
                      <w:bCs/>
                      <w:color w:val="FF0000"/>
                      <w:sz w:val="21"/>
                      <w:szCs w:val="21"/>
                      <w:highlight w:val="none"/>
                    </w:rPr>
                  </w:pPr>
                  <w:r>
                    <w:rPr>
                      <w:rFonts w:hint="eastAsia"/>
                      <w:b/>
                      <w:bCs/>
                      <w:color w:val="FF0000"/>
                      <w:sz w:val="21"/>
                      <w:szCs w:val="21"/>
                      <w:highlight w:val="none"/>
                    </w:rPr>
                    <w:t>监测点位</w:t>
                  </w:r>
                </w:p>
              </w:tc>
              <w:tc>
                <w:tcPr>
                  <w:tcW w:w="866" w:type="pct"/>
                  <w:tcBorders>
                    <w:top w:val="single" w:color="auto" w:sz="12" w:space="0"/>
                    <w:bottom w:val="single" w:color="auto" w:sz="4" w:space="0"/>
                  </w:tcBorders>
                  <w:noWrap/>
                  <w:vAlign w:val="center"/>
                </w:tcPr>
                <w:p w14:paraId="75E63663">
                  <w:pPr>
                    <w:pStyle w:val="49"/>
                    <w:rPr>
                      <w:rFonts w:hint="default" w:eastAsia="宋体"/>
                      <w:b/>
                      <w:bCs/>
                      <w:color w:val="FF0000"/>
                      <w:sz w:val="21"/>
                      <w:szCs w:val="21"/>
                      <w:highlight w:val="none"/>
                      <w:lang w:val="en-US" w:eastAsia="zh-CN"/>
                    </w:rPr>
                  </w:pPr>
                  <w:r>
                    <w:rPr>
                      <w:rFonts w:hint="eastAsia"/>
                      <w:b/>
                      <w:bCs/>
                      <w:color w:val="FF0000"/>
                      <w:sz w:val="21"/>
                      <w:szCs w:val="21"/>
                      <w:highlight w:val="none"/>
                      <w:lang w:val="en-US" w:eastAsia="zh-CN"/>
                    </w:rPr>
                    <w:t>化学需氧量</w:t>
                  </w:r>
                </w:p>
              </w:tc>
              <w:tc>
                <w:tcPr>
                  <w:tcW w:w="951" w:type="pct"/>
                  <w:tcBorders>
                    <w:top w:val="single" w:color="auto" w:sz="12" w:space="0"/>
                  </w:tcBorders>
                  <w:noWrap/>
                  <w:vAlign w:val="center"/>
                </w:tcPr>
                <w:p w14:paraId="323E3136">
                  <w:pPr>
                    <w:pStyle w:val="49"/>
                    <w:rPr>
                      <w:rFonts w:hint="default" w:eastAsia="宋体"/>
                      <w:b/>
                      <w:bCs/>
                      <w:color w:val="FF0000"/>
                      <w:sz w:val="21"/>
                      <w:szCs w:val="21"/>
                      <w:highlight w:val="none"/>
                      <w:lang w:val="en-US" w:eastAsia="zh-CN"/>
                    </w:rPr>
                  </w:pPr>
                  <w:r>
                    <w:rPr>
                      <w:rFonts w:hint="eastAsia"/>
                      <w:b/>
                      <w:bCs/>
                      <w:color w:val="FF0000"/>
                      <w:sz w:val="21"/>
                      <w:szCs w:val="21"/>
                      <w:highlight w:val="none"/>
                      <w:lang w:val="en-US" w:eastAsia="zh-CN"/>
                    </w:rPr>
                    <w:t>高锰酸盐指数</w:t>
                  </w:r>
                </w:p>
              </w:tc>
              <w:tc>
                <w:tcPr>
                  <w:tcW w:w="771" w:type="pct"/>
                  <w:tcBorders>
                    <w:top w:val="single" w:color="auto" w:sz="12" w:space="0"/>
                  </w:tcBorders>
                  <w:noWrap/>
                  <w:vAlign w:val="center"/>
                </w:tcPr>
                <w:p w14:paraId="3842B329">
                  <w:pPr>
                    <w:pStyle w:val="49"/>
                    <w:rPr>
                      <w:rFonts w:hint="default" w:eastAsia="宋体"/>
                      <w:b/>
                      <w:bCs/>
                      <w:color w:val="FF0000"/>
                      <w:sz w:val="21"/>
                      <w:szCs w:val="21"/>
                      <w:highlight w:val="none"/>
                      <w:lang w:val="en-US" w:eastAsia="zh-CN"/>
                    </w:rPr>
                  </w:pPr>
                  <w:r>
                    <w:rPr>
                      <w:rFonts w:hint="eastAsia"/>
                      <w:b/>
                      <w:bCs/>
                      <w:color w:val="FF0000"/>
                      <w:sz w:val="21"/>
                      <w:szCs w:val="21"/>
                      <w:highlight w:val="none"/>
                      <w:lang w:val="en-US" w:eastAsia="zh-CN"/>
                    </w:rPr>
                    <w:t>BOD</w:t>
                  </w:r>
                  <w:r>
                    <w:rPr>
                      <w:rFonts w:hint="eastAsia"/>
                      <w:b/>
                      <w:bCs/>
                      <w:color w:val="FF0000"/>
                      <w:sz w:val="21"/>
                      <w:szCs w:val="21"/>
                      <w:highlight w:val="none"/>
                      <w:vertAlign w:val="subscript"/>
                      <w:lang w:val="en-US" w:eastAsia="zh-CN"/>
                    </w:rPr>
                    <w:t>5</w:t>
                  </w:r>
                </w:p>
              </w:tc>
              <w:tc>
                <w:tcPr>
                  <w:tcW w:w="580" w:type="pct"/>
                  <w:tcBorders>
                    <w:top w:val="single" w:color="auto" w:sz="12" w:space="0"/>
                  </w:tcBorders>
                  <w:noWrap/>
                  <w:vAlign w:val="center"/>
                </w:tcPr>
                <w:p w14:paraId="4CB984C8">
                  <w:pPr>
                    <w:pStyle w:val="49"/>
                    <w:rPr>
                      <w:rFonts w:hint="eastAsia" w:eastAsia="宋体"/>
                      <w:b/>
                      <w:bCs/>
                      <w:color w:val="FF0000"/>
                      <w:sz w:val="21"/>
                      <w:szCs w:val="21"/>
                      <w:highlight w:val="none"/>
                      <w:lang w:val="en-US" w:eastAsia="zh-CN"/>
                    </w:rPr>
                  </w:pPr>
                  <w:r>
                    <w:rPr>
                      <w:rFonts w:hint="eastAsia"/>
                      <w:b/>
                      <w:bCs/>
                      <w:color w:val="FF0000"/>
                      <w:sz w:val="21"/>
                      <w:szCs w:val="21"/>
                      <w:highlight w:val="none"/>
                      <w:lang w:val="en-US" w:eastAsia="zh-CN"/>
                    </w:rPr>
                    <w:t>石油类</w:t>
                  </w:r>
                </w:p>
              </w:tc>
              <w:tc>
                <w:tcPr>
                  <w:tcW w:w="501" w:type="pct"/>
                  <w:tcBorders>
                    <w:top w:val="single" w:color="auto" w:sz="12" w:space="0"/>
                    <w:right w:val="nil"/>
                  </w:tcBorders>
                  <w:noWrap/>
                  <w:vAlign w:val="center"/>
                </w:tcPr>
                <w:p w14:paraId="76ADD050">
                  <w:pPr>
                    <w:pStyle w:val="49"/>
                    <w:rPr>
                      <w:rFonts w:hint="eastAsia" w:eastAsia="宋体"/>
                      <w:b/>
                      <w:bCs/>
                      <w:color w:val="FF0000"/>
                      <w:sz w:val="21"/>
                      <w:szCs w:val="21"/>
                      <w:highlight w:val="none"/>
                      <w:lang w:val="en-US" w:eastAsia="zh-CN"/>
                    </w:rPr>
                  </w:pPr>
                  <w:r>
                    <w:rPr>
                      <w:rFonts w:hint="eastAsia"/>
                      <w:b/>
                      <w:bCs/>
                      <w:color w:val="FF0000"/>
                      <w:sz w:val="21"/>
                      <w:szCs w:val="21"/>
                      <w:highlight w:val="none"/>
                      <w:lang w:val="en-US" w:eastAsia="zh-CN"/>
                    </w:rPr>
                    <w:t>氨氮</w:t>
                  </w:r>
                </w:p>
              </w:tc>
              <w:tc>
                <w:tcPr>
                  <w:tcW w:w="513" w:type="pct"/>
                  <w:tcBorders>
                    <w:top w:val="single" w:color="auto" w:sz="12" w:space="0"/>
                    <w:right w:val="nil"/>
                  </w:tcBorders>
                  <w:noWrap/>
                  <w:vAlign w:val="center"/>
                </w:tcPr>
                <w:p w14:paraId="78108B87">
                  <w:pPr>
                    <w:pStyle w:val="49"/>
                    <w:rPr>
                      <w:b/>
                      <w:bCs/>
                      <w:color w:val="FF0000"/>
                      <w:sz w:val="21"/>
                      <w:szCs w:val="21"/>
                      <w:highlight w:val="none"/>
                    </w:rPr>
                  </w:pPr>
                  <w:r>
                    <w:rPr>
                      <w:rFonts w:hint="eastAsia"/>
                      <w:b/>
                      <w:bCs/>
                      <w:color w:val="FF0000"/>
                      <w:sz w:val="21"/>
                      <w:szCs w:val="21"/>
                      <w:highlight w:val="none"/>
                      <w:lang w:val="en-US" w:eastAsia="zh-CN"/>
                    </w:rPr>
                    <w:t>总磷</w:t>
                  </w:r>
                </w:p>
              </w:tc>
            </w:tr>
            <w:tr w14:paraId="52CED131">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4" w:type="pct"/>
                  <w:tcBorders>
                    <w:top w:val="single" w:color="auto" w:sz="4" w:space="0"/>
                    <w:left w:val="nil"/>
                    <w:bottom w:val="single" w:color="auto" w:sz="4" w:space="0"/>
                  </w:tcBorders>
                  <w:noWrap/>
                  <w:vAlign w:val="center"/>
                </w:tcPr>
                <w:p w14:paraId="1652AF25">
                  <w:pPr>
                    <w:pStyle w:val="49"/>
                    <w:rPr>
                      <w:color w:val="FF0000"/>
                      <w:sz w:val="21"/>
                      <w:szCs w:val="21"/>
                      <w:highlight w:val="none"/>
                    </w:rPr>
                  </w:pPr>
                  <w:r>
                    <w:rPr>
                      <w:rFonts w:hint="eastAsia"/>
                      <w:color w:val="FF0000"/>
                      <w:sz w:val="21"/>
                      <w:szCs w:val="21"/>
                      <w:highlight w:val="none"/>
                    </w:rPr>
                    <w:t>阿及堡断面</w:t>
                  </w:r>
                </w:p>
              </w:tc>
              <w:tc>
                <w:tcPr>
                  <w:tcW w:w="866" w:type="pct"/>
                  <w:tcBorders>
                    <w:top w:val="single" w:color="auto" w:sz="4" w:space="0"/>
                    <w:bottom w:val="single" w:color="auto" w:sz="4" w:space="0"/>
                  </w:tcBorders>
                  <w:noWrap/>
                  <w:vAlign w:val="center"/>
                </w:tcPr>
                <w:p w14:paraId="6A515088">
                  <w:pPr>
                    <w:pStyle w:val="49"/>
                    <w:rPr>
                      <w:rFonts w:hint="default" w:eastAsia="宋体"/>
                      <w:color w:val="FF0000"/>
                      <w:sz w:val="21"/>
                      <w:szCs w:val="21"/>
                      <w:highlight w:val="none"/>
                      <w:lang w:val="en-US" w:eastAsia="zh-CN"/>
                    </w:rPr>
                  </w:pPr>
                  <w:r>
                    <w:rPr>
                      <w:rFonts w:hint="eastAsia"/>
                      <w:color w:val="FF0000"/>
                      <w:sz w:val="21"/>
                      <w:szCs w:val="21"/>
                      <w:highlight w:val="none"/>
                      <w:lang w:val="en-US" w:eastAsia="zh-CN"/>
                    </w:rPr>
                    <w:t>9.1</w:t>
                  </w:r>
                </w:p>
              </w:tc>
              <w:tc>
                <w:tcPr>
                  <w:tcW w:w="951" w:type="pct"/>
                  <w:tcBorders>
                    <w:top w:val="single" w:color="auto" w:sz="4" w:space="0"/>
                    <w:bottom w:val="single" w:color="auto" w:sz="4" w:space="0"/>
                  </w:tcBorders>
                  <w:noWrap/>
                  <w:vAlign w:val="center"/>
                </w:tcPr>
                <w:p w14:paraId="749382A6">
                  <w:pPr>
                    <w:pStyle w:val="49"/>
                    <w:rPr>
                      <w:rFonts w:hint="default" w:eastAsia="宋体"/>
                      <w:color w:val="FF0000"/>
                      <w:sz w:val="21"/>
                      <w:szCs w:val="21"/>
                      <w:highlight w:val="none"/>
                      <w:lang w:val="en-US" w:eastAsia="zh-CN"/>
                    </w:rPr>
                  </w:pPr>
                  <w:r>
                    <w:rPr>
                      <w:rFonts w:hint="eastAsia"/>
                      <w:color w:val="FF0000"/>
                      <w:sz w:val="21"/>
                      <w:szCs w:val="21"/>
                      <w:highlight w:val="none"/>
                      <w:lang w:val="en-US" w:eastAsia="zh-CN"/>
                    </w:rPr>
                    <w:t>1.9</w:t>
                  </w:r>
                </w:p>
              </w:tc>
              <w:tc>
                <w:tcPr>
                  <w:tcW w:w="771" w:type="pct"/>
                  <w:tcBorders>
                    <w:top w:val="single" w:color="auto" w:sz="4" w:space="0"/>
                    <w:bottom w:val="single" w:color="auto" w:sz="4" w:space="0"/>
                  </w:tcBorders>
                  <w:noWrap/>
                  <w:vAlign w:val="center"/>
                </w:tcPr>
                <w:p w14:paraId="7BAD2458">
                  <w:pPr>
                    <w:pStyle w:val="49"/>
                    <w:rPr>
                      <w:rFonts w:hint="default" w:eastAsia="宋体"/>
                      <w:color w:val="FF0000"/>
                      <w:sz w:val="21"/>
                      <w:szCs w:val="21"/>
                      <w:highlight w:val="none"/>
                      <w:lang w:val="en-US" w:eastAsia="zh-CN"/>
                    </w:rPr>
                  </w:pPr>
                  <w:r>
                    <w:rPr>
                      <w:rFonts w:hint="eastAsia"/>
                      <w:color w:val="FF0000"/>
                      <w:sz w:val="21"/>
                      <w:szCs w:val="21"/>
                      <w:highlight w:val="none"/>
                      <w:lang w:val="en-US" w:eastAsia="zh-CN"/>
                    </w:rPr>
                    <w:t>1.9</w:t>
                  </w:r>
                </w:p>
              </w:tc>
              <w:tc>
                <w:tcPr>
                  <w:tcW w:w="580" w:type="pct"/>
                  <w:tcBorders>
                    <w:top w:val="single" w:color="auto" w:sz="4" w:space="0"/>
                    <w:bottom w:val="single" w:color="auto" w:sz="4" w:space="0"/>
                  </w:tcBorders>
                  <w:noWrap/>
                  <w:vAlign w:val="center"/>
                </w:tcPr>
                <w:p w14:paraId="3B183673">
                  <w:pPr>
                    <w:pStyle w:val="49"/>
                    <w:rPr>
                      <w:rFonts w:hint="default" w:eastAsia="宋体"/>
                      <w:color w:val="FF0000"/>
                      <w:sz w:val="21"/>
                      <w:szCs w:val="21"/>
                      <w:highlight w:val="none"/>
                      <w:lang w:val="en-US" w:eastAsia="zh-CN"/>
                    </w:rPr>
                  </w:pPr>
                  <w:r>
                    <w:rPr>
                      <w:rFonts w:hint="eastAsia"/>
                      <w:color w:val="FF0000"/>
                      <w:sz w:val="21"/>
                      <w:szCs w:val="21"/>
                      <w:highlight w:val="none"/>
                      <w:lang w:val="en-US" w:eastAsia="zh-CN"/>
                    </w:rPr>
                    <w:t>0.01</w:t>
                  </w:r>
                </w:p>
              </w:tc>
              <w:tc>
                <w:tcPr>
                  <w:tcW w:w="501" w:type="pct"/>
                  <w:tcBorders>
                    <w:top w:val="single" w:color="auto" w:sz="4" w:space="0"/>
                    <w:bottom w:val="single" w:color="auto" w:sz="4" w:space="0"/>
                    <w:right w:val="nil"/>
                  </w:tcBorders>
                  <w:noWrap/>
                  <w:vAlign w:val="center"/>
                </w:tcPr>
                <w:p w14:paraId="443E15BD">
                  <w:pPr>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0.15</w:t>
                  </w:r>
                </w:p>
              </w:tc>
              <w:tc>
                <w:tcPr>
                  <w:tcW w:w="513" w:type="pct"/>
                  <w:tcBorders>
                    <w:top w:val="single" w:color="auto" w:sz="4" w:space="0"/>
                    <w:bottom w:val="single" w:color="auto" w:sz="4" w:space="0"/>
                    <w:right w:val="nil"/>
                  </w:tcBorders>
                  <w:noWrap/>
                  <w:vAlign w:val="center"/>
                </w:tcPr>
                <w:p w14:paraId="14E4B7F7">
                  <w:pPr>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0.075</w:t>
                  </w:r>
                </w:p>
              </w:tc>
            </w:tr>
            <w:tr w14:paraId="158F3E3F">
              <w:tblPrEx>
                <w:tblBorders>
                  <w:top w:val="single" w:color="auto" w:sz="4" w:space="0"/>
                  <w:left w:val="single" w:color="auto" w:sz="4" w:space="0"/>
                  <w:bottom w:val="single" w:color="auto" w:sz="12"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814" w:type="pct"/>
                  <w:tcBorders>
                    <w:top w:val="single" w:color="auto" w:sz="4" w:space="0"/>
                    <w:left w:val="nil"/>
                  </w:tcBorders>
                  <w:noWrap/>
                  <w:vAlign w:val="center"/>
                </w:tcPr>
                <w:p w14:paraId="1B2EAFE9">
                  <w:pPr>
                    <w:pStyle w:val="49"/>
                    <w:rPr>
                      <w:rFonts w:hint="default" w:eastAsia="宋体"/>
                      <w:color w:val="FF0000"/>
                      <w:sz w:val="21"/>
                      <w:szCs w:val="21"/>
                      <w:highlight w:val="none"/>
                      <w:lang w:val="en-US" w:eastAsia="zh-CN"/>
                    </w:rPr>
                  </w:pPr>
                  <w:r>
                    <w:rPr>
                      <w:rFonts w:hint="eastAsia"/>
                      <w:color w:val="FF0000"/>
                      <w:sz w:val="21"/>
                      <w:szCs w:val="21"/>
                      <w:highlight w:val="none"/>
                      <w:lang w:val="en-US" w:eastAsia="zh-CN"/>
                    </w:rPr>
                    <w:t>水质类别</w:t>
                  </w:r>
                </w:p>
              </w:tc>
              <w:tc>
                <w:tcPr>
                  <w:tcW w:w="866" w:type="pct"/>
                  <w:tcBorders>
                    <w:top w:val="single" w:color="auto" w:sz="4" w:space="0"/>
                  </w:tcBorders>
                  <w:noWrap/>
                  <w:vAlign w:val="center"/>
                </w:tcPr>
                <w:p w14:paraId="6536A1D0">
                  <w:pPr>
                    <w:pStyle w:val="49"/>
                    <w:rPr>
                      <w:rFonts w:hint="eastAsia"/>
                      <w:color w:val="FF0000"/>
                      <w:sz w:val="21"/>
                      <w:szCs w:val="21"/>
                      <w:highlight w:val="none"/>
                      <w:lang w:val="en-US" w:eastAsia="zh-CN"/>
                    </w:rPr>
                  </w:pPr>
                  <w:r>
                    <w:rPr>
                      <w:rFonts w:hint="eastAsia" w:ascii="宋体" w:hAnsi="宋体" w:eastAsia="宋体" w:cs="宋体"/>
                      <w:color w:val="FF0000"/>
                      <w:kern w:val="0"/>
                      <w:sz w:val="21"/>
                      <w:szCs w:val="21"/>
                      <w:highlight w:val="none"/>
                      <w:lang w:bidi="ar"/>
                    </w:rPr>
                    <w:t>Ⅰ</w:t>
                  </w:r>
                </w:p>
              </w:tc>
              <w:tc>
                <w:tcPr>
                  <w:tcW w:w="951" w:type="pct"/>
                  <w:tcBorders>
                    <w:top w:val="single" w:color="auto" w:sz="4" w:space="0"/>
                  </w:tcBorders>
                  <w:noWrap/>
                  <w:vAlign w:val="center"/>
                </w:tcPr>
                <w:p w14:paraId="004374EA">
                  <w:pPr>
                    <w:pStyle w:val="49"/>
                    <w:rPr>
                      <w:rFonts w:hint="eastAsia"/>
                      <w:color w:val="FF0000"/>
                      <w:sz w:val="21"/>
                      <w:szCs w:val="21"/>
                      <w:highlight w:val="none"/>
                      <w:lang w:val="en-US" w:eastAsia="zh-CN"/>
                    </w:rPr>
                  </w:pPr>
                  <w:r>
                    <w:rPr>
                      <w:rFonts w:hint="eastAsia" w:ascii="宋体" w:hAnsi="宋体" w:eastAsia="宋体" w:cs="宋体"/>
                      <w:color w:val="FF0000"/>
                      <w:kern w:val="0"/>
                      <w:sz w:val="21"/>
                      <w:szCs w:val="21"/>
                      <w:highlight w:val="none"/>
                      <w:lang w:bidi="ar"/>
                    </w:rPr>
                    <w:t>Ⅰ</w:t>
                  </w:r>
                </w:p>
              </w:tc>
              <w:tc>
                <w:tcPr>
                  <w:tcW w:w="771" w:type="pct"/>
                  <w:tcBorders>
                    <w:top w:val="single" w:color="auto" w:sz="4" w:space="0"/>
                  </w:tcBorders>
                  <w:noWrap/>
                  <w:vAlign w:val="center"/>
                </w:tcPr>
                <w:p w14:paraId="1973DE86">
                  <w:pPr>
                    <w:pStyle w:val="49"/>
                    <w:rPr>
                      <w:rFonts w:hint="eastAsia"/>
                      <w:color w:val="FF0000"/>
                      <w:sz w:val="21"/>
                      <w:szCs w:val="21"/>
                      <w:highlight w:val="none"/>
                      <w:lang w:val="en-US" w:eastAsia="zh-CN"/>
                    </w:rPr>
                  </w:pPr>
                  <w:r>
                    <w:rPr>
                      <w:rFonts w:hint="eastAsia" w:ascii="宋体" w:hAnsi="宋体" w:eastAsia="宋体" w:cs="宋体"/>
                      <w:color w:val="FF0000"/>
                      <w:kern w:val="0"/>
                      <w:sz w:val="21"/>
                      <w:szCs w:val="21"/>
                      <w:highlight w:val="none"/>
                      <w:lang w:bidi="ar"/>
                    </w:rPr>
                    <w:t>Ⅰ</w:t>
                  </w:r>
                </w:p>
              </w:tc>
              <w:tc>
                <w:tcPr>
                  <w:tcW w:w="580" w:type="pct"/>
                  <w:tcBorders>
                    <w:top w:val="single" w:color="auto" w:sz="4" w:space="0"/>
                  </w:tcBorders>
                  <w:noWrap/>
                  <w:vAlign w:val="center"/>
                </w:tcPr>
                <w:p w14:paraId="219870B9">
                  <w:pPr>
                    <w:pStyle w:val="49"/>
                    <w:rPr>
                      <w:rFonts w:hint="eastAsia"/>
                      <w:color w:val="FF0000"/>
                      <w:sz w:val="21"/>
                      <w:szCs w:val="21"/>
                      <w:highlight w:val="none"/>
                      <w:lang w:val="en-US" w:eastAsia="zh-CN"/>
                    </w:rPr>
                  </w:pPr>
                  <w:r>
                    <w:rPr>
                      <w:rFonts w:hint="eastAsia" w:ascii="宋体" w:hAnsi="宋体" w:eastAsia="宋体" w:cs="宋体"/>
                      <w:color w:val="FF0000"/>
                      <w:kern w:val="0"/>
                      <w:sz w:val="21"/>
                      <w:szCs w:val="21"/>
                      <w:highlight w:val="none"/>
                      <w:lang w:bidi="ar"/>
                    </w:rPr>
                    <w:t>Ⅰ</w:t>
                  </w:r>
                </w:p>
              </w:tc>
              <w:tc>
                <w:tcPr>
                  <w:tcW w:w="501" w:type="pct"/>
                  <w:tcBorders>
                    <w:top w:val="single" w:color="auto" w:sz="4" w:space="0"/>
                    <w:right w:val="nil"/>
                  </w:tcBorders>
                  <w:noWrap/>
                  <w:vAlign w:val="center"/>
                </w:tcPr>
                <w:p w14:paraId="0E398B8A">
                  <w:pPr>
                    <w:jc w:val="center"/>
                    <w:rPr>
                      <w:rFonts w:hint="eastAsia"/>
                      <w:color w:val="FF0000"/>
                      <w:sz w:val="21"/>
                      <w:szCs w:val="21"/>
                      <w:highlight w:val="none"/>
                      <w:lang w:val="en-US" w:eastAsia="zh-CN"/>
                    </w:rPr>
                  </w:pPr>
                  <w:r>
                    <w:rPr>
                      <w:rFonts w:hint="eastAsia" w:ascii="宋体" w:hAnsi="宋体" w:eastAsia="宋体" w:cs="宋体"/>
                      <w:color w:val="FF0000"/>
                      <w:kern w:val="0"/>
                      <w:sz w:val="21"/>
                      <w:szCs w:val="21"/>
                      <w:highlight w:val="none"/>
                      <w:lang w:bidi="ar"/>
                    </w:rPr>
                    <w:t>Ⅰ</w:t>
                  </w:r>
                </w:p>
              </w:tc>
              <w:tc>
                <w:tcPr>
                  <w:tcW w:w="513" w:type="pct"/>
                  <w:tcBorders>
                    <w:top w:val="single" w:color="auto" w:sz="4" w:space="0"/>
                    <w:right w:val="nil"/>
                  </w:tcBorders>
                  <w:noWrap/>
                  <w:vAlign w:val="center"/>
                </w:tcPr>
                <w:p w14:paraId="192EA41A">
                  <w:pPr>
                    <w:jc w:val="center"/>
                    <w:rPr>
                      <w:rFonts w:hint="eastAsia"/>
                      <w:color w:val="FF0000"/>
                      <w:sz w:val="21"/>
                      <w:szCs w:val="21"/>
                      <w:highlight w:val="none"/>
                      <w:lang w:val="en-US" w:eastAsia="zh-CN"/>
                    </w:rPr>
                  </w:pPr>
                  <w:r>
                    <w:rPr>
                      <w:rFonts w:hint="eastAsia" w:ascii="宋体" w:hAnsi="宋体" w:eastAsia="宋体" w:cs="宋体"/>
                      <w:color w:val="FF0000"/>
                      <w:kern w:val="0"/>
                      <w:sz w:val="21"/>
                      <w:szCs w:val="21"/>
                      <w:highlight w:val="none"/>
                      <w:lang w:bidi="ar"/>
                    </w:rPr>
                    <w:t>Ⅱ</w:t>
                  </w:r>
                </w:p>
              </w:tc>
            </w:tr>
          </w:tbl>
          <w:p w14:paraId="149A9853">
            <w:pPr>
              <w:widowControl/>
              <w:spacing w:line="360" w:lineRule="auto"/>
              <w:jc w:val="left"/>
              <w:rPr>
                <w:color w:val="000000" w:themeColor="text1"/>
                <w:highlight w:val="none"/>
                <w14:textFill>
                  <w14:solidFill>
                    <w14:schemeClr w14:val="tx1"/>
                  </w14:solidFill>
                </w14:textFill>
              </w:rPr>
            </w:pPr>
            <w:r>
              <w:rPr>
                <w:rFonts w:hint="eastAsia"/>
                <w:b/>
                <w:bCs/>
                <w:color w:val="000000" w:themeColor="text1"/>
                <w:kern w:val="0"/>
                <w:sz w:val="24"/>
                <w:highlight w:val="none"/>
                <w:lang w:bidi="ar"/>
                <w14:textFill>
                  <w14:solidFill>
                    <w14:schemeClr w14:val="tx1"/>
                  </w14:solidFill>
                </w14:textFill>
              </w:rPr>
              <w:t>三</w:t>
            </w:r>
            <w:r>
              <w:rPr>
                <w:rFonts w:hint="eastAsia" w:ascii="宋体" w:hAnsi="宋体" w:cs="宋体"/>
                <w:b/>
                <w:bCs/>
                <w:color w:val="000000" w:themeColor="text1"/>
                <w:kern w:val="0"/>
                <w:sz w:val="24"/>
                <w:highlight w:val="none"/>
                <w:lang w:bidi="ar"/>
                <w14:textFill>
                  <w14:solidFill>
                    <w14:schemeClr w14:val="tx1"/>
                  </w14:solidFill>
                </w14:textFill>
              </w:rPr>
              <w:t>、声环境质量现状</w:t>
            </w:r>
          </w:p>
          <w:p w14:paraId="28630FB0">
            <w:pPr>
              <w:pStyle w:val="11"/>
              <w:spacing w:after="0" w:line="360" w:lineRule="auto"/>
              <w:ind w:left="0" w:leftChars="0" w:firstLine="480" w:firstLineChars="200"/>
              <w:rPr>
                <w:color w:val="000000" w:themeColor="text1"/>
                <w:sz w:val="24"/>
                <w:highlight w:val="none"/>
                <w14:textFill>
                  <w14:solidFill>
                    <w14:schemeClr w14:val="tx1"/>
                  </w14:solidFill>
                </w14:textFill>
              </w:rPr>
            </w:pPr>
            <w:r>
              <w:rPr>
                <w:rFonts w:ascii="Times New Roman" w:hAnsi="Times New Roman" w:eastAsia="宋体" w:cs="Times New Roman"/>
                <w:sz w:val="24"/>
                <w:highlight w:val="none"/>
              </w:rPr>
              <w:t>本项目厂界外周边50米范围内不存在声环境保护目标，因此不需开展声环境质量现状监测。</w:t>
            </w:r>
          </w:p>
          <w:p w14:paraId="3BFC058A">
            <w:pPr>
              <w:widowControl/>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b/>
                <w:bCs/>
                <w:color w:val="000000" w:themeColor="text1"/>
                <w:kern w:val="0"/>
                <w:sz w:val="24"/>
                <w:highlight w:val="none"/>
                <w:lang w:bidi="ar"/>
                <w14:textFill>
                  <w14:solidFill>
                    <w14:schemeClr w14:val="tx1"/>
                  </w14:solidFill>
                </w14:textFill>
              </w:rPr>
              <w:t>四、生态环境质量现状</w:t>
            </w:r>
          </w:p>
          <w:p w14:paraId="6000EC12">
            <w:pPr>
              <w:widowControl/>
              <w:spacing w:line="360" w:lineRule="auto"/>
              <w:ind w:firstLine="480" w:firstLineChars="200"/>
              <w:jc w:val="left"/>
              <w:rPr>
                <w:rFonts w:ascii="宋体" w:hAnsi="宋体" w:cs="宋体"/>
                <w:color w:val="000000" w:themeColor="text1"/>
                <w:kern w:val="0"/>
                <w:sz w:val="24"/>
                <w:highlight w:val="none"/>
                <w:lang w:bidi="ar"/>
                <w14:textFill>
                  <w14:solidFill>
                    <w14:schemeClr w14:val="tx1"/>
                  </w14:solidFill>
                </w14:textFill>
              </w:rPr>
            </w:pPr>
            <w:r>
              <w:rPr>
                <w:rFonts w:ascii="Times New Roman" w:hAnsi="Times New Roman" w:cs="Times New Roman"/>
                <w:color w:val="000000" w:themeColor="text1"/>
                <w:sz w:val="24"/>
                <w:highlight w:val="none"/>
                <w14:textFill>
                  <w14:solidFill>
                    <w14:schemeClr w14:val="tx1"/>
                  </w14:solidFill>
                </w14:textFill>
              </w:rPr>
              <w:t>本项目属于污染影响类项目，项目</w:t>
            </w:r>
            <w:r>
              <w:rPr>
                <w:rFonts w:ascii="Times New Roman" w:hAnsi="Times New Roman" w:cs="Times New Roman"/>
                <w:sz w:val="24"/>
                <w:highlight w:val="none"/>
              </w:rPr>
              <w:t>用地范围内无生态环境保护目标，无需开展生态环境现状调查。</w:t>
            </w:r>
          </w:p>
          <w:p w14:paraId="36BEEDD8">
            <w:pPr>
              <w:widowControl/>
              <w:spacing w:line="360" w:lineRule="auto"/>
              <w:jc w:val="left"/>
              <w:rPr>
                <w:rFonts w:ascii="宋体" w:hAnsi="宋体" w:cs="宋体"/>
                <w:color w:val="000000" w:themeColor="text1"/>
                <w:sz w:val="24"/>
                <w:highlight w:val="none"/>
                <w14:textFill>
                  <w14:solidFill>
                    <w14:schemeClr w14:val="tx1"/>
                  </w14:solidFill>
                </w14:textFill>
              </w:rPr>
            </w:pPr>
            <w:r>
              <w:rPr>
                <w:rFonts w:hint="eastAsia" w:ascii="宋体" w:hAnsi="宋体" w:cs="宋体"/>
                <w:b/>
                <w:bCs/>
                <w:color w:val="000000" w:themeColor="text1"/>
                <w:kern w:val="0"/>
                <w:sz w:val="24"/>
                <w:highlight w:val="none"/>
                <w:lang w:bidi="ar"/>
                <w14:textFill>
                  <w14:solidFill>
                    <w14:schemeClr w14:val="tx1"/>
                  </w14:solidFill>
                </w14:textFill>
              </w:rPr>
              <w:t>五、地下水、土壤环境质量现状</w:t>
            </w:r>
          </w:p>
          <w:p w14:paraId="6EB4D9A4">
            <w:pPr>
              <w:widowControl/>
              <w:spacing w:line="360" w:lineRule="auto"/>
              <w:ind w:firstLine="48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根据《建设项目环境影响报告表编制技术指南（污染影响类）（试行）》要求原则上不开展地下水、土壤环境质量现状调查，且</w:t>
            </w:r>
            <w:r>
              <w:rPr>
                <w:rFonts w:hint="eastAsia" w:ascii="宋体" w:hAnsi="宋体" w:cs="宋体"/>
                <w:color w:val="000000" w:themeColor="text1"/>
                <w:kern w:val="0"/>
                <w:sz w:val="24"/>
                <w:highlight w:val="none"/>
                <w:lang w:val="en-US" w:eastAsia="zh-CN" w:bidi="ar"/>
                <w14:textFill>
                  <w14:solidFill>
                    <w14:schemeClr w14:val="tx1"/>
                  </w14:solidFill>
                </w14:textFill>
              </w:rPr>
              <w:t>本项目</w:t>
            </w:r>
            <w:r>
              <w:rPr>
                <w:rFonts w:hint="eastAsia" w:ascii="宋体" w:hAnsi="宋体" w:cs="宋体"/>
                <w:color w:val="000000" w:themeColor="text1"/>
                <w:kern w:val="0"/>
                <w:sz w:val="24"/>
                <w:highlight w:val="none"/>
                <w:lang w:bidi="ar"/>
                <w14:textFill>
                  <w14:solidFill>
                    <w14:schemeClr w14:val="tx1"/>
                  </w14:solidFill>
                </w14:textFill>
              </w:rPr>
              <w:t>在采取相应防渗措施后，不存在土壤、地下水环境污染途径，故本次评价无需开展地下水、土壤环境质量现状调查。</w:t>
            </w:r>
          </w:p>
        </w:tc>
      </w:tr>
      <w:tr w14:paraId="4408E73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348" w:type="dxa"/>
            <w:vAlign w:val="center"/>
          </w:tcPr>
          <w:p w14:paraId="36FC1F81">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环境</w:t>
            </w:r>
          </w:p>
          <w:p w14:paraId="0814469B">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保护</w:t>
            </w:r>
          </w:p>
          <w:p w14:paraId="5656FE8B">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目标</w:t>
            </w:r>
          </w:p>
        </w:tc>
        <w:tc>
          <w:tcPr>
            <w:tcW w:w="8713" w:type="dxa"/>
            <w:vAlign w:val="center"/>
          </w:tcPr>
          <w:p w14:paraId="784C822F">
            <w:pPr>
              <w:widowControl/>
              <w:spacing w:line="360" w:lineRule="auto"/>
              <w:jc w:val="left"/>
              <w:rPr>
                <w:color w:val="000000" w:themeColor="text1"/>
                <w:highlight w:val="none"/>
                <w14:textFill>
                  <w14:solidFill>
                    <w14:schemeClr w14:val="tx1"/>
                  </w14:solidFill>
                </w14:textFill>
              </w:rPr>
            </w:pPr>
            <w:r>
              <w:rPr>
                <w:rFonts w:hint="eastAsia"/>
                <w:b/>
                <w:bCs/>
                <w:color w:val="000000" w:themeColor="text1"/>
                <w:kern w:val="0"/>
                <w:sz w:val="24"/>
                <w:highlight w:val="none"/>
                <w:lang w:bidi="ar"/>
                <w14:textFill>
                  <w14:solidFill>
                    <w14:schemeClr w14:val="tx1"/>
                  </w14:solidFill>
                </w14:textFill>
              </w:rPr>
              <w:t>一</w:t>
            </w:r>
            <w:r>
              <w:rPr>
                <w:rFonts w:hint="eastAsia" w:ascii="宋体" w:hAnsi="宋体" w:cs="宋体"/>
                <w:b/>
                <w:bCs/>
                <w:color w:val="000000" w:themeColor="text1"/>
                <w:kern w:val="0"/>
                <w:sz w:val="24"/>
                <w:highlight w:val="none"/>
                <w:lang w:bidi="ar"/>
                <w14:textFill>
                  <w14:solidFill>
                    <w14:schemeClr w14:val="tx1"/>
                  </w14:solidFill>
                </w14:textFill>
              </w:rPr>
              <w:t>、大气环境</w:t>
            </w:r>
          </w:p>
          <w:p w14:paraId="149CEC7B">
            <w:pPr>
              <w:spacing w:line="360" w:lineRule="auto"/>
              <w:ind w:firstLine="480" w:firstLineChars="200"/>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本项目位于</w:t>
            </w:r>
            <w:r>
              <w:rPr>
                <w:color w:val="000000" w:themeColor="text1"/>
                <w:sz w:val="24"/>
                <w:highlight w:val="none"/>
                <w14:textFill>
                  <w14:solidFill>
                    <w14:schemeClr w14:val="tx1"/>
                  </w14:solidFill>
                </w14:textFill>
              </w:rPr>
              <w:t>辽宁省</w:t>
            </w:r>
            <w:r>
              <w:rPr>
                <w:rFonts w:hint="eastAsia"/>
                <w:color w:val="000000" w:themeColor="text1"/>
                <w:sz w:val="24"/>
                <w:highlight w:val="none"/>
                <w14:textFill>
                  <w14:solidFill>
                    <w14:schemeClr w14:val="tx1"/>
                  </w14:solidFill>
                </w14:textFill>
              </w:rPr>
              <w:t>抚顺市东洲区哈达镇小寨子村</w:t>
            </w:r>
            <w:r>
              <w:rPr>
                <w:color w:val="000000" w:themeColor="text1"/>
                <w:kern w:val="0"/>
                <w:sz w:val="24"/>
                <w:highlight w:val="none"/>
                <w:lang w:bidi="ar"/>
                <w14:textFill>
                  <w14:solidFill>
                    <w14:schemeClr w14:val="tx1"/>
                  </w14:solidFill>
                </w14:textFill>
              </w:rPr>
              <w:t>，拟在闲置场地进行建设，通过对厂界周边500m范围的调查，厂界外500米范围内不涉及自然保护区、风景名胜区、文化区等保护目标。</w:t>
            </w:r>
          </w:p>
          <w:p w14:paraId="23CC9BE0">
            <w:pPr>
              <w:widowControl/>
              <w:numPr>
                <w:ilvl w:val="0"/>
                <w:numId w:val="4"/>
              </w:numPr>
              <w:spacing w:line="360" w:lineRule="auto"/>
              <w:jc w:val="left"/>
              <w:rPr>
                <w:rFonts w:ascii="宋体" w:hAnsi="宋体" w:cs="宋体"/>
                <w:b/>
                <w:bCs/>
                <w:color w:val="000000" w:themeColor="text1"/>
                <w:kern w:val="0"/>
                <w:sz w:val="24"/>
                <w:highlight w:val="none"/>
                <w:lang w:bidi="ar"/>
                <w14:textFill>
                  <w14:solidFill>
                    <w14:schemeClr w14:val="tx1"/>
                  </w14:solidFill>
                </w14:textFill>
              </w:rPr>
            </w:pPr>
            <w:r>
              <w:rPr>
                <w:rFonts w:hint="eastAsia" w:ascii="宋体" w:hAnsi="宋体" w:cs="宋体"/>
                <w:b/>
                <w:bCs/>
                <w:color w:val="000000" w:themeColor="text1"/>
                <w:kern w:val="0"/>
                <w:sz w:val="24"/>
                <w:highlight w:val="none"/>
                <w:lang w:bidi="ar"/>
                <w14:textFill>
                  <w14:solidFill>
                    <w14:schemeClr w14:val="tx1"/>
                  </w14:solidFill>
                </w14:textFill>
              </w:rPr>
              <w:t>声环境</w:t>
            </w:r>
          </w:p>
          <w:p w14:paraId="1D71D7E1">
            <w:pPr>
              <w:pStyle w:val="4"/>
              <w:spacing w:line="360" w:lineRule="auto"/>
              <w:ind w:firstLine="480"/>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本项目厂界外50m范围内</w:t>
            </w:r>
            <w:r>
              <w:rPr>
                <w:rFonts w:hint="eastAsia"/>
                <w:color w:val="000000" w:themeColor="text1"/>
                <w:sz w:val="24"/>
                <w:highlight w:val="none"/>
                <w:lang w:val="en-US" w:eastAsia="zh-CN"/>
                <w14:textFill>
                  <w14:solidFill>
                    <w14:schemeClr w14:val="tx1"/>
                  </w14:solidFill>
                </w14:textFill>
              </w:rPr>
              <w:t>无</w:t>
            </w:r>
            <w:r>
              <w:rPr>
                <w:rFonts w:hint="eastAsia"/>
                <w:color w:val="000000" w:themeColor="text1"/>
                <w:sz w:val="24"/>
                <w:highlight w:val="none"/>
                <w14:textFill>
                  <w14:solidFill>
                    <w14:schemeClr w14:val="tx1"/>
                  </w14:solidFill>
                </w14:textFill>
              </w:rPr>
              <w:t>声环境保护目标</w:t>
            </w:r>
            <w:r>
              <w:rPr>
                <w:color w:val="000000" w:themeColor="text1"/>
                <w:kern w:val="0"/>
                <w:sz w:val="24"/>
                <w:highlight w:val="none"/>
                <w:lang w:bidi="ar"/>
                <w14:textFill>
                  <w14:solidFill>
                    <w14:schemeClr w14:val="tx1"/>
                  </w14:solidFill>
                </w14:textFill>
              </w:rPr>
              <w:t>。</w:t>
            </w:r>
          </w:p>
          <w:p w14:paraId="7F063DAE">
            <w:pPr>
              <w:widowControl/>
              <w:spacing w:line="360" w:lineRule="auto"/>
              <w:jc w:val="left"/>
              <w:rPr>
                <w:color w:val="000000" w:themeColor="text1"/>
                <w:highlight w:val="none"/>
                <w14:textFill>
                  <w14:solidFill>
                    <w14:schemeClr w14:val="tx1"/>
                  </w14:solidFill>
                </w14:textFill>
              </w:rPr>
            </w:pPr>
            <w:r>
              <w:rPr>
                <w:rFonts w:hint="eastAsia"/>
                <w:b/>
                <w:bCs/>
                <w:color w:val="000000" w:themeColor="text1"/>
                <w:kern w:val="0"/>
                <w:sz w:val="24"/>
                <w:highlight w:val="none"/>
                <w:lang w:bidi="ar"/>
                <w14:textFill>
                  <w14:solidFill>
                    <w14:schemeClr w14:val="tx1"/>
                  </w14:solidFill>
                </w14:textFill>
              </w:rPr>
              <w:t>三</w:t>
            </w:r>
            <w:r>
              <w:rPr>
                <w:rFonts w:hint="eastAsia" w:ascii="宋体" w:hAnsi="宋体" w:cs="宋体"/>
                <w:b/>
                <w:bCs/>
                <w:color w:val="000000" w:themeColor="text1"/>
                <w:kern w:val="0"/>
                <w:sz w:val="24"/>
                <w:highlight w:val="none"/>
                <w:lang w:bidi="ar"/>
                <w14:textFill>
                  <w14:solidFill>
                    <w14:schemeClr w14:val="tx1"/>
                  </w14:solidFill>
                </w14:textFill>
              </w:rPr>
              <w:t>、地下水环境</w:t>
            </w:r>
          </w:p>
          <w:p w14:paraId="45658D62">
            <w:pPr>
              <w:widowControl/>
              <w:spacing w:line="360" w:lineRule="auto"/>
              <w:ind w:firstLine="480" w:firstLineChars="200"/>
              <w:jc w:val="left"/>
              <w:rPr>
                <w:color w:val="000000" w:themeColor="text1"/>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本</w:t>
            </w:r>
            <w:r>
              <w:rPr>
                <w:rFonts w:hint="eastAsia" w:ascii="宋体" w:hAnsi="宋体" w:cs="宋体"/>
                <w:color w:val="000000" w:themeColor="text1"/>
                <w:kern w:val="0"/>
                <w:sz w:val="24"/>
                <w:highlight w:val="none"/>
                <w:lang w:bidi="ar"/>
                <w14:textFill>
                  <w14:solidFill>
                    <w14:schemeClr w14:val="tx1"/>
                  </w14:solidFill>
                </w14:textFill>
              </w:rPr>
              <w:t>项目厂界外</w:t>
            </w:r>
            <w:r>
              <w:rPr>
                <w:color w:val="000000" w:themeColor="text1"/>
                <w:kern w:val="0"/>
                <w:sz w:val="24"/>
                <w:highlight w:val="none"/>
                <w:lang w:bidi="ar"/>
                <w14:textFill>
                  <w14:solidFill>
                    <w14:schemeClr w14:val="tx1"/>
                  </w14:solidFill>
                </w14:textFill>
              </w:rPr>
              <w:t>500m</w:t>
            </w:r>
            <w:r>
              <w:rPr>
                <w:rFonts w:hint="eastAsia" w:ascii="宋体" w:hAnsi="宋体" w:cs="宋体"/>
                <w:color w:val="000000" w:themeColor="text1"/>
                <w:kern w:val="0"/>
                <w:sz w:val="24"/>
                <w:highlight w:val="none"/>
                <w:lang w:bidi="ar"/>
                <w14:textFill>
                  <w14:solidFill>
                    <w14:schemeClr w14:val="tx1"/>
                  </w14:solidFill>
                </w14:textFill>
              </w:rPr>
              <w:t>范围内无地下水集中式饮用水水源和热水、矿泉水、温泉等特殊地下水资源。</w:t>
            </w:r>
          </w:p>
          <w:p w14:paraId="4D8E585A">
            <w:pPr>
              <w:widowControl/>
              <w:spacing w:line="360" w:lineRule="auto"/>
              <w:jc w:val="left"/>
              <w:rPr>
                <w:color w:val="000000" w:themeColor="text1"/>
                <w:highlight w:val="none"/>
                <w14:textFill>
                  <w14:solidFill>
                    <w14:schemeClr w14:val="tx1"/>
                  </w14:solidFill>
                </w14:textFill>
              </w:rPr>
            </w:pPr>
            <w:r>
              <w:rPr>
                <w:rFonts w:hint="eastAsia"/>
                <w:b/>
                <w:bCs/>
                <w:color w:val="000000" w:themeColor="text1"/>
                <w:kern w:val="0"/>
                <w:sz w:val="24"/>
                <w:highlight w:val="none"/>
                <w:lang w:bidi="ar"/>
                <w14:textFill>
                  <w14:solidFill>
                    <w14:schemeClr w14:val="tx1"/>
                  </w14:solidFill>
                </w14:textFill>
              </w:rPr>
              <w:t>四</w:t>
            </w:r>
            <w:r>
              <w:rPr>
                <w:rFonts w:hint="eastAsia" w:ascii="宋体" w:hAnsi="宋体" w:cs="宋体"/>
                <w:b/>
                <w:bCs/>
                <w:color w:val="000000" w:themeColor="text1"/>
                <w:kern w:val="0"/>
                <w:sz w:val="24"/>
                <w:highlight w:val="none"/>
                <w:lang w:bidi="ar"/>
                <w14:textFill>
                  <w14:solidFill>
                    <w14:schemeClr w14:val="tx1"/>
                  </w14:solidFill>
                </w14:textFill>
              </w:rPr>
              <w:t>、生态环境</w:t>
            </w:r>
          </w:p>
          <w:p w14:paraId="7B6B3C97">
            <w:pPr>
              <w:widowControl/>
              <w:spacing w:line="360" w:lineRule="auto"/>
              <w:ind w:firstLine="480" w:firstLineChars="200"/>
              <w:jc w:val="left"/>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本项目用地范围内不涉及生态环境保护目标。</w:t>
            </w:r>
          </w:p>
        </w:tc>
      </w:tr>
      <w:tr w14:paraId="34A06B7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348" w:type="dxa"/>
            <w:vAlign w:val="center"/>
          </w:tcPr>
          <w:p w14:paraId="502909F7">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污染</w:t>
            </w:r>
          </w:p>
          <w:p w14:paraId="1EE121F5">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物排</w:t>
            </w:r>
          </w:p>
          <w:p w14:paraId="5539EB6F">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放控</w:t>
            </w:r>
          </w:p>
          <w:p w14:paraId="5F8AFDB1">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制标</w:t>
            </w:r>
          </w:p>
          <w:p w14:paraId="37570C8E">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准</w:t>
            </w:r>
          </w:p>
        </w:tc>
        <w:tc>
          <w:tcPr>
            <w:tcW w:w="8713" w:type="dxa"/>
            <w:vAlign w:val="center"/>
          </w:tcPr>
          <w:p w14:paraId="17B3751D">
            <w:pPr>
              <w:widowControl/>
              <w:spacing w:line="360" w:lineRule="auto"/>
              <w:jc w:val="left"/>
              <w:rPr>
                <w:color w:val="000000" w:themeColor="text1"/>
                <w:highlight w:val="none"/>
                <w14:textFill>
                  <w14:solidFill>
                    <w14:schemeClr w14:val="tx1"/>
                  </w14:solidFill>
                </w14:textFill>
              </w:rPr>
            </w:pPr>
            <w:r>
              <w:rPr>
                <w:b/>
                <w:bCs/>
                <w:color w:val="000000" w:themeColor="text1"/>
                <w:kern w:val="0"/>
                <w:sz w:val="24"/>
                <w:highlight w:val="none"/>
                <w:lang w:bidi="ar"/>
                <w14:textFill>
                  <w14:solidFill>
                    <w14:schemeClr w14:val="tx1"/>
                  </w14:solidFill>
                </w14:textFill>
              </w:rPr>
              <w:t>1</w:t>
            </w:r>
            <w:r>
              <w:rPr>
                <w:rFonts w:hint="eastAsia" w:ascii="宋体" w:hAnsi="宋体" w:cs="宋体"/>
                <w:b/>
                <w:bCs/>
                <w:color w:val="000000" w:themeColor="text1"/>
                <w:kern w:val="0"/>
                <w:sz w:val="24"/>
                <w:highlight w:val="none"/>
                <w:lang w:bidi="ar"/>
                <w14:textFill>
                  <w14:solidFill>
                    <w14:schemeClr w14:val="tx1"/>
                  </w14:solidFill>
                </w14:textFill>
              </w:rPr>
              <w:t>、废气排放标准</w:t>
            </w:r>
          </w:p>
          <w:p w14:paraId="16AAFDE7">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（1）施工期</w:t>
            </w:r>
          </w:p>
          <w:p w14:paraId="01E1E11A">
            <w:pPr>
              <w:widowControl/>
              <w:spacing w:line="360" w:lineRule="auto"/>
              <w:ind w:firstLine="480" w:firstLineChars="200"/>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施工扬尘执行辽宁省《施工及堆料场地扬尘排放标准》（DB21/2642-2016）郊区及农村地区浓度限值，详见表3-</w:t>
            </w:r>
            <w:r>
              <w:rPr>
                <w:rFonts w:hint="eastAsia"/>
                <w:color w:val="000000" w:themeColor="text1"/>
                <w:kern w:val="0"/>
                <w:sz w:val="24"/>
                <w:highlight w:val="none"/>
                <w:lang w:val="en-US" w:eastAsia="zh-CN" w:bidi="ar"/>
                <w14:textFill>
                  <w14:solidFill>
                    <w14:schemeClr w14:val="tx1"/>
                  </w14:solidFill>
                </w14:textFill>
              </w:rPr>
              <w:t>5</w:t>
            </w:r>
            <w:r>
              <w:rPr>
                <w:color w:val="000000" w:themeColor="text1"/>
                <w:kern w:val="0"/>
                <w:sz w:val="24"/>
                <w:highlight w:val="none"/>
                <w:lang w:bidi="ar"/>
                <w14:textFill>
                  <w14:solidFill>
                    <w14:schemeClr w14:val="tx1"/>
                  </w14:solidFill>
                </w14:textFill>
              </w:rPr>
              <w:t>。</w:t>
            </w:r>
          </w:p>
          <w:p w14:paraId="52C14537">
            <w:pPr>
              <w:widowControl/>
              <w:jc w:val="center"/>
              <w:rPr>
                <w:b/>
                <w:bCs/>
                <w:color w:val="000000" w:themeColor="text1"/>
                <w:szCs w:val="21"/>
                <w:highlight w:val="none"/>
                <w14:textFill>
                  <w14:solidFill>
                    <w14:schemeClr w14:val="tx1"/>
                  </w14:solidFill>
                </w14:textFill>
              </w:rPr>
            </w:pPr>
            <w:r>
              <w:rPr>
                <w:b/>
                <w:bCs/>
                <w:color w:val="000000" w:themeColor="text1"/>
                <w:kern w:val="0"/>
                <w:szCs w:val="21"/>
                <w:highlight w:val="none"/>
                <w:lang w:bidi="ar"/>
                <w14:textFill>
                  <w14:solidFill>
                    <w14:schemeClr w14:val="tx1"/>
                  </w14:solidFill>
                </w14:textFill>
              </w:rPr>
              <w:t>表3-</w:t>
            </w:r>
            <w:r>
              <w:rPr>
                <w:rFonts w:hint="eastAsia"/>
                <w:b/>
                <w:bCs/>
                <w:color w:val="000000" w:themeColor="text1"/>
                <w:kern w:val="0"/>
                <w:szCs w:val="21"/>
                <w:highlight w:val="none"/>
                <w:lang w:val="en-US" w:eastAsia="zh-CN" w:bidi="ar"/>
                <w14:textFill>
                  <w14:solidFill>
                    <w14:schemeClr w14:val="tx1"/>
                  </w14:solidFill>
                </w14:textFill>
              </w:rPr>
              <w:t>5</w:t>
            </w:r>
            <w:r>
              <w:rPr>
                <w:b/>
                <w:bCs/>
                <w:color w:val="000000" w:themeColor="text1"/>
                <w:kern w:val="0"/>
                <w:szCs w:val="21"/>
                <w:highlight w:val="none"/>
                <w:lang w:bidi="ar"/>
                <w14:textFill>
                  <w14:solidFill>
                    <w14:schemeClr w14:val="tx1"/>
                  </w14:solidFill>
                </w14:textFill>
              </w:rPr>
              <w:t xml:space="preserve"> 施工及堆料场地扬尘排放标准</w:t>
            </w:r>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1"/>
              <w:gridCol w:w="2832"/>
              <w:gridCol w:w="2832"/>
            </w:tblGrid>
            <w:tr w14:paraId="47AD6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vAlign w:val="center"/>
                </w:tcPr>
                <w:p w14:paraId="4AE3AC45">
                  <w:pPr>
                    <w:adjustRightInd w:val="0"/>
                    <w:snapToGrid w:val="0"/>
                    <w:jc w:val="center"/>
                    <w:rPr>
                      <w:b/>
                      <w:bCs/>
                      <w:color w:val="000000" w:themeColor="text1"/>
                      <w:kern w:val="0"/>
                      <w:szCs w:val="21"/>
                      <w:highlight w:val="none"/>
                      <w14:textFill>
                        <w14:solidFill>
                          <w14:schemeClr w14:val="tx1"/>
                        </w14:solidFill>
                      </w14:textFill>
                    </w:rPr>
                  </w:pPr>
                  <w:r>
                    <w:rPr>
                      <w:b/>
                      <w:bCs/>
                      <w:color w:val="000000" w:themeColor="text1"/>
                      <w:kern w:val="0"/>
                      <w:szCs w:val="21"/>
                      <w:highlight w:val="none"/>
                      <w14:textFill>
                        <w14:solidFill>
                          <w14:schemeClr w14:val="tx1"/>
                        </w14:solidFill>
                      </w14:textFill>
                    </w:rPr>
                    <w:t>监测项目</w:t>
                  </w:r>
                </w:p>
              </w:tc>
              <w:tc>
                <w:tcPr>
                  <w:tcW w:w="1666" w:type="pct"/>
                  <w:tcBorders>
                    <w:tl2br w:val="nil"/>
                    <w:tr2bl w:val="nil"/>
                  </w:tcBorders>
                  <w:vAlign w:val="center"/>
                </w:tcPr>
                <w:p w14:paraId="1CF67F0F">
                  <w:pPr>
                    <w:adjustRightInd w:val="0"/>
                    <w:snapToGrid w:val="0"/>
                    <w:jc w:val="center"/>
                    <w:rPr>
                      <w:b/>
                      <w:bCs/>
                      <w:color w:val="000000" w:themeColor="text1"/>
                      <w:kern w:val="0"/>
                      <w:szCs w:val="21"/>
                      <w:highlight w:val="none"/>
                      <w14:textFill>
                        <w14:solidFill>
                          <w14:schemeClr w14:val="tx1"/>
                        </w14:solidFill>
                      </w14:textFill>
                    </w:rPr>
                  </w:pPr>
                  <w:r>
                    <w:rPr>
                      <w:b/>
                      <w:bCs/>
                      <w:color w:val="000000" w:themeColor="text1"/>
                      <w:kern w:val="0"/>
                      <w:szCs w:val="21"/>
                      <w:highlight w:val="none"/>
                      <w14:textFill>
                        <w14:solidFill>
                          <w14:schemeClr w14:val="tx1"/>
                        </w14:solidFill>
                      </w14:textFill>
                    </w:rPr>
                    <w:t>区域</w:t>
                  </w:r>
                </w:p>
              </w:tc>
              <w:tc>
                <w:tcPr>
                  <w:tcW w:w="1666" w:type="pct"/>
                  <w:tcBorders>
                    <w:tl2br w:val="nil"/>
                    <w:tr2bl w:val="nil"/>
                  </w:tcBorders>
                  <w:vAlign w:val="center"/>
                </w:tcPr>
                <w:p w14:paraId="3F764457">
                  <w:pPr>
                    <w:widowControl/>
                    <w:jc w:val="center"/>
                    <w:rPr>
                      <w:b/>
                      <w:bCs/>
                      <w:color w:val="000000" w:themeColor="text1"/>
                      <w:kern w:val="0"/>
                      <w:szCs w:val="21"/>
                      <w:highlight w:val="none"/>
                      <w14:textFill>
                        <w14:solidFill>
                          <w14:schemeClr w14:val="tx1"/>
                        </w14:solidFill>
                      </w14:textFill>
                    </w:rPr>
                  </w:pPr>
                  <w:r>
                    <w:rPr>
                      <w:b/>
                      <w:bCs/>
                      <w:color w:val="000000" w:themeColor="text1"/>
                      <w:kern w:val="0"/>
                      <w:szCs w:val="21"/>
                      <w:highlight w:val="none"/>
                      <w14:textFill>
                        <w14:solidFill>
                          <w14:schemeClr w14:val="tx1"/>
                        </w14:solidFill>
                      </w14:textFill>
                    </w:rPr>
                    <w:t>浓度限值</w:t>
                  </w:r>
                </w:p>
                <w:p w14:paraId="61F2E93F">
                  <w:pPr>
                    <w:widowControl/>
                    <w:jc w:val="center"/>
                    <w:rPr>
                      <w:b/>
                      <w:bCs/>
                      <w:color w:val="000000" w:themeColor="text1"/>
                      <w:kern w:val="0"/>
                      <w:szCs w:val="21"/>
                      <w:highlight w:val="none"/>
                      <w14:textFill>
                        <w14:solidFill>
                          <w14:schemeClr w14:val="tx1"/>
                        </w14:solidFill>
                      </w14:textFill>
                    </w:rPr>
                  </w:pPr>
                  <w:r>
                    <w:rPr>
                      <w:b/>
                      <w:bCs/>
                      <w:color w:val="000000" w:themeColor="text1"/>
                      <w:kern w:val="0"/>
                      <w:szCs w:val="21"/>
                      <w:highlight w:val="none"/>
                      <w:lang w:bidi="ar"/>
                      <w14:textFill>
                        <w14:solidFill>
                          <w14:schemeClr w14:val="tx1"/>
                        </w14:solidFill>
                      </w14:textFill>
                    </w:rPr>
                    <w:t>（连续5min平均浓度）</w:t>
                  </w:r>
                </w:p>
              </w:tc>
            </w:tr>
            <w:tr w14:paraId="3033C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14:paraId="7B0A90F6">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lang w:bidi="ar"/>
                      <w14:textFill>
                        <w14:solidFill>
                          <w14:schemeClr w14:val="tx1"/>
                        </w14:solidFill>
                      </w14:textFill>
                    </w:rPr>
                    <w:t>TSP</w:t>
                  </w:r>
                </w:p>
              </w:tc>
              <w:tc>
                <w:tcPr>
                  <w:tcW w:w="1666" w:type="pct"/>
                  <w:tcBorders>
                    <w:tl2br w:val="nil"/>
                    <w:tr2bl w:val="nil"/>
                  </w:tcBorders>
                </w:tcPr>
                <w:p w14:paraId="2FCE2910">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lang w:bidi="ar"/>
                      <w14:textFill>
                        <w14:solidFill>
                          <w14:schemeClr w14:val="tx1"/>
                        </w14:solidFill>
                      </w14:textFill>
                    </w:rPr>
                    <w:t>郊区及农村地区</w:t>
                  </w:r>
                </w:p>
              </w:tc>
              <w:tc>
                <w:tcPr>
                  <w:tcW w:w="1666" w:type="pct"/>
                  <w:tcBorders>
                    <w:tl2br w:val="nil"/>
                    <w:tr2bl w:val="nil"/>
                  </w:tcBorders>
                </w:tcPr>
                <w:p w14:paraId="0D2779DE">
                  <w:pPr>
                    <w:widowControl/>
                    <w:jc w:val="center"/>
                    <w:rPr>
                      <w:color w:val="000000" w:themeColor="text1"/>
                      <w:kern w:val="0"/>
                      <w:szCs w:val="21"/>
                      <w:highlight w:val="none"/>
                      <w14:textFill>
                        <w14:solidFill>
                          <w14:schemeClr w14:val="tx1"/>
                        </w14:solidFill>
                      </w14:textFill>
                    </w:rPr>
                  </w:pPr>
                  <w:r>
                    <w:rPr>
                      <w:color w:val="000000" w:themeColor="text1"/>
                      <w:kern w:val="0"/>
                      <w:szCs w:val="21"/>
                      <w:highlight w:val="none"/>
                      <w:lang w:bidi="ar"/>
                      <w14:textFill>
                        <w14:solidFill>
                          <w14:schemeClr w14:val="tx1"/>
                        </w14:solidFill>
                      </w14:textFill>
                    </w:rPr>
                    <w:t>1.0mg/m</w:t>
                  </w:r>
                  <w:r>
                    <w:rPr>
                      <w:color w:val="000000" w:themeColor="text1"/>
                      <w:kern w:val="0"/>
                      <w:szCs w:val="21"/>
                      <w:highlight w:val="none"/>
                      <w:vertAlign w:val="superscript"/>
                      <w:lang w:bidi="ar"/>
                      <w14:textFill>
                        <w14:solidFill>
                          <w14:schemeClr w14:val="tx1"/>
                        </w14:solidFill>
                      </w14:textFill>
                    </w:rPr>
                    <w:t>3</w:t>
                  </w:r>
                </w:p>
              </w:tc>
            </w:tr>
          </w:tbl>
          <w:p w14:paraId="3FDCFD46">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（2）运营期</w:t>
            </w:r>
          </w:p>
          <w:p w14:paraId="1867E1DE">
            <w:pPr>
              <w:pStyle w:val="7"/>
              <w:ind w:firstLine="480" w:firstLineChars="200"/>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本项目颗粒物执行《大气污染物综合排放标准》（GB16297-1996）表2新污</w:t>
            </w:r>
          </w:p>
          <w:p w14:paraId="53520479">
            <w:pPr>
              <w:widowControl/>
              <w:spacing w:line="360" w:lineRule="auto"/>
              <w:jc w:val="left"/>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染源大气污染物排放限值要求。</w:t>
            </w:r>
          </w:p>
          <w:p w14:paraId="12CF0B08">
            <w:pPr>
              <w:widowControl/>
              <w:jc w:val="center"/>
              <w:rPr>
                <w:rFonts w:ascii="宋体" w:hAnsi="宋体" w:cs="宋体"/>
                <w:b/>
                <w:bCs/>
                <w:color w:val="000000" w:themeColor="text1"/>
                <w:kern w:val="0"/>
                <w:szCs w:val="21"/>
                <w:highlight w:val="none"/>
                <w:lang w:bidi="ar"/>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表</w:t>
            </w:r>
            <w:r>
              <w:rPr>
                <w:b/>
                <w:bCs/>
                <w:color w:val="000000" w:themeColor="text1"/>
                <w:kern w:val="0"/>
                <w:szCs w:val="21"/>
                <w:highlight w:val="none"/>
                <w:lang w:bidi="ar"/>
                <w14:textFill>
                  <w14:solidFill>
                    <w14:schemeClr w14:val="tx1"/>
                  </w14:solidFill>
                </w14:textFill>
              </w:rPr>
              <w:t>3-</w:t>
            </w:r>
            <w:r>
              <w:rPr>
                <w:rFonts w:hint="eastAsia"/>
                <w:b/>
                <w:bCs/>
                <w:color w:val="000000" w:themeColor="text1"/>
                <w:kern w:val="0"/>
                <w:szCs w:val="21"/>
                <w:highlight w:val="none"/>
                <w:lang w:val="en-US" w:eastAsia="zh-CN" w:bidi="ar"/>
                <w14:textFill>
                  <w14:solidFill>
                    <w14:schemeClr w14:val="tx1"/>
                  </w14:solidFill>
                </w14:textFill>
              </w:rPr>
              <w:t>6</w:t>
            </w:r>
            <w:r>
              <w:rPr>
                <w:b/>
                <w:bCs/>
                <w:color w:val="000000" w:themeColor="text1"/>
                <w:kern w:val="0"/>
                <w:szCs w:val="21"/>
                <w:highlight w:val="none"/>
                <w:lang w:bidi="ar"/>
                <w14:textFill>
                  <w14:solidFill>
                    <w14:schemeClr w14:val="tx1"/>
                  </w14:solidFill>
                </w14:textFill>
              </w:rPr>
              <w:t xml:space="preserve"> </w:t>
            </w:r>
            <w:r>
              <w:rPr>
                <w:rFonts w:hint="eastAsia" w:ascii="宋体" w:hAnsi="宋体" w:cs="宋体"/>
                <w:b/>
                <w:bCs/>
                <w:color w:val="000000" w:themeColor="text1"/>
                <w:kern w:val="0"/>
                <w:szCs w:val="21"/>
                <w:highlight w:val="none"/>
                <w:lang w:bidi="ar"/>
                <w14:textFill>
                  <w14:solidFill>
                    <w14:schemeClr w14:val="tx1"/>
                  </w14:solidFill>
                </w14:textFill>
              </w:rPr>
              <w:t>大气污染物综合排放标准</w:t>
            </w:r>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69"/>
              <w:gridCol w:w="1785"/>
              <w:gridCol w:w="2299"/>
              <w:gridCol w:w="1335"/>
              <w:gridCol w:w="2107"/>
            </w:tblGrid>
            <w:tr w14:paraId="2D8DBA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0" w:type="pct"/>
                  <w:vMerge w:val="restart"/>
                  <w:tcBorders>
                    <w:tl2br w:val="nil"/>
                    <w:tr2bl w:val="nil"/>
                  </w:tcBorders>
                  <w:vAlign w:val="center"/>
                </w:tcPr>
                <w:p w14:paraId="482FA5E3">
                  <w:pPr>
                    <w:pStyle w:val="13"/>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污染物</w:t>
                  </w:r>
                </w:p>
              </w:tc>
              <w:tc>
                <w:tcPr>
                  <w:tcW w:w="1050" w:type="pct"/>
                  <w:vMerge w:val="restart"/>
                  <w:tcBorders>
                    <w:tl2br w:val="nil"/>
                    <w:tr2bl w:val="nil"/>
                  </w:tcBorders>
                  <w:vAlign w:val="center"/>
                </w:tcPr>
                <w:p w14:paraId="2BC69E26">
                  <w:pPr>
                    <w:widowControl/>
                    <w:jc w:val="center"/>
                    <w:rPr>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最高允许排放浓度（</w:t>
                  </w:r>
                  <w:r>
                    <w:rPr>
                      <w:b/>
                      <w:bCs/>
                      <w:color w:val="000000" w:themeColor="text1"/>
                      <w:kern w:val="0"/>
                      <w:szCs w:val="21"/>
                      <w:highlight w:val="none"/>
                      <w:lang w:bidi="ar"/>
                      <w14:textFill>
                        <w14:solidFill>
                          <w14:schemeClr w14:val="tx1"/>
                        </w14:solidFill>
                      </w14:textFill>
                    </w:rPr>
                    <w:t>mg/m</w:t>
                  </w:r>
                  <w:r>
                    <w:rPr>
                      <w:b/>
                      <w:bCs/>
                      <w:color w:val="000000" w:themeColor="text1"/>
                      <w:kern w:val="0"/>
                      <w:szCs w:val="21"/>
                      <w:highlight w:val="none"/>
                      <w:vertAlign w:val="superscript"/>
                      <w:lang w:bidi="ar"/>
                      <w14:textFill>
                        <w14:solidFill>
                          <w14:schemeClr w14:val="tx1"/>
                        </w14:solidFill>
                      </w14:textFill>
                    </w:rPr>
                    <w:t>3</w:t>
                  </w:r>
                  <w:r>
                    <w:rPr>
                      <w:rFonts w:hint="eastAsia" w:ascii="宋体" w:hAnsi="宋体" w:cs="宋体"/>
                      <w:b/>
                      <w:bCs/>
                      <w:color w:val="000000" w:themeColor="text1"/>
                      <w:kern w:val="0"/>
                      <w:szCs w:val="21"/>
                      <w:highlight w:val="none"/>
                      <w:lang w:bidi="ar"/>
                      <w14:textFill>
                        <w14:solidFill>
                          <w14:schemeClr w14:val="tx1"/>
                        </w14:solidFill>
                      </w14:textFill>
                    </w:rPr>
                    <w:t>）</w:t>
                  </w:r>
                </w:p>
              </w:tc>
              <w:tc>
                <w:tcPr>
                  <w:tcW w:w="2139" w:type="pct"/>
                  <w:gridSpan w:val="2"/>
                  <w:tcBorders>
                    <w:tl2br w:val="nil"/>
                    <w:tr2bl w:val="nil"/>
                  </w:tcBorders>
                  <w:vAlign w:val="center"/>
                </w:tcPr>
                <w:p w14:paraId="2E3A0D12">
                  <w:pPr>
                    <w:widowControl/>
                    <w:jc w:val="center"/>
                    <w:rPr>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最高允许排放速率（</w:t>
                  </w:r>
                  <w:r>
                    <w:rPr>
                      <w:b/>
                      <w:bCs/>
                      <w:color w:val="000000" w:themeColor="text1"/>
                      <w:kern w:val="0"/>
                      <w:szCs w:val="21"/>
                      <w:highlight w:val="none"/>
                      <w:lang w:bidi="ar"/>
                      <w14:textFill>
                        <w14:solidFill>
                          <w14:schemeClr w14:val="tx1"/>
                        </w14:solidFill>
                      </w14:textFill>
                    </w:rPr>
                    <w:t>kg/h</w:t>
                  </w:r>
                  <w:r>
                    <w:rPr>
                      <w:rFonts w:hint="eastAsia" w:ascii="宋体" w:hAnsi="宋体" w:cs="宋体"/>
                      <w:b/>
                      <w:bCs/>
                      <w:color w:val="000000" w:themeColor="text1"/>
                      <w:kern w:val="0"/>
                      <w:szCs w:val="21"/>
                      <w:highlight w:val="none"/>
                      <w:lang w:bidi="ar"/>
                      <w14:textFill>
                        <w14:solidFill>
                          <w14:schemeClr w14:val="tx1"/>
                        </w14:solidFill>
                      </w14:textFill>
                    </w:rPr>
                    <w:t>）</w:t>
                  </w:r>
                </w:p>
              </w:tc>
              <w:tc>
                <w:tcPr>
                  <w:tcW w:w="1240" w:type="pct"/>
                  <w:vMerge w:val="restart"/>
                  <w:tcBorders>
                    <w:tl2br w:val="nil"/>
                    <w:tr2bl w:val="nil"/>
                  </w:tcBorders>
                  <w:vAlign w:val="center"/>
                </w:tcPr>
                <w:p w14:paraId="0DA5DDD2">
                  <w:pPr>
                    <w:widowControl/>
                    <w:jc w:val="center"/>
                    <w:rPr>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无组织排放监控浓度限值（</w:t>
                  </w:r>
                  <w:r>
                    <w:rPr>
                      <w:b/>
                      <w:bCs/>
                      <w:color w:val="000000" w:themeColor="text1"/>
                      <w:kern w:val="0"/>
                      <w:szCs w:val="21"/>
                      <w:highlight w:val="none"/>
                      <w:lang w:bidi="ar"/>
                      <w14:textFill>
                        <w14:solidFill>
                          <w14:schemeClr w14:val="tx1"/>
                        </w14:solidFill>
                      </w14:textFill>
                    </w:rPr>
                    <w:t>mg/m</w:t>
                  </w:r>
                  <w:r>
                    <w:rPr>
                      <w:b/>
                      <w:bCs/>
                      <w:color w:val="000000" w:themeColor="text1"/>
                      <w:kern w:val="0"/>
                      <w:szCs w:val="21"/>
                      <w:highlight w:val="none"/>
                      <w:vertAlign w:val="superscript"/>
                      <w:lang w:bidi="ar"/>
                      <w14:textFill>
                        <w14:solidFill>
                          <w14:schemeClr w14:val="tx1"/>
                        </w14:solidFill>
                      </w14:textFill>
                    </w:rPr>
                    <w:t>3</w:t>
                  </w:r>
                  <w:r>
                    <w:rPr>
                      <w:rFonts w:hint="eastAsia" w:ascii="宋体" w:hAnsi="宋体" w:cs="宋体"/>
                      <w:b/>
                      <w:bCs/>
                      <w:color w:val="000000" w:themeColor="text1"/>
                      <w:kern w:val="0"/>
                      <w:szCs w:val="21"/>
                      <w:highlight w:val="none"/>
                      <w:lang w:bidi="ar"/>
                      <w14:textFill>
                        <w14:solidFill>
                          <w14:schemeClr w14:val="tx1"/>
                        </w14:solidFill>
                      </w14:textFill>
                    </w:rPr>
                    <w:t>）</w:t>
                  </w:r>
                </w:p>
              </w:tc>
            </w:tr>
            <w:tr w14:paraId="11AC77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0" w:type="pct"/>
                  <w:vMerge w:val="continue"/>
                  <w:tcBorders>
                    <w:tl2br w:val="nil"/>
                    <w:tr2bl w:val="nil"/>
                  </w:tcBorders>
                </w:tcPr>
                <w:p w14:paraId="599FE173">
                  <w:pPr>
                    <w:pStyle w:val="13"/>
                    <w:jc w:val="center"/>
                    <w:rPr>
                      <w:b/>
                      <w:bCs/>
                      <w:color w:val="000000" w:themeColor="text1"/>
                      <w:sz w:val="21"/>
                      <w:szCs w:val="21"/>
                      <w:highlight w:val="none"/>
                      <w14:textFill>
                        <w14:solidFill>
                          <w14:schemeClr w14:val="tx1"/>
                        </w14:solidFill>
                      </w14:textFill>
                    </w:rPr>
                  </w:pPr>
                </w:p>
              </w:tc>
              <w:tc>
                <w:tcPr>
                  <w:tcW w:w="1050" w:type="pct"/>
                  <w:vMerge w:val="continue"/>
                  <w:tcBorders>
                    <w:tl2br w:val="nil"/>
                    <w:tr2bl w:val="nil"/>
                  </w:tcBorders>
                </w:tcPr>
                <w:p w14:paraId="4BB158D6">
                  <w:pPr>
                    <w:pStyle w:val="13"/>
                    <w:jc w:val="center"/>
                    <w:rPr>
                      <w:color w:val="000000" w:themeColor="text1"/>
                      <w:sz w:val="21"/>
                      <w:szCs w:val="21"/>
                      <w:highlight w:val="none"/>
                      <w14:textFill>
                        <w14:solidFill>
                          <w14:schemeClr w14:val="tx1"/>
                        </w14:solidFill>
                      </w14:textFill>
                    </w:rPr>
                  </w:pPr>
                </w:p>
              </w:tc>
              <w:tc>
                <w:tcPr>
                  <w:tcW w:w="1353" w:type="pct"/>
                  <w:tcBorders>
                    <w:tl2br w:val="nil"/>
                    <w:tr2bl w:val="nil"/>
                  </w:tcBorders>
                  <w:vAlign w:val="center"/>
                </w:tcPr>
                <w:p w14:paraId="7B3BDAE8">
                  <w:pPr>
                    <w:widowControl/>
                    <w:jc w:val="center"/>
                    <w:rPr>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排气筒高度（</w:t>
                  </w:r>
                  <w:r>
                    <w:rPr>
                      <w:b/>
                      <w:bCs/>
                      <w:color w:val="000000" w:themeColor="text1"/>
                      <w:kern w:val="0"/>
                      <w:szCs w:val="21"/>
                      <w:highlight w:val="none"/>
                      <w:lang w:bidi="ar"/>
                      <w14:textFill>
                        <w14:solidFill>
                          <w14:schemeClr w14:val="tx1"/>
                        </w14:solidFill>
                      </w14:textFill>
                    </w:rPr>
                    <w:t>m</w:t>
                  </w:r>
                  <w:r>
                    <w:rPr>
                      <w:rFonts w:hint="eastAsia" w:ascii="宋体" w:hAnsi="宋体" w:cs="宋体"/>
                      <w:b/>
                      <w:bCs/>
                      <w:color w:val="000000" w:themeColor="text1"/>
                      <w:kern w:val="0"/>
                      <w:szCs w:val="21"/>
                      <w:highlight w:val="none"/>
                      <w:lang w:bidi="ar"/>
                      <w14:textFill>
                        <w14:solidFill>
                          <w14:schemeClr w14:val="tx1"/>
                        </w14:solidFill>
                      </w14:textFill>
                    </w:rPr>
                    <w:t>）</w:t>
                  </w:r>
                </w:p>
              </w:tc>
              <w:tc>
                <w:tcPr>
                  <w:tcW w:w="785" w:type="pct"/>
                  <w:tcBorders>
                    <w:tl2br w:val="nil"/>
                    <w:tr2bl w:val="nil"/>
                  </w:tcBorders>
                  <w:vAlign w:val="center"/>
                </w:tcPr>
                <w:p w14:paraId="57A31DE6">
                  <w:pPr>
                    <w:widowControl/>
                    <w:jc w:val="center"/>
                    <w:rPr>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二级</w:t>
                  </w:r>
                </w:p>
              </w:tc>
              <w:tc>
                <w:tcPr>
                  <w:tcW w:w="1240" w:type="pct"/>
                  <w:vMerge w:val="continue"/>
                  <w:tcBorders>
                    <w:tl2br w:val="nil"/>
                    <w:tr2bl w:val="nil"/>
                  </w:tcBorders>
                </w:tcPr>
                <w:p w14:paraId="4BB979CB">
                  <w:pPr>
                    <w:pStyle w:val="13"/>
                    <w:jc w:val="center"/>
                    <w:rPr>
                      <w:color w:val="000000" w:themeColor="text1"/>
                      <w:sz w:val="21"/>
                      <w:szCs w:val="21"/>
                      <w:highlight w:val="none"/>
                      <w14:textFill>
                        <w14:solidFill>
                          <w14:schemeClr w14:val="tx1"/>
                        </w14:solidFill>
                      </w14:textFill>
                    </w:rPr>
                  </w:pPr>
                </w:p>
              </w:tc>
            </w:tr>
            <w:tr w14:paraId="2C134A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0" w:type="pct"/>
                  <w:tcBorders>
                    <w:tl2br w:val="nil"/>
                    <w:tr2bl w:val="nil"/>
                  </w:tcBorders>
                  <w:vAlign w:val="center"/>
                </w:tcPr>
                <w:p w14:paraId="54FA085E">
                  <w:pPr>
                    <w:widowControl/>
                    <w:jc w:val="center"/>
                    <w:rPr>
                      <w:b/>
                      <w:bCs/>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颗粒物</w:t>
                  </w:r>
                </w:p>
              </w:tc>
              <w:tc>
                <w:tcPr>
                  <w:tcW w:w="1050" w:type="pct"/>
                  <w:tcBorders>
                    <w:tl2br w:val="nil"/>
                    <w:tr2bl w:val="nil"/>
                  </w:tcBorders>
                  <w:vAlign w:val="center"/>
                </w:tcPr>
                <w:p w14:paraId="40DA7768">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120</w:t>
                  </w:r>
                </w:p>
              </w:tc>
              <w:tc>
                <w:tcPr>
                  <w:tcW w:w="1353" w:type="pct"/>
                  <w:tcBorders>
                    <w:tl2br w:val="nil"/>
                    <w:tr2bl w:val="nil"/>
                  </w:tcBorders>
                  <w:vAlign w:val="center"/>
                </w:tcPr>
                <w:p w14:paraId="69C150D1">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15</w:t>
                  </w:r>
                </w:p>
              </w:tc>
              <w:tc>
                <w:tcPr>
                  <w:tcW w:w="785" w:type="pct"/>
                  <w:tcBorders>
                    <w:tl2br w:val="nil"/>
                    <w:tr2bl w:val="nil"/>
                  </w:tcBorders>
                  <w:vAlign w:val="center"/>
                </w:tcPr>
                <w:p w14:paraId="7758789C">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3.5</w:t>
                  </w:r>
                </w:p>
              </w:tc>
              <w:tc>
                <w:tcPr>
                  <w:tcW w:w="1240" w:type="pct"/>
                  <w:tcBorders>
                    <w:tl2br w:val="nil"/>
                    <w:tr2bl w:val="nil"/>
                  </w:tcBorders>
                  <w:vAlign w:val="center"/>
                </w:tcPr>
                <w:p w14:paraId="32E59DFB">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1.0</w:t>
                  </w:r>
                </w:p>
              </w:tc>
            </w:tr>
          </w:tbl>
          <w:p w14:paraId="4198E361">
            <w:pPr>
              <w:widowControl/>
              <w:spacing w:line="360" w:lineRule="auto"/>
              <w:jc w:val="left"/>
              <w:rPr>
                <w:color w:val="000000" w:themeColor="text1"/>
                <w:highlight w:val="none"/>
                <w14:textFill>
                  <w14:solidFill>
                    <w14:schemeClr w14:val="tx1"/>
                  </w14:solidFill>
                </w14:textFill>
              </w:rPr>
            </w:pPr>
            <w:r>
              <w:rPr>
                <w:rFonts w:hint="eastAsia"/>
                <w:b/>
                <w:bCs/>
                <w:color w:val="000000" w:themeColor="text1"/>
                <w:kern w:val="0"/>
                <w:sz w:val="24"/>
                <w:highlight w:val="none"/>
                <w:lang w:bidi="ar"/>
                <w14:textFill>
                  <w14:solidFill>
                    <w14:schemeClr w14:val="tx1"/>
                  </w14:solidFill>
                </w14:textFill>
              </w:rPr>
              <w:t>2</w:t>
            </w:r>
            <w:r>
              <w:rPr>
                <w:rFonts w:hint="eastAsia" w:ascii="宋体" w:hAnsi="宋体" w:cs="宋体"/>
                <w:b/>
                <w:bCs/>
                <w:color w:val="000000" w:themeColor="text1"/>
                <w:kern w:val="0"/>
                <w:sz w:val="24"/>
                <w:highlight w:val="none"/>
                <w:lang w:bidi="ar"/>
                <w14:textFill>
                  <w14:solidFill>
                    <w14:schemeClr w14:val="tx1"/>
                  </w14:solidFill>
                </w14:textFill>
              </w:rPr>
              <w:t>、噪声排放标准</w:t>
            </w:r>
          </w:p>
          <w:p w14:paraId="4F10FCFC">
            <w:pPr>
              <w:widowControl/>
              <w:spacing w:line="360" w:lineRule="auto"/>
              <w:ind w:firstLine="480" w:firstLineChars="200"/>
              <w:jc w:val="both"/>
              <w:rPr>
                <w:color w:val="000000" w:themeColor="text1"/>
                <w:szCs w:val="21"/>
                <w:highlight w:val="none"/>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施工期间噪声执行《建筑施工场界环境噪声排放标准》（</w:t>
            </w:r>
            <w:r>
              <w:rPr>
                <w:color w:val="000000" w:themeColor="text1"/>
                <w:kern w:val="0"/>
                <w:sz w:val="24"/>
                <w:highlight w:val="none"/>
                <w:lang w:bidi="ar"/>
                <w14:textFill>
                  <w14:solidFill>
                    <w14:schemeClr w14:val="tx1"/>
                  </w14:solidFill>
                </w14:textFill>
              </w:rPr>
              <w:t>GB12523-2011</w:t>
            </w:r>
            <w:r>
              <w:rPr>
                <w:rFonts w:hint="eastAsia" w:ascii="宋体" w:hAnsi="宋体" w:cs="宋体"/>
                <w:color w:val="000000" w:themeColor="text1"/>
                <w:kern w:val="0"/>
                <w:sz w:val="24"/>
                <w:highlight w:val="none"/>
                <w:lang w:bidi="ar"/>
                <w14:textFill>
                  <w14:solidFill>
                    <w14:schemeClr w14:val="tx1"/>
                  </w14:solidFill>
                </w14:textFill>
              </w:rPr>
              <w:t>），详见表</w:t>
            </w:r>
            <w:r>
              <w:rPr>
                <w:color w:val="000000" w:themeColor="text1"/>
                <w:kern w:val="0"/>
                <w:sz w:val="24"/>
                <w:highlight w:val="none"/>
                <w:lang w:bidi="ar"/>
                <w14:textFill>
                  <w14:solidFill>
                    <w14:schemeClr w14:val="tx1"/>
                  </w14:solidFill>
                </w14:textFill>
              </w:rPr>
              <w:t>3-</w:t>
            </w:r>
            <w:r>
              <w:rPr>
                <w:rFonts w:hint="eastAsia"/>
                <w:color w:val="000000" w:themeColor="text1"/>
                <w:kern w:val="0"/>
                <w:sz w:val="24"/>
                <w:highlight w:val="none"/>
                <w:lang w:val="en-US" w:eastAsia="zh-CN" w:bidi="ar"/>
                <w14:textFill>
                  <w14:solidFill>
                    <w14:schemeClr w14:val="tx1"/>
                  </w14:solidFill>
                </w14:textFill>
              </w:rPr>
              <w:t>7</w:t>
            </w:r>
            <w:r>
              <w:rPr>
                <w:rFonts w:hint="eastAsia" w:ascii="宋体" w:hAnsi="宋体" w:cs="宋体"/>
                <w:color w:val="000000" w:themeColor="text1"/>
                <w:kern w:val="0"/>
                <w:sz w:val="24"/>
                <w:highlight w:val="none"/>
                <w:lang w:bidi="ar"/>
                <w14:textFill>
                  <w14:solidFill>
                    <w14:schemeClr w14:val="tx1"/>
                  </w14:solidFill>
                </w14:textFill>
              </w:rPr>
              <w:t>。</w:t>
            </w:r>
          </w:p>
          <w:p w14:paraId="528472E8">
            <w:pPr>
              <w:widowControl/>
              <w:jc w:val="center"/>
              <w:rPr>
                <w:rFonts w:ascii="宋体" w:hAnsi="宋体" w:cs="宋体"/>
                <w:b/>
                <w:bCs/>
                <w:color w:val="000000" w:themeColor="text1"/>
                <w:kern w:val="0"/>
                <w:szCs w:val="21"/>
                <w:highlight w:val="none"/>
                <w:lang w:bidi="ar"/>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表</w:t>
            </w:r>
            <w:r>
              <w:rPr>
                <w:b/>
                <w:bCs/>
                <w:color w:val="000000" w:themeColor="text1"/>
                <w:kern w:val="0"/>
                <w:szCs w:val="21"/>
                <w:highlight w:val="none"/>
                <w:lang w:bidi="ar"/>
                <w14:textFill>
                  <w14:solidFill>
                    <w14:schemeClr w14:val="tx1"/>
                  </w14:solidFill>
                </w14:textFill>
              </w:rPr>
              <w:t>3-</w:t>
            </w:r>
            <w:r>
              <w:rPr>
                <w:rFonts w:hint="eastAsia"/>
                <w:b/>
                <w:bCs/>
                <w:color w:val="000000" w:themeColor="text1"/>
                <w:kern w:val="0"/>
                <w:szCs w:val="21"/>
                <w:highlight w:val="none"/>
                <w:lang w:val="en-US" w:eastAsia="zh-CN" w:bidi="ar"/>
                <w14:textFill>
                  <w14:solidFill>
                    <w14:schemeClr w14:val="tx1"/>
                  </w14:solidFill>
                </w14:textFill>
              </w:rPr>
              <w:t>7</w:t>
            </w:r>
            <w:r>
              <w:rPr>
                <w:b/>
                <w:bCs/>
                <w:color w:val="000000" w:themeColor="text1"/>
                <w:kern w:val="0"/>
                <w:szCs w:val="21"/>
                <w:highlight w:val="none"/>
                <w:lang w:bidi="ar"/>
                <w14:textFill>
                  <w14:solidFill>
                    <w14:schemeClr w14:val="tx1"/>
                  </w14:solidFill>
                </w14:textFill>
              </w:rPr>
              <w:t xml:space="preserve"> </w:t>
            </w:r>
            <w:r>
              <w:rPr>
                <w:rFonts w:hint="eastAsia" w:ascii="宋体" w:hAnsi="宋体" w:cs="宋体"/>
                <w:b/>
                <w:bCs/>
                <w:color w:val="000000" w:themeColor="text1"/>
                <w:kern w:val="0"/>
                <w:szCs w:val="21"/>
                <w:highlight w:val="none"/>
                <w:lang w:bidi="ar"/>
                <w14:textFill>
                  <w14:solidFill>
                    <w14:schemeClr w14:val="tx1"/>
                  </w14:solidFill>
                </w14:textFill>
              </w:rPr>
              <w:t>建筑施工场界环境噪声排放限值</w:t>
            </w:r>
          </w:p>
          <w:tbl>
            <w:tblPr>
              <w:tblStyle w:val="19"/>
              <w:tblW w:w="4999"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247"/>
              <w:gridCol w:w="4248"/>
            </w:tblGrid>
            <w:tr w14:paraId="376B1A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2500" w:type="pct"/>
                  <w:tcBorders>
                    <w:tl2br w:val="nil"/>
                    <w:tr2bl w:val="nil"/>
                  </w:tcBorders>
                </w:tcPr>
                <w:p w14:paraId="4497D4AD">
                  <w:pPr>
                    <w:widowControl/>
                    <w:jc w:val="center"/>
                    <w:rPr>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昼间</w:t>
                  </w:r>
                  <w:r>
                    <w:rPr>
                      <w:b/>
                      <w:bCs/>
                      <w:color w:val="000000" w:themeColor="text1"/>
                      <w:kern w:val="0"/>
                      <w:szCs w:val="21"/>
                      <w:highlight w:val="none"/>
                      <w:lang w:bidi="ar"/>
                      <w14:textFill>
                        <w14:solidFill>
                          <w14:schemeClr w14:val="tx1"/>
                        </w14:solidFill>
                      </w14:textFill>
                    </w:rPr>
                    <w:t>dB</w:t>
                  </w:r>
                  <w:r>
                    <w:rPr>
                      <w:rFonts w:hint="eastAsia" w:ascii="宋体" w:hAnsi="宋体" w:cs="宋体"/>
                      <w:b/>
                      <w:bCs/>
                      <w:color w:val="000000" w:themeColor="text1"/>
                      <w:kern w:val="0"/>
                      <w:szCs w:val="21"/>
                      <w:highlight w:val="none"/>
                      <w:lang w:bidi="ar"/>
                      <w14:textFill>
                        <w14:solidFill>
                          <w14:schemeClr w14:val="tx1"/>
                        </w14:solidFill>
                      </w14:textFill>
                    </w:rPr>
                    <w:t>（</w:t>
                  </w:r>
                  <w:r>
                    <w:rPr>
                      <w:b/>
                      <w:bCs/>
                      <w:color w:val="000000" w:themeColor="text1"/>
                      <w:kern w:val="0"/>
                      <w:szCs w:val="21"/>
                      <w:highlight w:val="none"/>
                      <w:lang w:bidi="ar"/>
                      <w14:textFill>
                        <w14:solidFill>
                          <w14:schemeClr w14:val="tx1"/>
                        </w14:solidFill>
                      </w14:textFill>
                    </w:rPr>
                    <w:t>A</w:t>
                  </w:r>
                  <w:r>
                    <w:rPr>
                      <w:rFonts w:hint="eastAsia" w:ascii="宋体" w:hAnsi="宋体" w:cs="宋体"/>
                      <w:b/>
                      <w:bCs/>
                      <w:color w:val="000000" w:themeColor="text1"/>
                      <w:kern w:val="0"/>
                      <w:szCs w:val="21"/>
                      <w:highlight w:val="none"/>
                      <w:lang w:bidi="ar"/>
                      <w14:textFill>
                        <w14:solidFill>
                          <w14:schemeClr w14:val="tx1"/>
                        </w14:solidFill>
                      </w14:textFill>
                    </w:rPr>
                    <w:t>）</w:t>
                  </w:r>
                </w:p>
              </w:tc>
              <w:tc>
                <w:tcPr>
                  <w:tcW w:w="2500" w:type="pct"/>
                  <w:tcBorders>
                    <w:tl2br w:val="nil"/>
                    <w:tr2bl w:val="nil"/>
                  </w:tcBorders>
                </w:tcPr>
                <w:p w14:paraId="34AACA8A">
                  <w:pPr>
                    <w:widowControl/>
                    <w:jc w:val="center"/>
                    <w:rPr>
                      <w:color w:val="000000" w:themeColor="text1"/>
                      <w:szCs w:val="21"/>
                      <w:highlight w:val="none"/>
                      <w14:textFill>
                        <w14:solidFill>
                          <w14:schemeClr w14:val="tx1"/>
                        </w14:solidFill>
                      </w14:textFill>
                    </w:rPr>
                  </w:pPr>
                  <w:r>
                    <w:rPr>
                      <w:rFonts w:hint="eastAsia" w:ascii="宋体" w:hAnsi="宋体" w:cs="宋体"/>
                      <w:b/>
                      <w:bCs/>
                      <w:color w:val="000000" w:themeColor="text1"/>
                      <w:kern w:val="0"/>
                      <w:szCs w:val="21"/>
                      <w:highlight w:val="none"/>
                      <w:lang w:bidi="ar"/>
                      <w14:textFill>
                        <w14:solidFill>
                          <w14:schemeClr w14:val="tx1"/>
                        </w14:solidFill>
                      </w14:textFill>
                    </w:rPr>
                    <w:t>夜间</w:t>
                  </w:r>
                  <w:r>
                    <w:rPr>
                      <w:b/>
                      <w:bCs/>
                      <w:color w:val="000000" w:themeColor="text1"/>
                      <w:kern w:val="0"/>
                      <w:szCs w:val="21"/>
                      <w:highlight w:val="none"/>
                      <w:lang w:bidi="ar"/>
                      <w14:textFill>
                        <w14:solidFill>
                          <w14:schemeClr w14:val="tx1"/>
                        </w14:solidFill>
                      </w14:textFill>
                    </w:rPr>
                    <w:t>dB</w:t>
                  </w:r>
                  <w:r>
                    <w:rPr>
                      <w:rFonts w:hint="eastAsia" w:ascii="宋体" w:hAnsi="宋体" w:cs="宋体"/>
                      <w:b/>
                      <w:bCs/>
                      <w:color w:val="000000" w:themeColor="text1"/>
                      <w:kern w:val="0"/>
                      <w:szCs w:val="21"/>
                      <w:highlight w:val="none"/>
                      <w:lang w:bidi="ar"/>
                      <w14:textFill>
                        <w14:solidFill>
                          <w14:schemeClr w14:val="tx1"/>
                        </w14:solidFill>
                      </w14:textFill>
                    </w:rPr>
                    <w:t>（</w:t>
                  </w:r>
                  <w:r>
                    <w:rPr>
                      <w:b/>
                      <w:bCs/>
                      <w:color w:val="000000" w:themeColor="text1"/>
                      <w:kern w:val="0"/>
                      <w:szCs w:val="21"/>
                      <w:highlight w:val="none"/>
                      <w:lang w:bidi="ar"/>
                      <w14:textFill>
                        <w14:solidFill>
                          <w14:schemeClr w14:val="tx1"/>
                        </w14:solidFill>
                      </w14:textFill>
                    </w:rPr>
                    <w:t>A</w:t>
                  </w:r>
                  <w:r>
                    <w:rPr>
                      <w:rFonts w:hint="eastAsia" w:ascii="宋体" w:hAnsi="宋体" w:cs="宋体"/>
                      <w:b/>
                      <w:bCs/>
                      <w:color w:val="000000" w:themeColor="text1"/>
                      <w:kern w:val="0"/>
                      <w:szCs w:val="21"/>
                      <w:highlight w:val="none"/>
                      <w:lang w:bidi="ar"/>
                      <w14:textFill>
                        <w14:solidFill>
                          <w14:schemeClr w14:val="tx1"/>
                        </w14:solidFill>
                      </w14:textFill>
                    </w:rPr>
                    <w:t>）</w:t>
                  </w:r>
                </w:p>
              </w:tc>
            </w:tr>
            <w:tr w14:paraId="4D6366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500" w:type="pct"/>
                  <w:tcBorders>
                    <w:tl2br w:val="nil"/>
                    <w:tr2bl w:val="nil"/>
                  </w:tcBorders>
                </w:tcPr>
                <w:p w14:paraId="52FA0C9A">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70</w:t>
                  </w:r>
                </w:p>
              </w:tc>
              <w:tc>
                <w:tcPr>
                  <w:tcW w:w="2500" w:type="pct"/>
                  <w:tcBorders>
                    <w:tl2br w:val="nil"/>
                    <w:tr2bl w:val="nil"/>
                  </w:tcBorders>
                </w:tcPr>
                <w:p w14:paraId="5ABC5F59">
                  <w:pPr>
                    <w:pStyle w:val="13"/>
                    <w:jc w:val="center"/>
                    <w:rPr>
                      <w:color w:val="000000" w:themeColor="text1"/>
                      <w:sz w:val="21"/>
                      <w:szCs w:val="21"/>
                      <w:highlight w:val="none"/>
                      <w14:textFill>
                        <w14:solidFill>
                          <w14:schemeClr w14:val="tx1"/>
                        </w14:solidFill>
                      </w14:textFill>
                    </w:rPr>
                  </w:pPr>
                  <w:r>
                    <w:rPr>
                      <w:rFonts w:hint="eastAsia"/>
                      <w:color w:val="000000" w:themeColor="text1"/>
                      <w:sz w:val="21"/>
                      <w:szCs w:val="21"/>
                      <w:highlight w:val="none"/>
                      <w14:textFill>
                        <w14:solidFill>
                          <w14:schemeClr w14:val="tx1"/>
                        </w14:solidFill>
                      </w14:textFill>
                    </w:rPr>
                    <w:t>55</w:t>
                  </w:r>
                </w:p>
              </w:tc>
            </w:tr>
          </w:tbl>
          <w:p w14:paraId="5E5929E1">
            <w:pPr>
              <w:widowControl/>
              <w:spacing w:before="120" w:beforeLines="50" w:line="360" w:lineRule="auto"/>
              <w:ind w:firstLine="480" w:firstLineChars="200"/>
              <w:jc w:val="left"/>
              <w:rPr>
                <w:color w:val="FF0000"/>
                <w:highlight w:val="none"/>
              </w:rPr>
            </w:pPr>
            <w:r>
              <w:rPr>
                <w:rFonts w:hint="eastAsia" w:cs="Times New Roman"/>
                <w:color w:val="FF0000"/>
                <w:sz w:val="24"/>
                <w:szCs w:val="24"/>
                <w:highlight w:val="none"/>
                <w:lang w:val="en-US" w:eastAsia="zh-CN"/>
              </w:rPr>
              <w:t>对照《</w:t>
            </w:r>
            <w:r>
              <w:rPr>
                <w:rFonts w:hint="eastAsia" w:ascii="Times New Roman" w:hAnsi="Times New Roman" w:eastAsia="宋体" w:cs="Times New Roman"/>
                <w:color w:val="FF0000"/>
                <w:sz w:val="24"/>
                <w:szCs w:val="24"/>
                <w:highlight w:val="none"/>
                <w:lang w:val="en-US" w:eastAsia="zh-CN"/>
              </w:rPr>
              <w:t>抚顺市人民政府办公室关于印发抚顺市声环境功能区划分方案的通知</w:t>
            </w:r>
            <w:r>
              <w:rPr>
                <w:rFonts w:hint="eastAsia" w:cs="Times New Roman"/>
                <w:color w:val="FF0000"/>
                <w:sz w:val="24"/>
                <w:szCs w:val="24"/>
                <w:highlight w:val="none"/>
                <w:lang w:val="en-US" w:eastAsia="zh-CN"/>
              </w:rPr>
              <w:t>》</w:t>
            </w:r>
            <w:r>
              <w:rPr>
                <w:rFonts w:hint="eastAsia" w:ascii="Times New Roman" w:hAnsi="Times New Roman" w:eastAsia="宋体" w:cs="Times New Roman"/>
                <w:b w:val="0"/>
                <w:bCs w:val="0"/>
                <w:strike w:val="0"/>
                <w:dstrike w:val="0"/>
                <w:color w:val="FF0000"/>
                <w:sz w:val="24"/>
                <w:szCs w:val="32"/>
                <w:highlight w:val="none"/>
                <w:vertAlign w:val="baseline"/>
                <w:lang w:val="en-US" w:eastAsia="zh-CN"/>
              </w:rPr>
              <w:t>抚政办发〔2022〕42号，本项目不在文件划定范围内，根据《声环境质量标准》（GB3096-2008）、《声环境功能区划分技术规范》（GB/T15190-2014）</w:t>
            </w:r>
            <w:r>
              <w:rPr>
                <w:rFonts w:hint="eastAsia" w:cs="Times New Roman"/>
                <w:b w:val="0"/>
                <w:bCs w:val="0"/>
                <w:strike w:val="0"/>
                <w:dstrike w:val="0"/>
                <w:color w:val="FF0000"/>
                <w:sz w:val="24"/>
                <w:szCs w:val="32"/>
                <w:highlight w:val="none"/>
                <w:vertAlign w:val="baseline"/>
                <w:lang w:val="en-US" w:eastAsia="zh-CN"/>
              </w:rPr>
              <w:t>等要求</w:t>
            </w:r>
            <w:r>
              <w:rPr>
                <w:rFonts w:hint="eastAsia" w:ascii="Times New Roman" w:hAnsi="Times New Roman" w:cs="Times New Roman"/>
                <w:b w:val="0"/>
                <w:bCs w:val="0"/>
                <w:color w:val="FF0000"/>
                <w:sz w:val="24"/>
                <w:szCs w:val="32"/>
                <w:highlight w:val="none"/>
                <w:vertAlign w:val="baseline"/>
                <w:lang w:val="en-US" w:eastAsia="zh-CN"/>
              </w:rPr>
              <w:t>，</w:t>
            </w:r>
            <w:r>
              <w:rPr>
                <w:rFonts w:hint="eastAsia" w:ascii="宋体" w:hAnsi="宋体" w:cs="宋体"/>
                <w:color w:val="FF0000"/>
                <w:kern w:val="0"/>
                <w:sz w:val="24"/>
                <w:highlight w:val="none"/>
                <w:lang w:bidi="ar"/>
              </w:rPr>
              <w:t>厂界</w:t>
            </w:r>
            <w:r>
              <w:rPr>
                <w:rFonts w:hint="eastAsia" w:ascii="宋体" w:hAnsi="宋体" w:cs="宋体"/>
                <w:color w:val="FF0000"/>
                <w:kern w:val="0"/>
                <w:sz w:val="24"/>
                <w:highlight w:val="none"/>
                <w:lang w:val="en-US" w:eastAsia="zh-CN" w:bidi="ar"/>
              </w:rPr>
              <w:t>四周</w:t>
            </w:r>
            <w:r>
              <w:rPr>
                <w:rFonts w:hint="eastAsia" w:ascii="宋体" w:hAnsi="宋体" w:cs="宋体"/>
                <w:color w:val="FF0000"/>
                <w:kern w:val="0"/>
                <w:sz w:val="24"/>
                <w:highlight w:val="none"/>
                <w:lang w:bidi="ar"/>
              </w:rPr>
              <w:t>噪声执行《工业企业厂界环境噪声排放标准》</w:t>
            </w:r>
            <w:r>
              <w:rPr>
                <w:rFonts w:hint="eastAsia"/>
                <w:color w:val="FF0000"/>
                <w:kern w:val="0"/>
                <w:sz w:val="24"/>
                <w:highlight w:val="none"/>
                <w:lang w:bidi="ar"/>
              </w:rPr>
              <w:t>（</w:t>
            </w:r>
            <w:r>
              <w:rPr>
                <w:color w:val="FF0000"/>
                <w:kern w:val="0"/>
                <w:sz w:val="24"/>
                <w:highlight w:val="none"/>
                <w:lang w:bidi="ar"/>
              </w:rPr>
              <w:t>GB 12348-2008</w:t>
            </w:r>
            <w:r>
              <w:rPr>
                <w:rFonts w:hint="eastAsia"/>
                <w:color w:val="FF0000"/>
                <w:kern w:val="0"/>
                <w:sz w:val="24"/>
                <w:highlight w:val="none"/>
                <w:lang w:bidi="ar"/>
              </w:rPr>
              <w:t>）</w:t>
            </w:r>
            <w:r>
              <w:rPr>
                <w:rFonts w:hint="eastAsia" w:ascii="宋体" w:hAnsi="宋体" w:cs="宋体"/>
                <w:color w:val="FF0000"/>
                <w:kern w:val="0"/>
                <w:sz w:val="24"/>
                <w:highlight w:val="none"/>
                <w:lang w:bidi="ar"/>
              </w:rPr>
              <w:t>中</w:t>
            </w:r>
            <w:r>
              <w:rPr>
                <w:rFonts w:hint="eastAsia"/>
                <w:color w:val="FF0000"/>
                <w:kern w:val="0"/>
                <w:sz w:val="24"/>
                <w:highlight w:val="none"/>
                <w:lang w:val="en-US" w:eastAsia="zh-CN" w:bidi="ar"/>
              </w:rPr>
              <w:t>2</w:t>
            </w:r>
            <w:r>
              <w:rPr>
                <w:rFonts w:hint="eastAsia" w:ascii="宋体" w:hAnsi="宋体" w:cs="宋体"/>
                <w:color w:val="FF0000"/>
                <w:kern w:val="0"/>
                <w:sz w:val="24"/>
                <w:highlight w:val="none"/>
                <w:lang w:bidi="ar"/>
              </w:rPr>
              <w:t>类标准。详见表</w:t>
            </w:r>
            <w:r>
              <w:rPr>
                <w:color w:val="FF0000"/>
                <w:kern w:val="0"/>
                <w:sz w:val="24"/>
                <w:highlight w:val="none"/>
                <w:lang w:bidi="ar"/>
              </w:rPr>
              <w:t>3-</w:t>
            </w:r>
            <w:r>
              <w:rPr>
                <w:rFonts w:hint="eastAsia"/>
                <w:color w:val="FF0000"/>
                <w:kern w:val="0"/>
                <w:sz w:val="24"/>
                <w:highlight w:val="none"/>
                <w:lang w:val="en-US" w:eastAsia="zh-CN" w:bidi="ar"/>
              </w:rPr>
              <w:t>8</w:t>
            </w:r>
            <w:r>
              <w:rPr>
                <w:rFonts w:hint="eastAsia" w:ascii="宋体" w:hAnsi="宋体" w:cs="宋体"/>
                <w:color w:val="FF0000"/>
                <w:kern w:val="0"/>
                <w:sz w:val="24"/>
                <w:highlight w:val="none"/>
                <w:lang w:bidi="ar"/>
              </w:rPr>
              <w:t>。</w:t>
            </w:r>
          </w:p>
          <w:p w14:paraId="5903EE51">
            <w:pPr>
              <w:widowControl/>
              <w:jc w:val="center"/>
              <w:rPr>
                <w:b/>
                <w:bCs/>
                <w:color w:val="FF0000"/>
                <w:szCs w:val="21"/>
                <w:highlight w:val="none"/>
              </w:rPr>
            </w:pPr>
            <w:r>
              <w:rPr>
                <w:rFonts w:hint="eastAsia" w:ascii="宋体" w:hAnsi="宋体" w:cs="宋体"/>
                <w:b/>
                <w:bCs/>
                <w:color w:val="FF0000"/>
                <w:kern w:val="0"/>
                <w:szCs w:val="21"/>
                <w:highlight w:val="none"/>
                <w:lang w:bidi="ar"/>
              </w:rPr>
              <w:t>表</w:t>
            </w:r>
            <w:r>
              <w:rPr>
                <w:b/>
                <w:bCs/>
                <w:color w:val="FF0000"/>
                <w:kern w:val="0"/>
                <w:szCs w:val="21"/>
                <w:highlight w:val="none"/>
                <w:lang w:bidi="ar"/>
              </w:rPr>
              <w:t>3-</w:t>
            </w:r>
            <w:r>
              <w:rPr>
                <w:rFonts w:hint="eastAsia"/>
                <w:b/>
                <w:bCs/>
                <w:color w:val="FF0000"/>
                <w:kern w:val="0"/>
                <w:szCs w:val="21"/>
                <w:highlight w:val="none"/>
                <w:lang w:val="en-US" w:eastAsia="zh-CN" w:bidi="ar"/>
              </w:rPr>
              <w:t>8</w:t>
            </w:r>
            <w:r>
              <w:rPr>
                <w:b/>
                <w:bCs/>
                <w:color w:val="FF0000"/>
                <w:kern w:val="0"/>
                <w:szCs w:val="21"/>
                <w:highlight w:val="none"/>
                <w:lang w:bidi="ar"/>
              </w:rPr>
              <w:t xml:space="preserve"> </w:t>
            </w:r>
            <w:r>
              <w:rPr>
                <w:rFonts w:hint="eastAsia" w:ascii="宋体" w:hAnsi="宋体" w:cs="宋体"/>
                <w:b/>
                <w:bCs/>
                <w:color w:val="FF0000"/>
                <w:kern w:val="0"/>
                <w:szCs w:val="21"/>
                <w:highlight w:val="none"/>
                <w:lang w:bidi="ar"/>
              </w:rPr>
              <w:t>工业企业厂界环境噪声排放限值 单位：</w:t>
            </w:r>
            <w:r>
              <w:rPr>
                <w:b/>
                <w:bCs/>
                <w:color w:val="FF0000"/>
                <w:kern w:val="0"/>
                <w:szCs w:val="21"/>
                <w:highlight w:val="none"/>
                <w:lang w:bidi="ar"/>
              </w:rPr>
              <w:t>dB</w:t>
            </w:r>
            <w:r>
              <w:rPr>
                <w:rFonts w:hint="eastAsia" w:ascii="宋体" w:hAnsi="宋体" w:cs="宋体"/>
                <w:b/>
                <w:bCs/>
                <w:color w:val="FF0000"/>
                <w:kern w:val="0"/>
                <w:szCs w:val="21"/>
                <w:highlight w:val="none"/>
                <w:lang w:bidi="ar"/>
              </w:rPr>
              <w:t>（</w:t>
            </w:r>
            <w:r>
              <w:rPr>
                <w:b/>
                <w:bCs/>
                <w:color w:val="FF0000"/>
                <w:kern w:val="0"/>
                <w:szCs w:val="21"/>
                <w:highlight w:val="none"/>
                <w:lang w:bidi="ar"/>
              </w:rPr>
              <w:t>A</w:t>
            </w:r>
            <w:r>
              <w:rPr>
                <w:rFonts w:hint="eastAsia" w:ascii="宋体" w:hAnsi="宋体" w:cs="宋体"/>
                <w:b/>
                <w:bCs/>
                <w:color w:val="FF0000"/>
                <w:kern w:val="0"/>
                <w:szCs w:val="21"/>
                <w:highlight w:val="none"/>
                <w:lang w:bidi="ar"/>
              </w:rPr>
              <w:t>）</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831"/>
              <w:gridCol w:w="2831"/>
              <w:gridCol w:w="2832"/>
            </w:tblGrid>
            <w:tr w14:paraId="0408C2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14:paraId="39512040">
                  <w:pPr>
                    <w:widowControl/>
                    <w:jc w:val="center"/>
                    <w:rPr>
                      <w:b/>
                      <w:bCs/>
                      <w:color w:val="FF0000"/>
                      <w:szCs w:val="21"/>
                      <w:highlight w:val="none"/>
                    </w:rPr>
                  </w:pPr>
                  <w:r>
                    <w:rPr>
                      <w:rFonts w:hint="eastAsia" w:ascii="宋体" w:hAnsi="宋体" w:cs="宋体"/>
                      <w:b/>
                      <w:bCs/>
                      <w:color w:val="FF0000"/>
                      <w:kern w:val="0"/>
                      <w:szCs w:val="21"/>
                      <w:highlight w:val="none"/>
                      <w:lang w:bidi="ar"/>
                    </w:rPr>
                    <w:t>声功能区类别</w:t>
                  </w:r>
                </w:p>
              </w:tc>
              <w:tc>
                <w:tcPr>
                  <w:tcW w:w="1666" w:type="pct"/>
                  <w:tcBorders>
                    <w:tl2br w:val="nil"/>
                    <w:tr2bl w:val="nil"/>
                  </w:tcBorders>
                </w:tcPr>
                <w:p w14:paraId="2A33480C">
                  <w:pPr>
                    <w:widowControl/>
                    <w:jc w:val="center"/>
                    <w:rPr>
                      <w:b/>
                      <w:bCs/>
                      <w:color w:val="FF0000"/>
                      <w:szCs w:val="21"/>
                      <w:highlight w:val="none"/>
                    </w:rPr>
                  </w:pPr>
                  <w:r>
                    <w:rPr>
                      <w:rFonts w:hint="eastAsia" w:ascii="宋体" w:hAnsi="宋体" w:cs="宋体"/>
                      <w:b/>
                      <w:bCs/>
                      <w:color w:val="FF0000"/>
                      <w:kern w:val="0"/>
                      <w:szCs w:val="21"/>
                      <w:highlight w:val="none"/>
                      <w:lang w:bidi="ar"/>
                    </w:rPr>
                    <w:t>昼间</w:t>
                  </w:r>
                </w:p>
              </w:tc>
              <w:tc>
                <w:tcPr>
                  <w:tcW w:w="1666" w:type="pct"/>
                  <w:tcBorders>
                    <w:tl2br w:val="nil"/>
                    <w:tr2bl w:val="nil"/>
                  </w:tcBorders>
                </w:tcPr>
                <w:p w14:paraId="1B211DC7">
                  <w:pPr>
                    <w:widowControl/>
                    <w:jc w:val="center"/>
                    <w:rPr>
                      <w:b/>
                      <w:bCs/>
                      <w:color w:val="FF0000"/>
                      <w:szCs w:val="21"/>
                      <w:highlight w:val="none"/>
                    </w:rPr>
                  </w:pPr>
                  <w:r>
                    <w:rPr>
                      <w:rFonts w:hint="eastAsia" w:ascii="宋体" w:hAnsi="宋体" w:cs="宋体"/>
                      <w:b/>
                      <w:bCs/>
                      <w:color w:val="FF0000"/>
                      <w:kern w:val="0"/>
                      <w:szCs w:val="21"/>
                      <w:highlight w:val="none"/>
                      <w:lang w:bidi="ar"/>
                    </w:rPr>
                    <w:t>夜间</w:t>
                  </w:r>
                </w:p>
              </w:tc>
            </w:tr>
            <w:tr w14:paraId="039E5E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666" w:type="pct"/>
                  <w:tcBorders>
                    <w:tl2br w:val="nil"/>
                    <w:tr2bl w:val="nil"/>
                  </w:tcBorders>
                </w:tcPr>
                <w:p w14:paraId="3A2F8906">
                  <w:pPr>
                    <w:widowControl/>
                    <w:jc w:val="center"/>
                    <w:rPr>
                      <w:color w:val="FF0000"/>
                      <w:szCs w:val="21"/>
                      <w:highlight w:val="none"/>
                    </w:rPr>
                  </w:pPr>
                  <w:r>
                    <w:rPr>
                      <w:rFonts w:hint="eastAsia"/>
                      <w:color w:val="FF0000"/>
                      <w:kern w:val="0"/>
                      <w:szCs w:val="21"/>
                      <w:highlight w:val="none"/>
                      <w:lang w:val="en-US" w:eastAsia="zh-CN" w:bidi="ar"/>
                    </w:rPr>
                    <w:t>2</w:t>
                  </w:r>
                  <w:r>
                    <w:rPr>
                      <w:rFonts w:hint="eastAsia" w:ascii="宋体" w:hAnsi="宋体" w:cs="宋体"/>
                      <w:color w:val="FF0000"/>
                      <w:kern w:val="0"/>
                      <w:szCs w:val="21"/>
                      <w:highlight w:val="none"/>
                      <w:lang w:bidi="ar"/>
                    </w:rPr>
                    <w:t>类</w:t>
                  </w:r>
                </w:p>
              </w:tc>
              <w:tc>
                <w:tcPr>
                  <w:tcW w:w="1666" w:type="pct"/>
                  <w:tcBorders>
                    <w:tl2br w:val="nil"/>
                    <w:tr2bl w:val="nil"/>
                  </w:tcBorders>
                </w:tcPr>
                <w:p w14:paraId="04480D96">
                  <w:pPr>
                    <w:pStyle w:val="13"/>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60</w:t>
                  </w:r>
                </w:p>
              </w:tc>
              <w:tc>
                <w:tcPr>
                  <w:tcW w:w="1666" w:type="pct"/>
                  <w:tcBorders>
                    <w:tl2br w:val="nil"/>
                    <w:tr2bl w:val="nil"/>
                  </w:tcBorders>
                </w:tcPr>
                <w:p w14:paraId="53EF893B">
                  <w:pPr>
                    <w:pStyle w:val="13"/>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50</w:t>
                  </w:r>
                </w:p>
              </w:tc>
            </w:tr>
          </w:tbl>
          <w:p w14:paraId="3437A2AD">
            <w:pPr>
              <w:widowControl/>
              <w:spacing w:before="120" w:beforeLines="50" w:line="360" w:lineRule="auto"/>
              <w:jc w:val="left"/>
              <w:rPr>
                <w:color w:val="000000" w:themeColor="text1"/>
                <w:highlight w:val="none"/>
                <w14:textFill>
                  <w14:solidFill>
                    <w14:schemeClr w14:val="tx1"/>
                  </w14:solidFill>
                </w14:textFill>
              </w:rPr>
            </w:pPr>
            <w:r>
              <w:rPr>
                <w:rFonts w:hint="eastAsia"/>
                <w:b/>
                <w:bCs/>
                <w:color w:val="000000" w:themeColor="text1"/>
                <w:kern w:val="0"/>
                <w:sz w:val="24"/>
                <w:highlight w:val="none"/>
                <w:lang w:bidi="ar"/>
                <w14:textFill>
                  <w14:solidFill>
                    <w14:schemeClr w14:val="tx1"/>
                  </w14:solidFill>
                </w14:textFill>
              </w:rPr>
              <w:t>3</w:t>
            </w:r>
            <w:r>
              <w:rPr>
                <w:rFonts w:hint="eastAsia" w:ascii="宋体" w:hAnsi="宋体" w:cs="宋体"/>
                <w:b/>
                <w:bCs/>
                <w:color w:val="000000" w:themeColor="text1"/>
                <w:kern w:val="0"/>
                <w:sz w:val="24"/>
                <w:highlight w:val="none"/>
                <w:lang w:bidi="ar"/>
                <w14:textFill>
                  <w14:solidFill>
                    <w14:schemeClr w14:val="tx1"/>
                  </w14:solidFill>
                </w14:textFill>
              </w:rPr>
              <w:t>、固体废物</w:t>
            </w:r>
            <w:r>
              <w:rPr>
                <w:rFonts w:hint="eastAsia" w:ascii="宋体" w:hAnsi="宋体" w:cs="宋体"/>
                <w:b/>
                <w:bCs/>
                <w:color w:val="000000" w:themeColor="text1"/>
                <w:kern w:val="0"/>
                <w:sz w:val="24"/>
                <w:highlight w:val="none"/>
                <w:lang w:val="en-US" w:eastAsia="zh-CN" w:bidi="ar"/>
                <w14:textFill>
                  <w14:solidFill>
                    <w14:schemeClr w14:val="tx1"/>
                  </w14:solidFill>
                </w14:textFill>
              </w:rPr>
              <w:t>控制</w:t>
            </w:r>
            <w:r>
              <w:rPr>
                <w:rFonts w:hint="eastAsia" w:ascii="宋体" w:hAnsi="宋体" w:cs="宋体"/>
                <w:b/>
                <w:bCs/>
                <w:color w:val="000000" w:themeColor="text1"/>
                <w:kern w:val="0"/>
                <w:sz w:val="24"/>
                <w:highlight w:val="none"/>
                <w:lang w:bidi="ar"/>
                <w14:textFill>
                  <w14:solidFill>
                    <w14:schemeClr w14:val="tx1"/>
                  </w14:solidFill>
                </w14:textFill>
              </w:rPr>
              <w:t>标准</w:t>
            </w:r>
          </w:p>
          <w:p w14:paraId="6BD22D10">
            <w:pPr>
              <w:widowControl/>
              <w:spacing w:line="360" w:lineRule="auto"/>
              <w:ind w:firstLine="480" w:firstLineChars="200"/>
              <w:rPr>
                <w:rFonts w:ascii="宋体" w:hAnsi="宋体" w:cs="宋体"/>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一般工业固体废物执行《一般工业固体废物贮存和填埋污染控制标准》（</w:t>
            </w:r>
            <w:r>
              <w:rPr>
                <w:color w:val="000000" w:themeColor="text1"/>
                <w:kern w:val="0"/>
                <w:sz w:val="24"/>
                <w:highlight w:val="none"/>
                <w:lang w:bidi="ar"/>
                <w14:textFill>
                  <w14:solidFill>
                    <w14:schemeClr w14:val="tx1"/>
                  </w14:solidFill>
                </w14:textFill>
              </w:rPr>
              <w:t>GB 18599-2020</w:t>
            </w:r>
            <w:r>
              <w:rPr>
                <w:rFonts w:hint="eastAsia" w:ascii="宋体" w:hAnsi="宋体" w:cs="宋体"/>
                <w:color w:val="000000" w:themeColor="text1"/>
                <w:kern w:val="0"/>
                <w:sz w:val="24"/>
                <w:highlight w:val="none"/>
                <w:lang w:bidi="ar"/>
                <w14:textFill>
                  <w14:solidFill>
                    <w14:schemeClr w14:val="tx1"/>
                  </w14:solidFill>
                </w14:textFill>
              </w:rPr>
              <w:t>）</w:t>
            </w:r>
            <w:r>
              <w:rPr>
                <w:rFonts w:hint="eastAsia" w:ascii="宋体" w:hAnsi="宋体" w:eastAsia="宋体" w:cs="宋体"/>
                <w:color w:val="auto"/>
                <w:kern w:val="0"/>
                <w:sz w:val="24"/>
                <w:szCs w:val="24"/>
                <w:highlight w:val="none"/>
                <w:lang w:val="en-US" w:eastAsia="zh-CN" w:bidi="ar"/>
              </w:rPr>
              <w:t>中关于贮存过程应满足相应防渗漏、防雨淋、防扬尘等环境保护的要求。</w:t>
            </w:r>
            <w:r>
              <w:rPr>
                <w:rFonts w:hint="eastAsia" w:ascii="宋体" w:hAnsi="宋体" w:cs="宋体"/>
                <w:color w:val="000000" w:themeColor="text1"/>
                <w:kern w:val="0"/>
                <w:sz w:val="24"/>
                <w:highlight w:val="none"/>
                <w:lang w:bidi="ar"/>
                <w14:textFill>
                  <w14:solidFill>
                    <w14:schemeClr w14:val="tx1"/>
                  </w14:solidFill>
                </w14:textFill>
              </w:rPr>
              <w:t>危险废物执行《危险废物贮存污染控制标准》（</w:t>
            </w:r>
            <w:r>
              <w:rPr>
                <w:color w:val="000000" w:themeColor="text1"/>
                <w:kern w:val="0"/>
                <w:sz w:val="24"/>
                <w:highlight w:val="none"/>
                <w:lang w:bidi="ar"/>
                <w14:textFill>
                  <w14:solidFill>
                    <w14:schemeClr w14:val="tx1"/>
                  </w14:solidFill>
                </w14:textFill>
              </w:rPr>
              <w:t>GB 18597-2023</w:t>
            </w:r>
            <w:r>
              <w:rPr>
                <w:rFonts w:hint="eastAsia" w:ascii="宋体" w:hAnsi="宋体" w:cs="宋体"/>
                <w:color w:val="000000" w:themeColor="text1"/>
                <w:kern w:val="0"/>
                <w:sz w:val="24"/>
                <w:highlight w:val="none"/>
                <w:lang w:bidi="ar"/>
                <w14:textFill>
                  <w14:solidFill>
                    <w14:schemeClr w14:val="tx1"/>
                  </w14:solidFill>
                </w14:textFill>
              </w:rPr>
              <w:t>）。生活垃圾执行《城市生活垃圾管理办法》（建设部令第</w:t>
            </w:r>
            <w:r>
              <w:rPr>
                <w:color w:val="000000" w:themeColor="text1"/>
                <w:kern w:val="0"/>
                <w:sz w:val="24"/>
                <w:highlight w:val="none"/>
                <w:lang w:bidi="ar"/>
                <w14:textFill>
                  <w14:solidFill>
                    <w14:schemeClr w14:val="tx1"/>
                  </w14:solidFill>
                </w14:textFill>
              </w:rPr>
              <w:t>157</w:t>
            </w:r>
            <w:r>
              <w:rPr>
                <w:rFonts w:hint="eastAsia" w:ascii="宋体" w:hAnsi="宋体" w:cs="宋体"/>
                <w:color w:val="000000" w:themeColor="text1"/>
                <w:kern w:val="0"/>
                <w:sz w:val="24"/>
                <w:highlight w:val="none"/>
                <w:lang w:bidi="ar"/>
                <w14:textFill>
                  <w14:solidFill>
                    <w14:schemeClr w14:val="tx1"/>
                  </w14:solidFill>
                </w14:textFill>
              </w:rPr>
              <w:t>号）相关要求。</w:t>
            </w:r>
          </w:p>
        </w:tc>
      </w:tr>
      <w:tr w14:paraId="2348317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766" w:hRule="atLeast"/>
          <w:jc w:val="center"/>
        </w:trPr>
        <w:tc>
          <w:tcPr>
            <w:tcW w:w="348" w:type="dxa"/>
            <w:tcMar>
              <w:left w:w="28" w:type="dxa"/>
              <w:right w:w="28" w:type="dxa"/>
            </w:tcMar>
            <w:vAlign w:val="center"/>
          </w:tcPr>
          <w:p w14:paraId="0A5EABD4">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总量</w:t>
            </w:r>
          </w:p>
          <w:p w14:paraId="3800C32E">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控制</w:t>
            </w:r>
          </w:p>
          <w:p w14:paraId="1D8F6F89">
            <w:pPr>
              <w:adjustRightInd w:val="0"/>
              <w:snapToGrid w:val="0"/>
              <w:jc w:val="center"/>
              <w:rPr>
                <w:rFonts w:ascii="宋体" w:hAnsi="宋体" w:cs="宋体"/>
                <w:color w:val="000000" w:themeColor="text1"/>
                <w:kern w:val="0"/>
                <w:szCs w:val="21"/>
                <w:highlight w:val="none"/>
                <w14:textFill>
                  <w14:solidFill>
                    <w14:schemeClr w14:val="tx1"/>
                  </w14:solidFill>
                </w14:textFill>
              </w:rPr>
            </w:pPr>
            <w:r>
              <w:rPr>
                <w:rFonts w:hint="eastAsia" w:ascii="宋体" w:hAnsi="宋体" w:cs="宋体"/>
                <w:color w:val="000000" w:themeColor="text1"/>
                <w:kern w:val="0"/>
                <w:szCs w:val="21"/>
                <w:highlight w:val="none"/>
                <w14:textFill>
                  <w14:solidFill>
                    <w14:schemeClr w14:val="tx1"/>
                  </w14:solidFill>
                </w14:textFill>
              </w:rPr>
              <w:t>指标</w:t>
            </w:r>
          </w:p>
        </w:tc>
        <w:tc>
          <w:tcPr>
            <w:tcW w:w="8713" w:type="dxa"/>
            <w:vAlign w:val="center"/>
          </w:tcPr>
          <w:p w14:paraId="78F97C32">
            <w:pPr>
              <w:widowControl/>
              <w:numPr>
                <w:ilvl w:val="0"/>
                <w:numId w:val="0"/>
              </w:numPr>
              <w:spacing w:line="360" w:lineRule="auto"/>
              <w:ind w:firstLine="480" w:firstLineChars="200"/>
              <w:rPr>
                <w:rFonts w:ascii="宋体" w:hAnsi="宋体" w:cs="宋体"/>
                <w:color w:val="000000" w:themeColor="text1"/>
                <w:kern w:val="0"/>
                <w:sz w:val="24"/>
                <w:highlight w:val="none"/>
                <w:lang w:bidi="ar"/>
                <w14:textFill>
                  <w14:solidFill>
                    <w14:schemeClr w14:val="tx1"/>
                  </w14:solidFill>
                </w14:textFill>
              </w:rPr>
            </w:pPr>
            <w:r>
              <w:rPr>
                <w:color w:val="auto"/>
                <w:kern w:val="0"/>
                <w:sz w:val="24"/>
                <w:szCs w:val="24"/>
                <w:highlight w:val="none"/>
                <w:lang w:bidi="ar"/>
              </w:rPr>
              <w:t>根据《辽宁省生态环境厅关于进一步加强建设项目主要污染物排放总量指标审核和管理的通知》(辽环综函</w:t>
            </w:r>
            <w:r>
              <w:rPr>
                <w:rFonts w:hint="default" w:ascii="Times New Roman" w:hAnsi="Times New Roman" w:eastAsia="宋体" w:cs="Times New Roman"/>
                <w:color w:val="auto"/>
                <w:kern w:val="0"/>
                <w:sz w:val="24"/>
                <w:szCs w:val="24"/>
                <w:highlight w:val="none"/>
                <w:lang w:val="en-US" w:eastAsia="zh-CN" w:bidi="ar"/>
              </w:rPr>
              <w:t>[202</w:t>
            </w:r>
            <w:r>
              <w:rPr>
                <w:rFonts w:hint="eastAsia" w:ascii="Times New Roman" w:hAnsi="Times New Roman" w:eastAsia="宋体" w:cs="Times New Roman"/>
                <w:color w:val="auto"/>
                <w:kern w:val="0"/>
                <w:sz w:val="24"/>
                <w:szCs w:val="24"/>
                <w:highlight w:val="none"/>
                <w:lang w:val="en-US" w:eastAsia="zh-CN" w:bidi="ar"/>
              </w:rPr>
              <w:t>0</w:t>
            </w:r>
            <w:r>
              <w:rPr>
                <w:rFonts w:hint="default" w:ascii="Times New Roman" w:hAnsi="Times New Roman" w:eastAsia="宋体" w:cs="Times New Roman"/>
                <w:color w:val="auto"/>
                <w:kern w:val="0"/>
                <w:sz w:val="24"/>
                <w:szCs w:val="24"/>
                <w:highlight w:val="none"/>
                <w:lang w:val="en-US" w:eastAsia="zh-CN" w:bidi="ar"/>
              </w:rPr>
              <w:t>]</w:t>
            </w:r>
            <w:r>
              <w:rPr>
                <w:color w:val="auto"/>
                <w:kern w:val="0"/>
                <w:sz w:val="24"/>
                <w:szCs w:val="24"/>
                <w:highlight w:val="none"/>
                <w:lang w:bidi="ar"/>
              </w:rPr>
              <w:t>380号)</w:t>
            </w:r>
            <w:r>
              <w:rPr>
                <w:rFonts w:hint="eastAsia"/>
                <w:color w:val="auto"/>
                <w:kern w:val="0"/>
                <w:sz w:val="24"/>
                <w:szCs w:val="24"/>
                <w:highlight w:val="none"/>
                <w:lang w:eastAsia="zh-CN" w:bidi="ar"/>
              </w:rPr>
              <w:t>及</w:t>
            </w:r>
            <w:r>
              <w:rPr>
                <w:rFonts w:hint="eastAsia" w:ascii="宋体" w:hAnsi="宋体" w:eastAsia="宋体" w:cs="宋体"/>
                <w:color w:val="auto"/>
                <w:kern w:val="0"/>
                <w:sz w:val="24"/>
                <w:szCs w:val="24"/>
                <w:highlight w:val="none"/>
                <w:lang w:val="en-US" w:eastAsia="zh-CN" w:bidi="ar"/>
              </w:rPr>
              <w:t>生态环境部办公厅《关于印发</w:t>
            </w:r>
            <w:r>
              <w:rPr>
                <w:rFonts w:hint="default" w:ascii="Times New Roman" w:hAnsi="Times New Roman" w:eastAsia="宋体" w:cs="Times New Roman"/>
                <w:color w:val="auto"/>
                <w:kern w:val="0"/>
                <w:sz w:val="24"/>
                <w:szCs w:val="24"/>
                <w:highlight w:val="none"/>
                <w:lang w:val="en-US" w:eastAsia="zh-CN" w:bidi="ar"/>
              </w:rPr>
              <w:t>&lt;</w:t>
            </w:r>
            <w:r>
              <w:rPr>
                <w:rFonts w:hint="eastAsia" w:ascii="宋体" w:hAnsi="宋体" w:eastAsia="宋体" w:cs="宋体"/>
                <w:color w:val="auto"/>
                <w:kern w:val="0"/>
                <w:sz w:val="24"/>
                <w:szCs w:val="24"/>
                <w:highlight w:val="none"/>
                <w:lang w:val="en-US" w:eastAsia="zh-CN" w:bidi="ar"/>
              </w:rPr>
              <w:t>主要污染物总量减排核算技术指南（</w:t>
            </w:r>
            <w:r>
              <w:rPr>
                <w:rFonts w:hint="default" w:ascii="Times New Roman" w:hAnsi="Times New Roman" w:eastAsia="宋体" w:cs="Times New Roman"/>
                <w:color w:val="auto"/>
                <w:kern w:val="0"/>
                <w:sz w:val="24"/>
                <w:szCs w:val="24"/>
                <w:highlight w:val="none"/>
                <w:lang w:val="en-US" w:eastAsia="zh-CN" w:bidi="ar"/>
              </w:rPr>
              <w:t>2022</w:t>
            </w:r>
            <w:r>
              <w:rPr>
                <w:rFonts w:hint="eastAsia" w:ascii="宋体" w:hAnsi="宋体" w:eastAsia="宋体" w:cs="宋体"/>
                <w:color w:val="auto"/>
                <w:kern w:val="0"/>
                <w:sz w:val="24"/>
                <w:szCs w:val="24"/>
                <w:highlight w:val="none"/>
                <w:lang w:val="en-US" w:eastAsia="zh-CN" w:bidi="ar"/>
              </w:rPr>
              <w:t>年修订）</w:t>
            </w:r>
            <w:r>
              <w:rPr>
                <w:rFonts w:hint="default" w:ascii="Times New Roman" w:hAnsi="Times New Roman" w:eastAsia="宋体" w:cs="Times New Roman"/>
                <w:color w:val="auto"/>
                <w:kern w:val="0"/>
                <w:sz w:val="24"/>
                <w:szCs w:val="24"/>
                <w:highlight w:val="none"/>
                <w:lang w:val="en-US" w:eastAsia="zh-CN" w:bidi="ar"/>
              </w:rPr>
              <w:t>&gt;</w:t>
            </w:r>
            <w:r>
              <w:rPr>
                <w:rFonts w:hint="eastAsia" w:ascii="宋体" w:hAnsi="宋体" w:eastAsia="宋体" w:cs="宋体"/>
                <w:color w:val="auto"/>
                <w:kern w:val="0"/>
                <w:sz w:val="24"/>
                <w:szCs w:val="24"/>
                <w:highlight w:val="none"/>
                <w:lang w:val="en-US" w:eastAsia="zh-CN" w:bidi="ar"/>
              </w:rPr>
              <w:t>的通知》（环办综合函</w:t>
            </w:r>
            <w:r>
              <w:rPr>
                <w:rFonts w:hint="default" w:ascii="Times New Roman" w:hAnsi="Times New Roman" w:eastAsia="宋体" w:cs="Times New Roman"/>
                <w:color w:val="auto"/>
                <w:kern w:val="0"/>
                <w:sz w:val="24"/>
                <w:szCs w:val="24"/>
                <w:highlight w:val="none"/>
                <w:lang w:val="en-US" w:eastAsia="zh-CN" w:bidi="ar"/>
              </w:rPr>
              <w:t>[2022]350</w:t>
            </w:r>
            <w:r>
              <w:rPr>
                <w:rFonts w:hint="eastAsia" w:ascii="宋体" w:hAnsi="宋体" w:eastAsia="宋体" w:cs="宋体"/>
                <w:color w:val="auto"/>
                <w:kern w:val="0"/>
                <w:sz w:val="24"/>
                <w:szCs w:val="24"/>
                <w:highlight w:val="none"/>
                <w:lang w:val="en-US" w:eastAsia="zh-CN" w:bidi="ar"/>
              </w:rPr>
              <w:t>号），主要污染物是指实施总量控制的化学需氧量（</w:t>
            </w:r>
            <w:r>
              <w:rPr>
                <w:rFonts w:hint="default" w:ascii="Times New Roman" w:hAnsi="Times New Roman" w:eastAsia="宋体" w:cs="Times New Roman"/>
                <w:color w:val="auto"/>
                <w:kern w:val="0"/>
                <w:sz w:val="24"/>
                <w:szCs w:val="24"/>
                <w:highlight w:val="none"/>
                <w:lang w:val="en-US" w:eastAsia="zh-CN" w:bidi="ar"/>
              </w:rPr>
              <w:t>COD</w:t>
            </w:r>
            <w:r>
              <w:rPr>
                <w:rFonts w:hint="eastAsia" w:ascii="宋体" w:hAnsi="宋体" w:eastAsia="宋体" w:cs="宋体"/>
                <w:color w:val="auto"/>
                <w:kern w:val="0"/>
                <w:sz w:val="24"/>
                <w:szCs w:val="24"/>
                <w:highlight w:val="none"/>
                <w:lang w:val="en-US" w:eastAsia="zh-CN" w:bidi="ar"/>
              </w:rPr>
              <w:t>）、氨氮（</w:t>
            </w:r>
            <w:r>
              <w:rPr>
                <w:rFonts w:hint="default" w:ascii="Times New Roman" w:hAnsi="Times New Roman" w:eastAsia="宋体" w:cs="Times New Roman"/>
                <w:color w:val="auto"/>
                <w:kern w:val="0"/>
                <w:sz w:val="24"/>
                <w:szCs w:val="24"/>
                <w:highlight w:val="none"/>
                <w:lang w:val="en-US" w:eastAsia="zh-CN" w:bidi="ar"/>
              </w:rPr>
              <w:t>NH</w:t>
            </w:r>
            <w:r>
              <w:rPr>
                <w:rFonts w:hint="default" w:ascii="Times New Roman" w:hAnsi="Times New Roman" w:eastAsia="宋体" w:cs="Times New Roman"/>
                <w:color w:val="auto"/>
                <w:kern w:val="0"/>
                <w:sz w:val="15"/>
                <w:szCs w:val="15"/>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-N</w:t>
            </w:r>
            <w:r>
              <w:rPr>
                <w:rFonts w:hint="eastAsia" w:ascii="宋体" w:hAnsi="宋体" w:eastAsia="宋体" w:cs="宋体"/>
                <w:color w:val="auto"/>
                <w:kern w:val="0"/>
                <w:sz w:val="24"/>
                <w:szCs w:val="24"/>
                <w:highlight w:val="none"/>
                <w:lang w:val="en-US" w:eastAsia="zh-CN" w:bidi="ar"/>
              </w:rPr>
              <w:t>）、氮氧化物（</w:t>
            </w:r>
            <w:r>
              <w:rPr>
                <w:rFonts w:hint="default" w:ascii="Times New Roman" w:hAnsi="Times New Roman" w:eastAsia="宋体" w:cs="Times New Roman"/>
                <w:color w:val="auto"/>
                <w:kern w:val="0"/>
                <w:sz w:val="24"/>
                <w:szCs w:val="24"/>
                <w:highlight w:val="none"/>
                <w:lang w:val="en-US" w:eastAsia="zh-CN" w:bidi="ar"/>
              </w:rPr>
              <w:t>NOx</w:t>
            </w:r>
            <w:r>
              <w:rPr>
                <w:rFonts w:hint="eastAsia" w:ascii="宋体" w:hAnsi="宋体" w:eastAsia="宋体" w:cs="宋体"/>
                <w:color w:val="auto"/>
                <w:kern w:val="0"/>
                <w:sz w:val="24"/>
                <w:szCs w:val="24"/>
                <w:highlight w:val="none"/>
                <w:lang w:val="en-US" w:eastAsia="zh-CN" w:bidi="ar"/>
              </w:rPr>
              <w:t>）、挥发性有机物（</w:t>
            </w:r>
            <w:r>
              <w:rPr>
                <w:rFonts w:hint="default" w:ascii="Times New Roman" w:hAnsi="Times New Roman" w:eastAsia="宋体" w:cs="Times New Roman"/>
                <w:color w:val="auto"/>
                <w:kern w:val="0"/>
                <w:sz w:val="24"/>
                <w:szCs w:val="24"/>
                <w:highlight w:val="none"/>
                <w:lang w:val="en-US" w:eastAsia="zh-CN" w:bidi="ar"/>
              </w:rPr>
              <w:t>VOCs</w:t>
            </w: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4</w:t>
            </w:r>
            <w:r>
              <w:rPr>
                <w:rFonts w:hint="eastAsia" w:ascii="宋体" w:hAnsi="宋体" w:eastAsia="宋体" w:cs="宋体"/>
                <w:color w:val="auto"/>
                <w:kern w:val="0"/>
                <w:sz w:val="24"/>
                <w:szCs w:val="24"/>
                <w:highlight w:val="none"/>
                <w:lang w:val="en-US" w:eastAsia="zh-CN" w:bidi="ar"/>
              </w:rPr>
              <w:t>项污染物。</w:t>
            </w:r>
          </w:p>
          <w:p w14:paraId="3F2A0BAB">
            <w:pPr>
              <w:widowControl/>
              <w:numPr>
                <w:ilvl w:val="0"/>
                <w:numId w:val="0"/>
              </w:numPr>
              <w:spacing w:line="360" w:lineRule="auto"/>
              <w:ind w:firstLine="480" w:firstLineChars="200"/>
              <w:rPr>
                <w:rFonts w:ascii="宋体" w:hAnsi="宋体" w:cs="宋体"/>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（1）</w:t>
            </w:r>
            <w:r>
              <w:rPr>
                <w:rFonts w:hint="eastAsia" w:ascii="宋体" w:hAnsi="宋体" w:cs="宋体"/>
                <w:color w:val="000000" w:themeColor="text1"/>
                <w:kern w:val="0"/>
                <w:sz w:val="24"/>
                <w:highlight w:val="none"/>
                <w:lang w:bidi="ar"/>
                <w14:textFill>
                  <w14:solidFill>
                    <w14:schemeClr w14:val="tx1"/>
                  </w14:solidFill>
                </w14:textFill>
              </w:rPr>
              <w:t>废水</w:t>
            </w:r>
          </w:p>
          <w:p w14:paraId="07FD8743">
            <w:pPr>
              <w:widowControl/>
              <w:spacing w:line="360" w:lineRule="auto"/>
              <w:ind w:firstLine="480" w:firstLineChars="200"/>
              <w:rPr>
                <w:rFonts w:ascii="宋体" w:hAnsi="宋体" w:cs="宋体"/>
                <w:color w:val="000000" w:themeColor="text1"/>
                <w:kern w:val="0"/>
                <w:sz w:val="24"/>
                <w:highlight w:val="none"/>
                <w:lang w:bidi="ar"/>
                <w14:textFill>
                  <w14:solidFill>
                    <w14:schemeClr w14:val="tx1"/>
                  </w14:solidFill>
                </w14:textFill>
              </w:rPr>
            </w:pPr>
            <w:r>
              <w:rPr>
                <w:rFonts w:hint="eastAsia"/>
                <w:color w:val="000000" w:themeColor="text1"/>
                <w:sz w:val="24"/>
                <w:highlight w:val="none"/>
                <w14:textFill>
                  <w14:solidFill>
                    <w14:schemeClr w14:val="tx1"/>
                  </w14:solidFill>
                </w14:textFill>
              </w:rPr>
              <w:t>本项目</w:t>
            </w:r>
            <w:r>
              <w:rPr>
                <w:color w:val="000000" w:themeColor="text1"/>
                <w:sz w:val="24"/>
                <w:highlight w:val="none"/>
                <w14:textFill>
                  <w14:solidFill>
                    <w14:schemeClr w14:val="tx1"/>
                  </w14:solidFill>
                </w14:textFill>
              </w:rPr>
              <w:t>运输</w:t>
            </w:r>
            <w:r>
              <w:rPr>
                <w:rFonts w:hint="eastAsia"/>
                <w:color w:val="000000" w:themeColor="text1"/>
                <w:sz w:val="24"/>
                <w:highlight w:val="none"/>
                <w14:textFill>
                  <w14:solidFill>
                    <w14:schemeClr w14:val="tx1"/>
                  </w14:solidFill>
                </w14:textFill>
              </w:rPr>
              <w:t>车辆</w:t>
            </w:r>
            <w:r>
              <w:rPr>
                <w:color w:val="000000" w:themeColor="text1"/>
                <w:sz w:val="24"/>
                <w:highlight w:val="none"/>
                <w14:textFill>
                  <w14:solidFill>
                    <w14:schemeClr w14:val="tx1"/>
                  </w14:solidFill>
                </w14:textFill>
              </w:rPr>
              <w:t>清洗</w:t>
            </w:r>
            <w:r>
              <w:rPr>
                <w:rFonts w:hint="eastAsia"/>
                <w:color w:val="000000" w:themeColor="text1"/>
                <w:sz w:val="24"/>
                <w:highlight w:val="none"/>
                <w14:textFill>
                  <w14:solidFill>
                    <w14:schemeClr w14:val="tx1"/>
                  </w14:solidFill>
                </w14:textFill>
              </w:rPr>
              <w:t>废水经沉淀池沉淀后循环使用不外排；</w:t>
            </w:r>
            <w:r>
              <w:rPr>
                <w:color w:val="000000" w:themeColor="text1"/>
                <w:sz w:val="24"/>
                <w:highlight w:val="none"/>
                <w14:textFill>
                  <w14:solidFill>
                    <w14:schemeClr w14:val="tx1"/>
                  </w14:solidFill>
                </w14:textFill>
              </w:rPr>
              <w:t>洒水抑尘</w:t>
            </w:r>
            <w:r>
              <w:rPr>
                <w:rFonts w:hint="eastAsia"/>
                <w:color w:val="000000" w:themeColor="text1"/>
                <w:sz w:val="24"/>
                <w:highlight w:val="none"/>
                <w14:textFill>
                  <w14:solidFill>
                    <w14:schemeClr w14:val="tx1"/>
                  </w14:solidFill>
                </w14:textFill>
              </w:rPr>
              <w:t>用水</w:t>
            </w:r>
            <w:r>
              <w:rPr>
                <w:color w:val="000000" w:themeColor="text1"/>
                <w:sz w:val="24"/>
                <w:highlight w:val="none"/>
                <w14:textFill>
                  <w14:solidFill>
                    <w14:schemeClr w14:val="tx1"/>
                  </w14:solidFill>
                </w14:textFill>
              </w:rPr>
              <w:t>以自然形式</w:t>
            </w:r>
            <w:r>
              <w:rPr>
                <w:rFonts w:hint="eastAsia"/>
                <w:color w:val="000000" w:themeColor="text1"/>
                <w:sz w:val="24"/>
                <w:highlight w:val="none"/>
                <w14:textFill>
                  <w14:solidFill>
                    <w14:schemeClr w14:val="tx1"/>
                  </w14:solidFill>
                </w14:textFill>
              </w:rPr>
              <w:t>全部</w:t>
            </w:r>
            <w:r>
              <w:rPr>
                <w:color w:val="000000" w:themeColor="text1"/>
                <w:sz w:val="24"/>
                <w:highlight w:val="none"/>
                <w14:textFill>
                  <w14:solidFill>
                    <w14:schemeClr w14:val="tx1"/>
                  </w14:solidFill>
                </w14:textFill>
              </w:rPr>
              <w:t>蒸发，无</w:t>
            </w:r>
            <w:r>
              <w:rPr>
                <w:rFonts w:hint="eastAsia"/>
                <w:color w:val="000000" w:themeColor="text1"/>
                <w:sz w:val="24"/>
                <w:highlight w:val="none"/>
                <w14:textFill>
                  <w14:solidFill>
                    <w14:schemeClr w14:val="tx1"/>
                  </w14:solidFill>
                </w14:textFill>
              </w:rPr>
              <w:t>生产</w:t>
            </w:r>
            <w:r>
              <w:rPr>
                <w:color w:val="000000" w:themeColor="text1"/>
                <w:sz w:val="24"/>
                <w:highlight w:val="none"/>
                <w14:textFill>
                  <w14:solidFill>
                    <w14:schemeClr w14:val="tx1"/>
                  </w14:solidFill>
                </w14:textFill>
              </w:rPr>
              <w:t>废水产生</w:t>
            </w:r>
            <w:r>
              <w:rPr>
                <w:rFonts w:hint="eastAsia" w:ascii="宋体" w:hAnsi="宋体" w:cs="宋体"/>
                <w:color w:val="000000" w:themeColor="text1"/>
                <w:kern w:val="0"/>
                <w:sz w:val="24"/>
                <w:highlight w:val="none"/>
                <w:lang w:bidi="ar"/>
                <w14:textFill>
                  <w14:solidFill>
                    <w14:schemeClr w14:val="tx1"/>
                  </w14:solidFill>
                </w14:textFill>
              </w:rPr>
              <w:t>。</w:t>
            </w:r>
          </w:p>
          <w:p w14:paraId="333E883B">
            <w:pPr>
              <w:widowControl/>
              <w:numPr>
                <w:ilvl w:val="0"/>
                <w:numId w:val="0"/>
              </w:numPr>
              <w:spacing w:line="360" w:lineRule="auto"/>
              <w:ind w:firstLine="480" w:firstLineChars="200"/>
              <w:rPr>
                <w:rFonts w:ascii="宋体" w:hAnsi="宋体" w:cs="宋体"/>
                <w:color w:val="000000" w:themeColor="text1"/>
                <w:kern w:val="0"/>
                <w:sz w:val="24"/>
                <w:highlight w:val="none"/>
                <w:lang w:bidi="ar"/>
                <w14:textFill>
                  <w14:solidFill>
                    <w14:schemeClr w14:val="tx1"/>
                  </w14:solidFill>
                </w14:textFill>
              </w:rPr>
            </w:pPr>
            <w:r>
              <w:rPr>
                <w:rFonts w:hint="default"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（2）</w:t>
            </w:r>
            <w:r>
              <w:rPr>
                <w:rFonts w:hint="eastAsia" w:ascii="宋体" w:hAnsi="宋体" w:cs="宋体"/>
                <w:color w:val="000000" w:themeColor="text1"/>
                <w:kern w:val="0"/>
                <w:sz w:val="24"/>
                <w:highlight w:val="none"/>
                <w:lang w:bidi="ar"/>
                <w14:textFill>
                  <w14:solidFill>
                    <w14:schemeClr w14:val="tx1"/>
                  </w14:solidFill>
                </w14:textFill>
              </w:rPr>
              <w:t>废气</w:t>
            </w:r>
          </w:p>
          <w:p w14:paraId="39388FFE">
            <w:pPr>
              <w:widowControl/>
              <w:spacing w:line="360" w:lineRule="auto"/>
              <w:ind w:firstLine="480" w:firstLineChars="200"/>
              <w:rPr>
                <w:rFonts w:ascii="宋体" w:hAnsi="宋体" w:cs="宋体"/>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本项目废气污染物主要为颗粒物，通过采取相应的措施处理达标后排放。</w:t>
            </w:r>
          </w:p>
          <w:p w14:paraId="294F1B4D">
            <w:pPr>
              <w:widowControl/>
              <w:spacing w:line="360" w:lineRule="auto"/>
              <w:ind w:firstLine="480" w:firstLineChars="200"/>
              <w:rPr>
                <w:color w:val="000000" w:themeColor="text1"/>
                <w:highlight w:val="none"/>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故本项目不涉及总量控制类污染排放，因此无须申请总量控制指标。</w:t>
            </w:r>
          </w:p>
          <w:p w14:paraId="1B96C5DC">
            <w:pPr>
              <w:widowControl/>
              <w:spacing w:line="360" w:lineRule="auto"/>
              <w:ind w:firstLine="480" w:firstLineChars="200"/>
              <w:rPr>
                <w:rFonts w:ascii="宋体" w:hAnsi="宋体" w:cs="宋体"/>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本项目最终总量控制指标以生态环境局下达指标为准。</w:t>
            </w:r>
          </w:p>
          <w:p w14:paraId="356A0688">
            <w:pPr>
              <w:widowControl/>
              <w:spacing w:line="360" w:lineRule="auto"/>
              <w:ind w:firstLine="480" w:firstLineChars="200"/>
              <w:rPr>
                <w:rFonts w:hint="eastAsia" w:ascii="宋体" w:hAnsi="宋体" w:cs="宋体"/>
                <w:color w:val="000000" w:themeColor="text1"/>
                <w:kern w:val="0"/>
                <w:sz w:val="24"/>
                <w:highlight w:val="none"/>
                <w:lang w:bidi="ar"/>
                <w14:textFill>
                  <w14:solidFill>
                    <w14:schemeClr w14:val="tx1"/>
                  </w14:solidFill>
                </w14:textFill>
              </w:rPr>
            </w:pPr>
          </w:p>
          <w:p w14:paraId="7DFD7E16">
            <w:pPr>
              <w:pStyle w:val="7"/>
              <w:rPr>
                <w:rFonts w:hint="eastAsia" w:ascii="宋体" w:hAnsi="宋体" w:cs="宋体"/>
                <w:color w:val="000000" w:themeColor="text1"/>
                <w:kern w:val="0"/>
                <w:sz w:val="24"/>
                <w:highlight w:val="none"/>
                <w:lang w:bidi="ar"/>
                <w14:textFill>
                  <w14:solidFill>
                    <w14:schemeClr w14:val="tx1"/>
                  </w14:solidFill>
                </w14:textFill>
              </w:rPr>
            </w:pPr>
          </w:p>
          <w:p w14:paraId="29931ACC">
            <w:pPr>
              <w:pStyle w:val="7"/>
              <w:rPr>
                <w:rFonts w:hint="eastAsia" w:ascii="宋体" w:hAnsi="宋体" w:cs="宋体"/>
                <w:color w:val="000000" w:themeColor="text1"/>
                <w:kern w:val="0"/>
                <w:sz w:val="24"/>
                <w:highlight w:val="none"/>
                <w:lang w:bidi="ar"/>
                <w14:textFill>
                  <w14:solidFill>
                    <w14:schemeClr w14:val="tx1"/>
                  </w14:solidFill>
                </w14:textFill>
              </w:rPr>
            </w:pPr>
          </w:p>
          <w:p w14:paraId="26F9E948">
            <w:pPr>
              <w:pStyle w:val="7"/>
              <w:rPr>
                <w:rFonts w:hint="eastAsia" w:ascii="宋体" w:hAnsi="宋体" w:cs="宋体"/>
                <w:color w:val="000000" w:themeColor="text1"/>
                <w:kern w:val="0"/>
                <w:sz w:val="24"/>
                <w:highlight w:val="none"/>
                <w:lang w:bidi="ar"/>
                <w14:textFill>
                  <w14:solidFill>
                    <w14:schemeClr w14:val="tx1"/>
                  </w14:solidFill>
                </w14:textFill>
              </w:rPr>
            </w:pPr>
          </w:p>
          <w:p w14:paraId="5F1F20E1">
            <w:pPr>
              <w:pStyle w:val="7"/>
              <w:rPr>
                <w:rFonts w:hint="eastAsia" w:ascii="宋体" w:hAnsi="宋体" w:cs="宋体"/>
                <w:color w:val="000000" w:themeColor="text1"/>
                <w:kern w:val="0"/>
                <w:sz w:val="24"/>
                <w:highlight w:val="none"/>
                <w:lang w:bidi="ar"/>
                <w14:textFill>
                  <w14:solidFill>
                    <w14:schemeClr w14:val="tx1"/>
                  </w14:solidFill>
                </w14:textFill>
              </w:rPr>
            </w:pPr>
          </w:p>
          <w:p w14:paraId="356DC218">
            <w:pPr>
              <w:pStyle w:val="7"/>
              <w:rPr>
                <w:rFonts w:hint="eastAsia" w:ascii="宋体" w:hAnsi="宋体" w:cs="宋体"/>
                <w:color w:val="000000" w:themeColor="text1"/>
                <w:kern w:val="0"/>
                <w:sz w:val="24"/>
                <w:highlight w:val="none"/>
                <w:lang w:bidi="ar"/>
                <w14:textFill>
                  <w14:solidFill>
                    <w14:schemeClr w14:val="tx1"/>
                  </w14:solidFill>
                </w14:textFill>
              </w:rPr>
            </w:pPr>
          </w:p>
          <w:p w14:paraId="39083EDA">
            <w:pPr>
              <w:pStyle w:val="7"/>
              <w:rPr>
                <w:rFonts w:hint="eastAsia" w:ascii="宋体" w:hAnsi="宋体" w:cs="宋体"/>
                <w:color w:val="000000" w:themeColor="text1"/>
                <w:kern w:val="0"/>
                <w:sz w:val="24"/>
                <w:highlight w:val="none"/>
                <w:lang w:bidi="ar"/>
                <w14:textFill>
                  <w14:solidFill>
                    <w14:schemeClr w14:val="tx1"/>
                  </w14:solidFill>
                </w14:textFill>
              </w:rPr>
            </w:pPr>
          </w:p>
          <w:p w14:paraId="229F952E">
            <w:pPr>
              <w:pStyle w:val="7"/>
              <w:rPr>
                <w:rFonts w:hint="eastAsia" w:ascii="宋体" w:hAnsi="宋体" w:cs="宋体"/>
                <w:color w:val="000000" w:themeColor="text1"/>
                <w:kern w:val="0"/>
                <w:sz w:val="24"/>
                <w:highlight w:val="none"/>
                <w:lang w:bidi="ar"/>
                <w14:textFill>
                  <w14:solidFill>
                    <w14:schemeClr w14:val="tx1"/>
                  </w14:solidFill>
                </w14:textFill>
              </w:rPr>
            </w:pPr>
          </w:p>
          <w:p w14:paraId="5007B3A8">
            <w:pPr>
              <w:pStyle w:val="7"/>
              <w:rPr>
                <w:rFonts w:hint="eastAsia" w:ascii="宋体" w:hAnsi="宋体" w:cs="宋体"/>
                <w:color w:val="000000" w:themeColor="text1"/>
                <w:kern w:val="0"/>
                <w:sz w:val="24"/>
                <w:highlight w:val="none"/>
                <w:lang w:bidi="ar"/>
                <w14:textFill>
                  <w14:solidFill>
                    <w14:schemeClr w14:val="tx1"/>
                  </w14:solidFill>
                </w14:textFill>
              </w:rPr>
            </w:pPr>
          </w:p>
          <w:p w14:paraId="5621A61E">
            <w:pPr>
              <w:pStyle w:val="7"/>
              <w:rPr>
                <w:rFonts w:hint="eastAsia" w:ascii="宋体" w:hAnsi="宋体" w:cs="宋体"/>
                <w:color w:val="000000" w:themeColor="text1"/>
                <w:kern w:val="0"/>
                <w:sz w:val="24"/>
                <w:highlight w:val="none"/>
                <w:lang w:bidi="ar"/>
                <w14:textFill>
                  <w14:solidFill>
                    <w14:schemeClr w14:val="tx1"/>
                  </w14:solidFill>
                </w14:textFill>
              </w:rPr>
            </w:pPr>
          </w:p>
          <w:p w14:paraId="49940C73">
            <w:pPr>
              <w:pStyle w:val="7"/>
              <w:rPr>
                <w:rFonts w:hint="eastAsia" w:ascii="宋体" w:hAnsi="宋体" w:cs="宋体"/>
                <w:color w:val="000000" w:themeColor="text1"/>
                <w:kern w:val="0"/>
                <w:sz w:val="24"/>
                <w:highlight w:val="none"/>
                <w:lang w:bidi="ar"/>
                <w14:textFill>
                  <w14:solidFill>
                    <w14:schemeClr w14:val="tx1"/>
                  </w14:solidFill>
                </w14:textFill>
              </w:rPr>
            </w:pPr>
          </w:p>
          <w:p w14:paraId="120EC67F">
            <w:pPr>
              <w:pStyle w:val="7"/>
              <w:rPr>
                <w:rFonts w:hint="eastAsia" w:ascii="宋体" w:hAnsi="宋体" w:cs="宋体"/>
                <w:color w:val="000000" w:themeColor="text1"/>
                <w:kern w:val="0"/>
                <w:sz w:val="24"/>
                <w:highlight w:val="none"/>
                <w:lang w:bidi="ar"/>
                <w14:textFill>
                  <w14:solidFill>
                    <w14:schemeClr w14:val="tx1"/>
                  </w14:solidFill>
                </w14:textFill>
              </w:rPr>
            </w:pPr>
          </w:p>
          <w:p w14:paraId="1D96BD26">
            <w:pPr>
              <w:pStyle w:val="7"/>
              <w:rPr>
                <w:rFonts w:hint="eastAsia" w:ascii="宋体" w:hAnsi="宋体" w:cs="宋体"/>
                <w:color w:val="000000" w:themeColor="text1"/>
                <w:kern w:val="0"/>
                <w:sz w:val="24"/>
                <w:highlight w:val="none"/>
                <w:lang w:bidi="ar"/>
                <w14:textFill>
                  <w14:solidFill>
                    <w14:schemeClr w14:val="tx1"/>
                  </w14:solidFill>
                </w14:textFill>
              </w:rPr>
            </w:pPr>
          </w:p>
        </w:tc>
      </w:tr>
    </w:tbl>
    <w:p w14:paraId="71619548">
      <w:pPr>
        <w:pStyle w:val="16"/>
        <w:jc w:val="center"/>
        <w:outlineLvl w:val="0"/>
        <w:rPr>
          <w:rFonts w:ascii="Times New Roman" w:hAnsi="Times New Roman" w:eastAsia="黑体"/>
          <w:snapToGrid w:val="0"/>
          <w:color w:val="000000" w:themeColor="text1"/>
          <w:sz w:val="30"/>
          <w:szCs w:val="30"/>
          <w:highlight w:val="none"/>
          <w14:textFill>
            <w14:solidFill>
              <w14:schemeClr w14:val="tx1"/>
            </w14:solidFill>
          </w14:textFill>
        </w:rPr>
      </w:pPr>
      <w:r>
        <w:rPr>
          <w:rFonts w:ascii="黑体" w:hAnsi="黑体" w:eastAsia="黑体"/>
          <w:snapToGrid w:val="0"/>
          <w:color w:val="000000" w:themeColor="text1"/>
          <w:sz w:val="36"/>
          <w:szCs w:val="36"/>
          <w:highlight w:val="none"/>
          <w14:textFill>
            <w14:solidFill>
              <w14:schemeClr w14:val="tx1"/>
            </w14:solidFill>
          </w14:textFill>
        </w:rPr>
        <w:br w:type="page"/>
      </w:r>
      <w:bookmarkStart w:id="7" w:name="_GoBack"/>
      <w:bookmarkEnd w:id="7"/>
      <w:r>
        <w:rPr>
          <w:rFonts w:ascii="Times New Roman" w:hAnsi="Times New Roman" w:eastAsia="黑体"/>
          <w:snapToGrid w:val="0"/>
          <w:color w:val="000000" w:themeColor="text1"/>
          <w:sz w:val="30"/>
          <w:szCs w:val="30"/>
          <w:highlight w:val="none"/>
          <w14:textFill>
            <w14:solidFill>
              <w14:schemeClr w14:val="tx1"/>
            </w14:solidFill>
          </w14:textFill>
        </w:rPr>
        <w:t>四、主要环境影响和保护措施</w:t>
      </w:r>
    </w:p>
    <w:tbl>
      <w:tblPr>
        <w:tblStyle w:val="18"/>
        <w:tblW w:w="89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6"/>
        <w:gridCol w:w="8162"/>
      </w:tblGrid>
      <w:tr w14:paraId="1D07B4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99" w:hRule="atLeast"/>
          <w:jc w:val="center"/>
        </w:trPr>
        <w:tc>
          <w:tcPr>
            <w:tcW w:w="746" w:type="dxa"/>
            <w:tcMar>
              <w:left w:w="28" w:type="dxa"/>
              <w:right w:w="28" w:type="dxa"/>
            </w:tcMar>
            <w:vAlign w:val="center"/>
          </w:tcPr>
          <w:p w14:paraId="2E4982AE">
            <w:pPr>
              <w:pStyle w:val="16"/>
              <w:adjustRightInd w:val="0"/>
              <w:snapToGrid w:val="0"/>
              <w:spacing w:before="0" w:beforeAutospacing="0" w:after="0" w:afterAutospacing="0"/>
              <w:jc w:val="center"/>
              <w:rPr>
                <w:rFonts w:ascii="Times New Roman" w:hAnsi="Times New Roman"/>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施工</w:t>
            </w:r>
          </w:p>
          <w:p w14:paraId="4E382285">
            <w:pPr>
              <w:pStyle w:val="16"/>
              <w:adjustRightInd w:val="0"/>
              <w:snapToGrid w:val="0"/>
              <w:spacing w:before="0" w:beforeAutospacing="0" w:after="0" w:afterAutospacing="0"/>
              <w:jc w:val="center"/>
              <w:rPr>
                <w:rFonts w:ascii="Times New Roman" w:hAnsi="Times New Roman"/>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期环</w:t>
            </w:r>
          </w:p>
          <w:p w14:paraId="5D5EEE1B">
            <w:pPr>
              <w:pStyle w:val="16"/>
              <w:adjustRightInd w:val="0"/>
              <w:snapToGrid w:val="0"/>
              <w:spacing w:before="0" w:beforeAutospacing="0" w:after="0" w:afterAutospacing="0"/>
              <w:jc w:val="center"/>
              <w:rPr>
                <w:rFonts w:ascii="Times New Roman" w:hAnsi="Times New Roman"/>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境保</w:t>
            </w:r>
          </w:p>
          <w:p w14:paraId="50EC4B70">
            <w:pPr>
              <w:pStyle w:val="16"/>
              <w:adjustRightInd w:val="0"/>
              <w:snapToGrid w:val="0"/>
              <w:spacing w:before="0" w:beforeAutospacing="0" w:after="0" w:afterAutospacing="0"/>
              <w:jc w:val="center"/>
              <w:rPr>
                <w:rFonts w:ascii="Times New Roman" w:hAnsi="Times New Roman"/>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护措</w:t>
            </w:r>
          </w:p>
          <w:p w14:paraId="74BF8B0A">
            <w:pPr>
              <w:pStyle w:val="16"/>
              <w:adjustRightInd w:val="0"/>
              <w:snapToGrid w:val="0"/>
              <w:spacing w:before="0" w:beforeAutospacing="0" w:after="0" w:afterAutospacing="0"/>
              <w:jc w:val="center"/>
              <w:rPr>
                <w:rFonts w:ascii="Times New Roman" w:hAnsi="Times New Roman"/>
                <w:bCs/>
                <w:color w:val="000000" w:themeColor="text1"/>
                <w:kern w:val="2"/>
                <w:sz w:val="21"/>
                <w:szCs w:val="21"/>
                <w:highlight w:val="none"/>
                <w14:textFill>
                  <w14:solidFill>
                    <w14:schemeClr w14:val="tx1"/>
                  </w14:solidFill>
                </w14:textFill>
              </w:rPr>
            </w:pPr>
            <w:r>
              <w:rPr>
                <w:rFonts w:ascii="Times New Roman" w:hAnsi="Times New Roman"/>
                <w:color w:val="000000" w:themeColor="text1"/>
                <w:kern w:val="2"/>
                <w:sz w:val="21"/>
                <w:szCs w:val="21"/>
                <w:highlight w:val="none"/>
                <w14:textFill>
                  <w14:solidFill>
                    <w14:schemeClr w14:val="tx1"/>
                  </w14:solidFill>
                </w14:textFill>
              </w:rPr>
              <w:t>施</w:t>
            </w:r>
          </w:p>
        </w:tc>
        <w:tc>
          <w:tcPr>
            <w:tcW w:w="8162" w:type="dxa"/>
            <w:vAlign w:val="center"/>
          </w:tcPr>
          <w:p w14:paraId="0F824723">
            <w:pPr>
              <w:widowControl/>
              <w:spacing w:line="360" w:lineRule="auto"/>
              <w:ind w:firstLine="480" w:firstLineChars="200"/>
              <w:rPr>
                <w:color w:val="000000" w:themeColor="text1"/>
                <w:kern w:val="0"/>
                <w:sz w:val="24"/>
                <w:highlight w:val="none"/>
                <w:lang w:bidi="ar"/>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本项目施工期主要包括工程用地范围内的场地平整、基础工程，主要建筑设施修建、车间装修、设备安装和工程验收等，从污染程度和范围分析，工程施工废气和噪声对环境污染相对较突出，但施工期为短期行为，随着工程竣工影响基本消除。施工期的具体环境影响分析如下。</w:t>
            </w:r>
          </w:p>
          <w:p w14:paraId="4879B729">
            <w:pPr>
              <w:widowControl/>
              <w:spacing w:line="360" w:lineRule="auto"/>
              <w:jc w:val="left"/>
              <w:rPr>
                <w:color w:val="000000" w:themeColor="text1"/>
                <w:highlight w:val="none"/>
                <w14:textFill>
                  <w14:solidFill>
                    <w14:schemeClr w14:val="tx1"/>
                  </w14:solidFill>
                </w14:textFill>
              </w:rPr>
            </w:pPr>
            <w:r>
              <w:rPr>
                <w:b/>
                <w:bCs/>
                <w:color w:val="000000" w:themeColor="text1"/>
                <w:kern w:val="0"/>
                <w:sz w:val="24"/>
                <w:highlight w:val="none"/>
                <w:lang w:bidi="ar"/>
                <w14:textFill>
                  <w14:solidFill>
                    <w14:schemeClr w14:val="tx1"/>
                  </w14:solidFill>
                </w14:textFill>
              </w:rPr>
              <w:t>1、废气</w:t>
            </w:r>
          </w:p>
          <w:p w14:paraId="74835D84">
            <w:pPr>
              <w:widowControl/>
              <w:spacing w:line="360" w:lineRule="auto"/>
              <w:ind w:firstLine="480" w:firstLineChars="200"/>
              <w:jc w:val="left"/>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（1）施工期扬尘</w:t>
            </w:r>
          </w:p>
          <w:p w14:paraId="52A93481">
            <w:pPr>
              <w:widowControl/>
              <w:spacing w:line="360" w:lineRule="auto"/>
              <w:ind w:firstLine="480" w:firstLineChars="200"/>
              <w:jc w:val="left"/>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施工期扬尘主要来自场地平整、挖方与回填、场地夯实、施工中的土方运输、施工材料装卸和车辆运输等，施工场地修建临时道路与黄沙、石料堆场遇风亦会产生扬尘，均为无组织排放。主要污染物为扬尘。</w:t>
            </w:r>
          </w:p>
          <w:p w14:paraId="208F4AC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bidi="ar"/>
              </w:rPr>
            </w:pPr>
            <w:r>
              <w:rPr>
                <w:rFonts w:hint="default" w:ascii="Times New Roman" w:hAnsi="Times New Roman" w:eastAsia="宋体" w:cs="Times New Roman"/>
                <w:color w:val="FF0000"/>
                <w:kern w:val="0"/>
                <w:sz w:val="24"/>
                <w:highlight w:val="none"/>
                <w:lang w:bidi="ar"/>
              </w:rPr>
              <w:t>依据</w:t>
            </w:r>
            <w:r>
              <w:rPr>
                <w:rFonts w:hint="default" w:ascii="Times New Roman" w:hAnsi="Times New Roman" w:eastAsia="宋体" w:cs="Times New Roman"/>
                <w:b w:val="0"/>
                <w:bCs w:val="0"/>
                <w:color w:val="FF0000"/>
                <w:sz w:val="24"/>
                <w:szCs w:val="32"/>
                <w:highlight w:val="none"/>
                <w:vertAlign w:val="baseline"/>
                <w:lang w:val="en-US" w:eastAsia="zh-CN"/>
              </w:rPr>
              <w:t>《施工及堆料场地扬尘排放标准》（DB21/2642 -2016）</w:t>
            </w:r>
            <w:r>
              <w:rPr>
                <w:rFonts w:hint="default" w:ascii="Times New Roman" w:hAnsi="Times New Roman" w:eastAsia="宋体" w:cs="Times New Roman"/>
                <w:color w:val="FF0000"/>
                <w:kern w:val="0"/>
                <w:sz w:val="24"/>
                <w:highlight w:val="none"/>
                <w:lang w:bidi="ar"/>
              </w:rPr>
              <w:t>的有关规定，提出以下扬尘防治措施：</w:t>
            </w:r>
          </w:p>
          <w:p w14:paraId="3D97C98C">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bidi="ar"/>
              </w:rPr>
            </w:pPr>
            <w:r>
              <w:rPr>
                <w:rFonts w:hint="default" w:ascii="Times New Roman" w:hAnsi="Times New Roman" w:eastAsia="宋体" w:cs="Times New Roman"/>
                <w:color w:val="FF0000"/>
                <w:kern w:val="0"/>
                <w:sz w:val="24"/>
                <w:highlight w:val="none"/>
                <w:lang w:bidi="ar"/>
              </w:rPr>
              <w:t>1）应当按照规定向所在地环境保护行政主管部门申报排放扬尘污染物的种类、作业时间以及作业地点，并制定扬尘污染防治责任制度，采取防治措施，保证扬尘排放达到国家和省规定的标准。</w:t>
            </w:r>
          </w:p>
          <w:p w14:paraId="629CBE4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bidi="ar"/>
              </w:rPr>
            </w:pPr>
            <w:r>
              <w:rPr>
                <w:rFonts w:hint="default" w:ascii="Times New Roman" w:hAnsi="Times New Roman" w:eastAsia="宋体" w:cs="Times New Roman"/>
                <w:color w:val="FF0000"/>
                <w:kern w:val="0"/>
                <w:sz w:val="24"/>
                <w:highlight w:val="none"/>
                <w:lang w:bidi="ar"/>
              </w:rPr>
              <w:t>建设单位与施工单位签订施工合同，应当明确扬尘污染防治责任，将扬尘污染防治费用列入工程预算。</w:t>
            </w:r>
          </w:p>
          <w:p w14:paraId="477D6D38">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val="en-US" w:eastAsia="zh-CN" w:bidi="ar"/>
              </w:rPr>
              <w:t>2</w:t>
            </w:r>
            <w:r>
              <w:rPr>
                <w:rFonts w:hint="default" w:ascii="Times New Roman" w:hAnsi="Times New Roman" w:eastAsia="宋体" w:cs="Times New Roman"/>
                <w:color w:val="FF0000"/>
                <w:kern w:val="0"/>
                <w:sz w:val="24"/>
                <w:highlight w:val="none"/>
                <w:lang w:eastAsia="zh-CN" w:bidi="ar"/>
              </w:rPr>
              <w:t>）对可能产生扬尘污染且未取得环境影响评价审批文件的建设项目，审批部门不得批准，建设单位不得开工建设。</w:t>
            </w:r>
          </w:p>
          <w:p w14:paraId="19C0B747">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val="en-US" w:eastAsia="zh-CN" w:bidi="ar"/>
              </w:rPr>
              <w:t>3</w:t>
            </w:r>
            <w:r>
              <w:rPr>
                <w:rFonts w:hint="default" w:ascii="Times New Roman" w:hAnsi="Times New Roman" w:eastAsia="宋体" w:cs="Times New Roman"/>
                <w:color w:val="FF0000"/>
                <w:kern w:val="0"/>
                <w:sz w:val="24"/>
                <w:highlight w:val="none"/>
                <w:lang w:eastAsia="zh-CN" w:bidi="ar"/>
              </w:rPr>
              <w:t>）建设单位应当对施工期产生扬尘污染的建设项目实行施工期环境监理。环境监理单位应当将扬尘污染防治纳入环境监理细则，发现扬尘污染违法行为的，应当要求施工单位立即改正，并及时报告建设单位及有关行政主管部门。</w:t>
            </w:r>
          </w:p>
          <w:p w14:paraId="34491CD2">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val="en-US" w:eastAsia="zh-CN" w:bidi="ar"/>
              </w:rPr>
              <w:t>4</w:t>
            </w:r>
            <w:r>
              <w:rPr>
                <w:rFonts w:hint="default" w:ascii="Times New Roman" w:hAnsi="Times New Roman" w:eastAsia="宋体" w:cs="Times New Roman"/>
                <w:color w:val="FF0000"/>
                <w:kern w:val="0"/>
                <w:sz w:val="24"/>
                <w:highlight w:val="none"/>
                <w:lang w:eastAsia="zh-CN" w:bidi="ar"/>
              </w:rPr>
              <w:t>）建设工程施工应当遵守下列防尘规定：</w:t>
            </w:r>
          </w:p>
          <w:p w14:paraId="3FFF57C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eastAsia="zh-CN" w:bidi="ar"/>
              </w:rPr>
              <w:t>①施工工地周围应当设置连续、密闭的围挡。在市、县城区内的施工现场，其高度不得低于2.5米；在乡（镇）内的施工现场，其高度不得低于1.8 米；</w:t>
            </w:r>
          </w:p>
          <w:p w14:paraId="1915F55E">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eastAsia="zh-CN" w:bidi="ar"/>
              </w:rPr>
              <w:t>②施工工地地面、车行道路应当进行硬化等降尘处理；</w:t>
            </w:r>
          </w:p>
          <w:p w14:paraId="26D74068">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eastAsia="zh-CN" w:bidi="ar"/>
              </w:rPr>
              <w:t>③易产生扬尘的土方工程等施工时，应当采取洒水等抑尘措施；</w:t>
            </w:r>
          </w:p>
          <w:p w14:paraId="3C538AD8">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eastAsia="zh-CN" w:bidi="ar"/>
              </w:rPr>
              <w:t>④建筑垃圾、工程渣土等在48小时内未能清运的，应当在施工工地内设置临时堆放场并采取围挡、遮盖等防尘措施；</w:t>
            </w:r>
          </w:p>
          <w:p w14:paraId="08724EEF">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eastAsia="zh-CN" w:bidi="ar"/>
              </w:rPr>
              <w:t>⑤运输车辆在除泥、冲洗干净后方可驶出作业场所，不得使用空气压缩机等易产生扬尘的设备清理车辆、设备和物料的</w:t>
            </w:r>
            <w:r>
              <w:rPr>
                <w:rFonts w:hint="default" w:ascii="Times New Roman" w:hAnsi="Times New Roman" w:eastAsia="宋体" w:cs="Times New Roman"/>
                <w:color w:val="FF0000"/>
                <w:kern w:val="0"/>
                <w:sz w:val="24"/>
                <w:highlight w:val="none"/>
                <w:lang w:val="en-US" w:eastAsia="zh-CN" w:bidi="ar"/>
              </w:rPr>
              <w:t>尘埃</w:t>
            </w:r>
            <w:r>
              <w:rPr>
                <w:rFonts w:hint="default" w:ascii="Times New Roman" w:hAnsi="Times New Roman" w:eastAsia="宋体" w:cs="Times New Roman"/>
                <w:color w:val="FF0000"/>
                <w:kern w:val="0"/>
                <w:sz w:val="24"/>
                <w:highlight w:val="none"/>
                <w:lang w:eastAsia="zh-CN" w:bidi="ar"/>
              </w:rPr>
              <w:t>；</w:t>
            </w:r>
          </w:p>
          <w:p w14:paraId="6D25E2D5">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eastAsia="zh-CN" w:bidi="ar"/>
              </w:rPr>
              <w:t>⑥需使用混凝土的，应当使用预拌混凝土或者进行密闭搅拌并采取相应的扬尘防治措施，严禁现场露天搅拌；</w:t>
            </w:r>
          </w:p>
          <w:p w14:paraId="1FA56814">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eastAsia="zh-CN" w:bidi="ar"/>
              </w:rPr>
              <w:t>⑦闲置3个月以上的施工工地，应当对其裸露泥地进行临时绿化或者铺装；</w:t>
            </w:r>
          </w:p>
          <w:p w14:paraId="6F0A691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eastAsia="zh-CN" w:bidi="ar"/>
              </w:rPr>
              <w:t>⑧对工程材料、砂石、土方等易产生扬尘的物料应当密闭处理。在工地内堆放，应当采取覆盖防尘网或者防尘布，定期采取喷洒粉尘抑制剂、洒水等措施；</w:t>
            </w:r>
          </w:p>
          <w:p w14:paraId="637A6AEB">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eastAsia="zh-CN" w:bidi="ar"/>
              </w:rPr>
            </w:pPr>
            <w:r>
              <w:rPr>
                <w:rFonts w:hint="default" w:ascii="Times New Roman" w:hAnsi="Times New Roman" w:eastAsia="宋体" w:cs="Times New Roman"/>
                <w:color w:val="FF0000"/>
                <w:kern w:val="0"/>
                <w:sz w:val="24"/>
                <w:highlight w:val="none"/>
                <w:lang w:eastAsia="zh-CN" w:bidi="ar"/>
              </w:rPr>
              <w:t>⑨在建筑物、构筑物上运送散装物料、建筑垃圾和渣土的，应当采用密闭方式清运，禁止高空抛掷、扬撒。</w:t>
            </w:r>
          </w:p>
          <w:p w14:paraId="7DCE9388">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val="en-US" w:eastAsia="zh-CN" w:bidi="ar"/>
              </w:rPr>
            </w:pPr>
            <w:r>
              <w:rPr>
                <w:rFonts w:hint="default" w:ascii="Times New Roman" w:hAnsi="Times New Roman" w:eastAsia="宋体" w:cs="Times New Roman"/>
                <w:color w:val="FF0000"/>
                <w:kern w:val="0"/>
                <w:sz w:val="24"/>
                <w:highlight w:val="none"/>
                <w:lang w:val="en-US" w:eastAsia="zh-CN" w:bidi="ar"/>
              </w:rPr>
              <w:t>5）</w:t>
            </w:r>
            <w:r>
              <w:rPr>
                <w:rFonts w:hint="default" w:ascii="Times New Roman" w:hAnsi="Times New Roman" w:eastAsia="宋体" w:cs="Times New Roman"/>
                <w:b w:val="0"/>
                <w:bCs w:val="0"/>
                <w:color w:val="FF0000"/>
                <w:sz w:val="24"/>
                <w:szCs w:val="32"/>
                <w:highlight w:val="none"/>
                <w:vertAlign w:val="baseline"/>
                <w:lang w:val="en-US" w:eastAsia="zh-CN"/>
              </w:rPr>
              <w:t>施工现场应严格落实“六个百分百”。具体包括：施工围挡100%标准；物料堆放100%覆盖；施工现场100%湿法作业；施工道路100%硬化；施工现场出入车辆100%冲洗；渣土运输车辆100%密闭运输。</w:t>
            </w:r>
          </w:p>
          <w:p w14:paraId="39BEB07F">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bidi="ar"/>
              </w:rPr>
            </w:pPr>
            <w:r>
              <w:rPr>
                <w:rFonts w:hint="default" w:ascii="Times New Roman" w:hAnsi="Times New Roman" w:eastAsia="宋体" w:cs="Times New Roman"/>
                <w:color w:val="FF0000"/>
                <w:kern w:val="0"/>
                <w:sz w:val="24"/>
                <w:highlight w:val="none"/>
                <w:lang w:bidi="ar"/>
              </w:rPr>
              <w:t>经上述处理措施后，满足《施工及堆料场地扬尘排放标准》（DB21/2642 -2016）相关要求，对区域环境空气影响较小。</w:t>
            </w:r>
          </w:p>
          <w:p w14:paraId="325B1E35">
            <w:pPr>
              <w:spacing w:line="360" w:lineRule="auto"/>
              <w:ind w:firstLine="480" w:firstLineChars="200"/>
              <w:rPr>
                <w:bCs/>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（2）施工机械燃油废气</w:t>
            </w:r>
          </w:p>
          <w:p w14:paraId="590DA339">
            <w:pPr>
              <w:spacing w:line="360" w:lineRule="auto"/>
              <w:ind w:firstLine="480" w:firstLineChars="200"/>
              <w:rPr>
                <w:color w:val="000000" w:themeColor="text1"/>
                <w:kern w:val="0"/>
                <w:sz w:val="24"/>
                <w:highlight w:val="none"/>
                <w:lang w:bidi="ar"/>
                <w14:textFill>
                  <w14:solidFill>
                    <w14:schemeClr w14:val="tx1"/>
                  </w14:solidFill>
                </w14:textFill>
              </w:rPr>
            </w:pPr>
            <w:r>
              <w:rPr>
                <w:color w:val="000000" w:themeColor="text1"/>
                <w:sz w:val="24"/>
                <w:highlight w:val="none"/>
                <w14:textFill>
                  <w14:solidFill>
                    <w14:schemeClr w14:val="tx1"/>
                  </w14:solidFill>
                </w14:textFill>
              </w:rPr>
              <w:t>施工过程用到的施工机械主要包括挖掘机、装载机、推土机等，它们以柴油为燃料，会产生一定量废气排放</w:t>
            </w:r>
            <w:r>
              <w:rPr>
                <w:color w:val="000000" w:themeColor="text1"/>
                <w:kern w:val="0"/>
                <w:sz w:val="24"/>
                <w:highlight w:val="none"/>
                <w14:textFill>
                  <w14:solidFill>
                    <w14:schemeClr w14:val="tx1"/>
                  </w14:solidFill>
                </w14:textFill>
              </w:rPr>
              <w:t>，主要包括</w:t>
            </w:r>
            <w:r>
              <w:rPr>
                <w:rFonts w:eastAsia="TimesNewRomanPSMT"/>
                <w:color w:val="000000" w:themeColor="text1"/>
                <w:kern w:val="0"/>
                <w:sz w:val="24"/>
                <w:highlight w:val="none"/>
                <w14:textFill>
                  <w14:solidFill>
                    <w14:schemeClr w14:val="tx1"/>
                  </w14:solidFill>
                </w14:textFill>
              </w:rPr>
              <w:t>CO</w:t>
            </w:r>
            <w:r>
              <w:rPr>
                <w:color w:val="000000" w:themeColor="text1"/>
                <w:kern w:val="0"/>
                <w:sz w:val="24"/>
                <w:highlight w:val="none"/>
                <w14:textFill>
                  <w14:solidFill>
                    <w14:schemeClr w14:val="tx1"/>
                  </w14:solidFill>
                </w14:textFill>
              </w:rPr>
              <w:t>、</w:t>
            </w:r>
            <w:r>
              <w:rPr>
                <w:rFonts w:eastAsia="TimesNewRomanPSMT"/>
                <w:color w:val="000000" w:themeColor="text1"/>
                <w:kern w:val="0"/>
                <w:sz w:val="24"/>
                <w:highlight w:val="none"/>
                <w14:textFill>
                  <w14:solidFill>
                    <w14:schemeClr w14:val="tx1"/>
                  </w14:solidFill>
                </w14:textFill>
              </w:rPr>
              <w:t>NOx</w:t>
            </w:r>
            <w:r>
              <w:rPr>
                <w:color w:val="000000" w:themeColor="text1"/>
                <w:kern w:val="0"/>
                <w:sz w:val="24"/>
                <w:highlight w:val="none"/>
                <w14:textFill>
                  <w14:solidFill>
                    <w14:schemeClr w14:val="tx1"/>
                  </w14:solidFill>
                </w14:textFill>
              </w:rPr>
              <w:t>、</w:t>
            </w:r>
            <w:r>
              <w:rPr>
                <w:rFonts w:eastAsia="TimesNewRomanPSMT"/>
                <w:color w:val="000000" w:themeColor="text1"/>
                <w:kern w:val="0"/>
                <w:sz w:val="24"/>
                <w:highlight w:val="none"/>
                <w14:textFill>
                  <w14:solidFill>
                    <w14:schemeClr w14:val="tx1"/>
                  </w14:solidFill>
                </w14:textFill>
              </w:rPr>
              <w:t>SO</w:t>
            </w:r>
            <w:r>
              <w:rPr>
                <w:rFonts w:eastAsia="TimesNewRomanPSMT"/>
                <w:color w:val="000000" w:themeColor="text1"/>
                <w:kern w:val="0"/>
                <w:sz w:val="24"/>
                <w:highlight w:val="none"/>
                <w:vertAlign w:val="subscript"/>
                <w14:textFill>
                  <w14:solidFill>
                    <w14:schemeClr w14:val="tx1"/>
                  </w14:solidFill>
                </w14:textFill>
              </w:rPr>
              <w:t>2</w:t>
            </w:r>
            <w:r>
              <w:rPr>
                <w:color w:val="000000" w:themeColor="text1"/>
                <w:kern w:val="0"/>
                <w:sz w:val="24"/>
                <w:highlight w:val="none"/>
                <w14:textFill>
                  <w14:solidFill>
                    <w14:schemeClr w14:val="tx1"/>
                  </w14:solidFill>
                </w14:textFill>
              </w:rPr>
              <w:t>、</w:t>
            </w:r>
            <w:r>
              <w:rPr>
                <w:color w:val="000000" w:themeColor="text1"/>
                <w:sz w:val="24"/>
                <w:highlight w:val="none"/>
                <w14:textFill>
                  <w14:solidFill>
                    <w14:schemeClr w14:val="tx1"/>
                  </w14:solidFill>
                </w14:textFill>
              </w:rPr>
              <w:t>THC</w:t>
            </w:r>
            <w:r>
              <w:rPr>
                <w:color w:val="000000" w:themeColor="text1"/>
                <w:kern w:val="0"/>
                <w:sz w:val="24"/>
                <w:highlight w:val="none"/>
                <w14:textFill>
                  <w14:solidFill>
                    <w14:schemeClr w14:val="tx1"/>
                  </w14:solidFill>
                </w14:textFill>
              </w:rPr>
              <w:t>等污染物。</w:t>
            </w:r>
            <w:r>
              <w:rPr>
                <w:color w:val="000000" w:themeColor="text1"/>
                <w:sz w:val="24"/>
                <w:highlight w:val="none"/>
                <w14:textFill>
                  <w14:solidFill>
                    <w14:schemeClr w14:val="tx1"/>
                  </w14:solidFill>
                </w14:textFill>
              </w:rPr>
              <w:t>此类燃油废气系无组织流动性排放，其源强低且较为分散，又属于间歇性排放，产生量较小，持续时间短，且露天空旷条件利于气体扩散，因此对施工现场及周边空气环境环境影响较小。</w:t>
            </w:r>
          </w:p>
          <w:p w14:paraId="6072ECF3">
            <w:pPr>
              <w:widowControl/>
              <w:spacing w:line="360" w:lineRule="auto"/>
              <w:ind w:firstLine="482" w:firstLineChars="200"/>
              <w:jc w:val="left"/>
              <w:rPr>
                <w:color w:val="000000" w:themeColor="text1"/>
                <w:highlight w:val="none"/>
                <w14:textFill>
                  <w14:solidFill>
                    <w14:schemeClr w14:val="tx1"/>
                  </w14:solidFill>
                </w14:textFill>
              </w:rPr>
            </w:pPr>
            <w:r>
              <w:rPr>
                <w:b/>
                <w:bCs/>
                <w:color w:val="000000" w:themeColor="text1"/>
                <w:kern w:val="0"/>
                <w:sz w:val="24"/>
                <w:highlight w:val="none"/>
                <w:lang w:bidi="ar"/>
                <w14:textFill>
                  <w14:solidFill>
                    <w14:schemeClr w14:val="tx1"/>
                  </w14:solidFill>
                </w14:textFill>
              </w:rPr>
              <w:t>2、废水</w:t>
            </w:r>
          </w:p>
          <w:p w14:paraId="3B9E3C3A">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本项目施工期废水主要是施工废水和施工人员产生的生活污水。</w:t>
            </w:r>
          </w:p>
          <w:p w14:paraId="3A8AE0FE">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（1）施工废水：本项目使用商品混凝土，不在施工现场拌合，混凝土养护用水全部蒸发。</w:t>
            </w:r>
          </w:p>
          <w:p w14:paraId="4420CD49">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（2）生活污水：项目施工人员产生的生活污水</w:t>
            </w:r>
            <w:r>
              <w:rPr>
                <w:rFonts w:hint="eastAsia"/>
                <w:color w:val="000000" w:themeColor="text1"/>
                <w:kern w:val="0"/>
                <w:sz w:val="24"/>
                <w:highlight w:val="none"/>
                <w:lang w:val="en-US" w:eastAsia="zh-CN" w:bidi="ar"/>
                <w14:textFill>
                  <w14:solidFill>
                    <w14:schemeClr w14:val="tx1"/>
                  </w14:solidFill>
                </w14:textFill>
              </w:rPr>
              <w:t>依托采矿场现有</w:t>
            </w:r>
            <w:r>
              <w:rPr>
                <w:color w:val="000000" w:themeColor="text1"/>
                <w:kern w:val="0"/>
                <w:sz w:val="24"/>
                <w:highlight w:val="none"/>
                <w:lang w:bidi="ar"/>
                <w14:textFill>
                  <w14:solidFill>
                    <w14:schemeClr w14:val="tx1"/>
                  </w14:solidFill>
                </w14:textFill>
              </w:rPr>
              <w:t>防渗旱厕，定期清掏，不外排。项目施工期间，施工单位严禁乱排、乱流污染道路。施工现场要保持道路畅通，场地平整，无大面积地面积水，合理组织排水。经上述处理措施后，本项目施工期对区域地表水影响较小。</w:t>
            </w:r>
          </w:p>
          <w:p w14:paraId="769AD008">
            <w:pPr>
              <w:widowControl/>
              <w:spacing w:line="360" w:lineRule="auto"/>
              <w:ind w:firstLine="482" w:firstLineChars="200"/>
              <w:jc w:val="left"/>
              <w:rPr>
                <w:color w:val="000000" w:themeColor="text1"/>
                <w:highlight w:val="none"/>
                <w14:textFill>
                  <w14:solidFill>
                    <w14:schemeClr w14:val="tx1"/>
                  </w14:solidFill>
                </w14:textFill>
              </w:rPr>
            </w:pPr>
            <w:r>
              <w:rPr>
                <w:b/>
                <w:bCs/>
                <w:color w:val="000000" w:themeColor="text1"/>
                <w:kern w:val="0"/>
                <w:sz w:val="24"/>
                <w:highlight w:val="none"/>
                <w:lang w:bidi="ar"/>
                <w14:textFill>
                  <w14:solidFill>
                    <w14:schemeClr w14:val="tx1"/>
                  </w14:solidFill>
                </w14:textFill>
              </w:rPr>
              <w:t>3、噪声</w:t>
            </w:r>
          </w:p>
          <w:p w14:paraId="124C5B3A">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根据本项目工程分析，本项目施工期主要噪声为施工机械和运输车辆生产的噪声。为尽可能减轻施工噪声产生的污染，降低其对声环境的影响，本项目根据噪声产生源、产污种类和排放状况，采取如下治理和管理相结合的污染控制措施与对策：</w:t>
            </w:r>
          </w:p>
          <w:p w14:paraId="5800265C">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（1）施工过程优先选用低噪声设备，定期对设备进行维修检护，保证设备时刻处于最佳工作状态；闲置设备及时关闭，定时检修。</w:t>
            </w:r>
          </w:p>
          <w:p w14:paraId="14BA54EE">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（2）施工厂界建设临时噪声围挡，</w:t>
            </w:r>
            <w:r>
              <w:rPr>
                <w:rFonts w:hint="eastAsia"/>
                <w:color w:val="000000" w:themeColor="text1"/>
                <w:kern w:val="0"/>
                <w:sz w:val="24"/>
                <w:highlight w:val="none"/>
                <w:lang w:val="en-US" w:eastAsia="zh-CN" w:bidi="ar"/>
                <w14:textFill>
                  <w14:solidFill>
                    <w14:schemeClr w14:val="tx1"/>
                  </w14:solidFill>
                </w14:textFill>
              </w:rPr>
              <w:t>合理布局</w:t>
            </w:r>
            <w:r>
              <w:rPr>
                <w:color w:val="000000" w:themeColor="text1"/>
                <w:kern w:val="0"/>
                <w:sz w:val="24"/>
                <w:highlight w:val="none"/>
                <w:lang w:bidi="ar"/>
                <w14:textFill>
                  <w14:solidFill>
                    <w14:schemeClr w14:val="tx1"/>
                  </w14:solidFill>
                </w14:textFill>
              </w:rPr>
              <w:t>；</w:t>
            </w:r>
          </w:p>
          <w:p w14:paraId="54FE00F2">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（3）施工期合理安排作业进度，将大型噪声设备工作时间错开，尽可能避免多台大型噪声设备同时作业的情况；</w:t>
            </w:r>
          </w:p>
          <w:p w14:paraId="4B119BF6">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（4）夜间不施工；</w:t>
            </w:r>
          </w:p>
          <w:p w14:paraId="1C7025FA">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（5）运输车辆限速禁鸣，规划运输路线，尽可能远离敏感目标。</w:t>
            </w:r>
          </w:p>
          <w:p w14:paraId="0B61B509">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在采取上述声环境保护措施后，施工期噪声可得到有效控制，满足《建筑施工场界环境噪声排放标准》（GB12523-2011）相关要求，对区域声环境影响较小。</w:t>
            </w:r>
          </w:p>
          <w:p w14:paraId="2D6D7C60">
            <w:pPr>
              <w:widowControl/>
              <w:spacing w:line="360" w:lineRule="auto"/>
              <w:ind w:firstLine="482" w:firstLineChars="200"/>
              <w:jc w:val="left"/>
              <w:rPr>
                <w:color w:val="000000" w:themeColor="text1"/>
                <w:highlight w:val="none"/>
                <w14:textFill>
                  <w14:solidFill>
                    <w14:schemeClr w14:val="tx1"/>
                  </w14:solidFill>
                </w14:textFill>
              </w:rPr>
            </w:pPr>
            <w:r>
              <w:rPr>
                <w:b/>
                <w:bCs/>
                <w:color w:val="000000" w:themeColor="text1"/>
                <w:kern w:val="0"/>
                <w:sz w:val="24"/>
                <w:highlight w:val="none"/>
                <w:lang w:bidi="ar"/>
                <w14:textFill>
                  <w14:solidFill>
                    <w14:schemeClr w14:val="tx1"/>
                  </w14:solidFill>
                </w14:textFill>
              </w:rPr>
              <w:t>4、固体废物</w:t>
            </w:r>
          </w:p>
          <w:p w14:paraId="0B051C51">
            <w:pPr>
              <w:widowControl/>
              <w:spacing w:line="360" w:lineRule="auto"/>
              <w:ind w:firstLine="480" w:firstLineChars="200"/>
              <w:jc w:val="left"/>
              <w:rPr>
                <w:color w:val="000000" w:themeColor="text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施工期固体废物主要有建筑材料边角料和施工人员生活垃圾，建筑垃圾运送至指定地点堆放。施工期生活垃圾集中存放委托环卫清运。</w:t>
            </w:r>
          </w:p>
          <w:p w14:paraId="785251B6">
            <w:pPr>
              <w:widowControl/>
              <w:spacing w:line="360" w:lineRule="auto"/>
              <w:ind w:firstLine="480" w:firstLineChars="200"/>
              <w:jc w:val="left"/>
              <w:rPr>
                <w:bCs/>
                <w:color w:val="000000" w:themeColor="text1"/>
                <w:spacing w:val="-10"/>
                <w:szCs w:val="21"/>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根据对一般施工现场资料调查显示，上述措施可行，建设单位必须全面落实上述要求，保证施工期固体废物得到有效控制，防止产生二次污染。</w:t>
            </w:r>
          </w:p>
        </w:tc>
      </w:tr>
      <w:tr w14:paraId="2EA72BE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6" w:type="dxa"/>
            <w:tcMar>
              <w:left w:w="28" w:type="dxa"/>
              <w:right w:w="28" w:type="dxa"/>
            </w:tcMar>
            <w:vAlign w:val="center"/>
          </w:tcPr>
          <w:p w14:paraId="31133E5C">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运营</w:t>
            </w:r>
          </w:p>
          <w:p w14:paraId="6C7800FF">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期环</w:t>
            </w:r>
          </w:p>
          <w:p w14:paraId="6C090E94">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境影</w:t>
            </w:r>
          </w:p>
          <w:p w14:paraId="4FC3F23D">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响和</w:t>
            </w:r>
          </w:p>
          <w:p w14:paraId="38F5C16C">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保护</w:t>
            </w:r>
          </w:p>
          <w:p w14:paraId="3F7F6415">
            <w:pPr>
              <w:adjustRightInd w:val="0"/>
              <w:snapToGrid w:val="0"/>
              <w:jc w:val="center"/>
              <w:rPr>
                <w:rFonts w:ascii="宋体" w:hAnsi="宋体" w:cs="宋体"/>
                <w:bCs/>
                <w:color w:val="000000" w:themeColor="text1"/>
                <w:szCs w:val="21"/>
                <w:highlight w:val="none"/>
                <w14:textFill>
                  <w14:solidFill>
                    <w14:schemeClr w14:val="tx1"/>
                  </w14:solidFill>
                </w14:textFill>
              </w:rPr>
            </w:pPr>
            <w:r>
              <w:rPr>
                <w:rFonts w:hint="eastAsia" w:ascii="宋体" w:hAnsi="宋体" w:cs="宋体"/>
                <w:bCs/>
                <w:color w:val="000000" w:themeColor="text1"/>
                <w:szCs w:val="21"/>
                <w:highlight w:val="none"/>
                <w14:textFill>
                  <w14:solidFill>
                    <w14:schemeClr w14:val="tx1"/>
                  </w14:solidFill>
                </w14:textFill>
              </w:rPr>
              <w:t>措施</w:t>
            </w:r>
          </w:p>
        </w:tc>
        <w:tc>
          <w:tcPr>
            <w:tcW w:w="8162" w:type="dxa"/>
            <w:vAlign w:val="center"/>
          </w:tcPr>
          <w:p w14:paraId="0B210F5A">
            <w:pPr>
              <w:widowControl/>
              <w:numPr>
                <w:ilvl w:val="0"/>
                <w:numId w:val="5"/>
              </w:numPr>
              <w:spacing w:line="360" w:lineRule="auto"/>
              <w:jc w:val="left"/>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废气</w:t>
            </w:r>
          </w:p>
          <w:p w14:paraId="30B1B797">
            <w:pPr>
              <w:widowControl/>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1.1废气源强核算</w:t>
            </w:r>
          </w:p>
          <w:p w14:paraId="7D7ACB9A">
            <w:pPr>
              <w:pStyle w:val="48"/>
              <w:autoSpaceDE w:val="0"/>
              <w:autoSpaceDN w:val="0"/>
              <w:spacing w:line="360" w:lineRule="auto"/>
              <w:ind w:firstLine="480" w:firstLineChars="200"/>
              <w:rPr>
                <w:rFonts w:ascii="Times New Roman" w:hAnsi="Times New Roman" w:cs="Times New Roman"/>
                <w:color w:val="000000" w:themeColor="text1"/>
                <w:sz w:val="24"/>
                <w:highlight w:val="none"/>
                <w:lang w:val="en-US"/>
                <w14:textFill>
                  <w14:solidFill>
                    <w14:schemeClr w14:val="tx1"/>
                  </w14:solidFill>
                </w14:textFill>
              </w:rPr>
            </w:pPr>
            <w:r>
              <w:rPr>
                <w:rFonts w:hint="eastAsia" w:ascii="Times New Roman" w:hAnsi="Times New Roman" w:cs="Times New Roman"/>
                <w:color w:val="000000" w:themeColor="text1"/>
                <w:sz w:val="24"/>
                <w:highlight w:val="none"/>
                <w:lang w:val="en-US"/>
                <w14:textFill>
                  <w14:solidFill>
                    <w14:schemeClr w14:val="tx1"/>
                  </w14:solidFill>
                </w14:textFill>
              </w:rPr>
              <w:t>（1）运输车辆产生废气</w:t>
            </w:r>
          </w:p>
          <w:p w14:paraId="743557F1">
            <w:pPr>
              <w:widowControl/>
              <w:autoSpaceDE w:val="0"/>
              <w:autoSpaceDN w:val="0"/>
              <w:spacing w:line="360" w:lineRule="auto"/>
              <w:ind w:firstLine="480" w:firstLineChars="200"/>
              <w:rPr>
                <w:color w:val="000000" w:themeColor="text1"/>
                <w:kern w:val="0"/>
                <w:sz w:val="24"/>
                <w:highlight w:val="none"/>
                <w:lang w:bidi="ar"/>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①运输车辆产生扬尘</w:t>
            </w:r>
          </w:p>
          <w:p w14:paraId="1FAD509B">
            <w:pPr>
              <w:widowControl/>
              <w:autoSpaceDE w:val="0"/>
              <w:autoSpaceDN w:val="0"/>
              <w:spacing w:line="360" w:lineRule="auto"/>
              <w:ind w:firstLine="480" w:firstLineChars="200"/>
              <w:rPr>
                <w:color w:val="FF0000"/>
                <w:kern w:val="0"/>
                <w:sz w:val="24"/>
                <w:highlight w:val="none"/>
                <w:lang w:bidi="ar"/>
              </w:rPr>
            </w:pPr>
            <w:r>
              <w:rPr>
                <w:rFonts w:hint="eastAsia"/>
                <w:color w:val="FF0000"/>
                <w:kern w:val="0"/>
                <w:sz w:val="24"/>
                <w:highlight w:val="none"/>
                <w:lang w:val="en-US" w:eastAsia="zh-CN" w:bidi="ar"/>
              </w:rPr>
              <w:t>本项目原料运输由供货商负责，产品厂外运输由卖家车辆拉运，不在本项目评价范围内，建设单位应要求相关责任单位设置合理的运输计划，合理安排运输路线和运输时间，尽量避开生态保护区和人口密集区域，采取全程苫布遮盖、进出厂清洗车轮等措施</w:t>
            </w:r>
            <w:r>
              <w:rPr>
                <w:rFonts w:hint="eastAsia"/>
                <w:color w:val="FF0000"/>
                <w:kern w:val="0"/>
                <w:sz w:val="24"/>
                <w:highlight w:val="none"/>
                <w:lang w:eastAsia="zh-CN" w:bidi="ar"/>
              </w:rPr>
              <w:t>。</w:t>
            </w:r>
            <w:r>
              <w:rPr>
                <w:rFonts w:hint="eastAsia"/>
                <w:color w:val="FF0000"/>
                <w:kern w:val="0"/>
                <w:sz w:val="24"/>
                <w:highlight w:val="none"/>
                <w:lang w:bidi="ar"/>
              </w:rPr>
              <w:t>项目运营期厂内运输采用</w:t>
            </w:r>
            <w:r>
              <w:rPr>
                <w:rFonts w:hint="eastAsia"/>
                <w:color w:val="FF0000"/>
                <w:kern w:val="0"/>
                <w:sz w:val="24"/>
                <w:highlight w:val="none"/>
                <w:lang w:val="en-US" w:eastAsia="zh-CN" w:bidi="ar"/>
              </w:rPr>
              <w:t>装载机</w:t>
            </w:r>
            <w:r>
              <w:rPr>
                <w:rFonts w:hint="eastAsia"/>
                <w:color w:val="FF0000"/>
                <w:kern w:val="0"/>
                <w:sz w:val="24"/>
                <w:highlight w:val="none"/>
                <w:lang w:bidi="ar"/>
              </w:rPr>
              <w:t>，在运输过程中不可避免的要产生扬尘，特别是气象条件不利时，扬尘现象更为严重。运输扬尘采用下述计算公式进行计算：</w:t>
            </w:r>
          </w:p>
          <w:p w14:paraId="3DC282D9">
            <w:pPr>
              <w:widowControl/>
              <w:autoSpaceDE w:val="0"/>
              <w:autoSpaceDN w:val="0"/>
              <w:spacing w:line="360" w:lineRule="auto"/>
              <w:ind w:firstLine="420" w:firstLineChars="200"/>
              <w:jc w:val="center"/>
              <w:rPr>
                <w:color w:val="FF0000"/>
                <w:highlight w:val="none"/>
              </w:rPr>
            </w:pPr>
            <w:r>
              <w:rPr>
                <w:color w:val="FF0000"/>
                <w:highlight w:val="none"/>
              </w:rPr>
              <w:drawing>
                <wp:inline distT="0" distB="0" distL="114300" distR="114300">
                  <wp:extent cx="3253740" cy="350520"/>
                  <wp:effectExtent l="0" t="0" r="7620" b="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21"/>
                          <a:stretch>
                            <a:fillRect/>
                          </a:stretch>
                        </pic:blipFill>
                        <pic:spPr>
                          <a:xfrm>
                            <a:off x="0" y="0"/>
                            <a:ext cx="3253740" cy="350520"/>
                          </a:xfrm>
                          <a:prstGeom prst="rect">
                            <a:avLst/>
                          </a:prstGeom>
                          <a:noFill/>
                          <a:ln>
                            <a:noFill/>
                          </a:ln>
                        </pic:spPr>
                      </pic:pic>
                    </a:graphicData>
                  </a:graphic>
                </wp:inline>
              </w:drawing>
            </w:r>
          </w:p>
          <w:p w14:paraId="120A18D4">
            <w:pPr>
              <w:widowControl/>
              <w:autoSpaceDE w:val="0"/>
              <w:autoSpaceDN w:val="0"/>
              <w:spacing w:line="360" w:lineRule="auto"/>
              <w:ind w:firstLine="480" w:firstLineChars="200"/>
              <w:rPr>
                <w:color w:val="FF0000"/>
                <w:kern w:val="0"/>
                <w:sz w:val="24"/>
                <w:highlight w:val="none"/>
                <w:lang w:bidi="ar"/>
              </w:rPr>
            </w:pPr>
            <w:r>
              <w:rPr>
                <w:color w:val="FF0000"/>
                <w:kern w:val="0"/>
                <w:sz w:val="24"/>
                <w:highlight w:val="none"/>
                <w:lang w:bidi="ar"/>
              </w:rPr>
              <w:t>式中：Q</w:t>
            </w:r>
            <w:r>
              <w:rPr>
                <w:color w:val="FF0000"/>
                <w:kern w:val="0"/>
                <w:sz w:val="24"/>
                <w:highlight w:val="none"/>
                <w:vertAlign w:val="subscript"/>
                <w:lang w:bidi="ar"/>
              </w:rPr>
              <w:t>y</w:t>
            </w:r>
            <w:r>
              <w:rPr>
                <w:color w:val="FF0000"/>
                <w:kern w:val="0"/>
                <w:sz w:val="24"/>
                <w:highlight w:val="none"/>
                <w:lang w:bidi="ar"/>
              </w:rPr>
              <w:t>——交通运输起尘量，kg/km·辆；</w:t>
            </w:r>
          </w:p>
          <w:p w14:paraId="0B8B6C4A">
            <w:pPr>
              <w:widowControl/>
              <w:autoSpaceDE w:val="0"/>
              <w:autoSpaceDN w:val="0"/>
              <w:spacing w:line="360" w:lineRule="auto"/>
              <w:ind w:firstLine="1200" w:firstLineChars="500"/>
              <w:rPr>
                <w:color w:val="FF0000"/>
                <w:kern w:val="0"/>
                <w:sz w:val="24"/>
                <w:highlight w:val="none"/>
                <w:lang w:bidi="ar"/>
              </w:rPr>
            </w:pPr>
            <w:r>
              <w:rPr>
                <w:color w:val="FF0000"/>
                <w:kern w:val="0"/>
                <w:sz w:val="24"/>
                <w:highlight w:val="none"/>
                <w:lang w:bidi="ar"/>
              </w:rPr>
              <w:t>V——车辆行驶速度，</w:t>
            </w:r>
            <w:r>
              <w:rPr>
                <w:rFonts w:hint="eastAsia"/>
                <w:color w:val="FF0000"/>
                <w:kern w:val="0"/>
                <w:sz w:val="24"/>
                <w:highlight w:val="none"/>
                <w:lang w:bidi="ar"/>
              </w:rPr>
              <w:t>取10</w:t>
            </w:r>
            <w:r>
              <w:rPr>
                <w:color w:val="FF0000"/>
                <w:kern w:val="0"/>
                <w:sz w:val="24"/>
                <w:highlight w:val="none"/>
                <w:lang w:bidi="ar"/>
              </w:rPr>
              <w:t>km/h；</w:t>
            </w:r>
          </w:p>
          <w:p w14:paraId="515069C6">
            <w:pPr>
              <w:widowControl/>
              <w:autoSpaceDE w:val="0"/>
              <w:autoSpaceDN w:val="0"/>
              <w:spacing w:line="360" w:lineRule="auto"/>
              <w:ind w:firstLine="1200" w:firstLineChars="500"/>
              <w:rPr>
                <w:color w:val="FF0000"/>
                <w:kern w:val="0"/>
                <w:sz w:val="24"/>
                <w:highlight w:val="none"/>
                <w:lang w:bidi="ar"/>
              </w:rPr>
            </w:pPr>
            <w:r>
              <w:rPr>
                <w:color w:val="FF0000"/>
                <w:kern w:val="0"/>
                <w:sz w:val="24"/>
                <w:highlight w:val="none"/>
                <w:lang w:bidi="ar"/>
              </w:rPr>
              <w:t>W——汽车载重量，</w:t>
            </w:r>
            <w:r>
              <w:rPr>
                <w:color w:val="FF0000"/>
                <w:kern w:val="0"/>
                <w:sz w:val="24"/>
                <w:highlight w:val="none"/>
                <w:lang w:bidi="ar"/>
              </w:rPr>
              <w:t>取</w:t>
            </w:r>
            <w:r>
              <w:rPr>
                <w:rFonts w:hint="eastAsia"/>
                <w:color w:val="FF0000"/>
                <w:kern w:val="0"/>
                <w:sz w:val="24"/>
                <w:highlight w:val="none"/>
                <w:lang w:val="en-US" w:eastAsia="zh-CN" w:bidi="ar"/>
              </w:rPr>
              <w:t>3</w:t>
            </w:r>
            <w:r>
              <w:rPr>
                <w:rFonts w:hint="eastAsia"/>
                <w:color w:val="FF0000"/>
                <w:kern w:val="0"/>
                <w:sz w:val="24"/>
                <w:highlight w:val="none"/>
                <w:lang w:bidi="ar"/>
              </w:rPr>
              <w:t>0</w:t>
            </w:r>
            <w:r>
              <w:rPr>
                <w:color w:val="FF0000"/>
                <w:kern w:val="0"/>
                <w:sz w:val="24"/>
                <w:highlight w:val="none"/>
                <w:lang w:bidi="ar"/>
              </w:rPr>
              <w:t>t/辆；</w:t>
            </w:r>
          </w:p>
          <w:p w14:paraId="440BC494">
            <w:pPr>
              <w:widowControl/>
              <w:autoSpaceDE w:val="0"/>
              <w:autoSpaceDN w:val="0"/>
              <w:spacing w:line="360" w:lineRule="auto"/>
              <w:ind w:firstLine="1200" w:firstLineChars="500"/>
              <w:rPr>
                <w:color w:val="FF0000"/>
                <w:kern w:val="0"/>
                <w:sz w:val="24"/>
                <w:highlight w:val="none"/>
                <w:lang w:bidi="ar"/>
              </w:rPr>
            </w:pPr>
            <w:r>
              <w:rPr>
                <w:color w:val="FF0000"/>
                <w:kern w:val="0"/>
                <w:sz w:val="24"/>
                <w:highlight w:val="none"/>
                <w:lang w:bidi="ar"/>
              </w:rPr>
              <w:t>P——路面状况，以每平米路面灰尘覆盖率表示，</w:t>
            </w:r>
            <w:r>
              <w:rPr>
                <w:rFonts w:hint="eastAsia"/>
                <w:color w:val="FF0000"/>
                <w:kern w:val="0"/>
                <w:sz w:val="24"/>
                <w:highlight w:val="none"/>
                <w:lang w:bidi="ar"/>
              </w:rPr>
              <w:t>取0.2</w:t>
            </w:r>
            <w:r>
              <w:rPr>
                <w:color w:val="FF0000"/>
                <w:kern w:val="0"/>
                <w:sz w:val="24"/>
                <w:highlight w:val="none"/>
                <w:lang w:bidi="ar"/>
              </w:rPr>
              <w:t>kg/m</w:t>
            </w:r>
            <w:r>
              <w:rPr>
                <w:color w:val="FF0000"/>
                <w:kern w:val="0"/>
                <w:sz w:val="24"/>
                <w:highlight w:val="none"/>
                <w:vertAlign w:val="superscript"/>
                <w:lang w:bidi="ar"/>
              </w:rPr>
              <w:t>2</w:t>
            </w:r>
            <w:r>
              <w:rPr>
                <w:rFonts w:hint="eastAsia"/>
                <w:color w:val="FF0000"/>
                <w:kern w:val="0"/>
                <w:sz w:val="24"/>
                <w:highlight w:val="none"/>
                <w:lang w:bidi="ar"/>
              </w:rPr>
              <w:t>。</w:t>
            </w:r>
          </w:p>
          <w:p w14:paraId="59EA200E">
            <w:pPr>
              <w:widowControl/>
              <w:spacing w:line="360" w:lineRule="auto"/>
              <w:ind w:firstLine="480" w:firstLineChars="200"/>
              <w:jc w:val="left"/>
              <w:rPr>
                <w:color w:val="FF0000"/>
                <w:kern w:val="0"/>
                <w:sz w:val="24"/>
                <w:highlight w:val="none"/>
                <w:lang w:bidi="ar"/>
              </w:rPr>
            </w:pPr>
            <w:r>
              <w:rPr>
                <w:rFonts w:hint="eastAsia"/>
                <w:color w:val="FF0000"/>
                <w:kern w:val="0"/>
                <w:sz w:val="24"/>
                <w:highlight w:val="none"/>
                <w:lang w:bidi="ar"/>
              </w:rPr>
              <w:t>本项目厂区内往返运输距离约0.1</w:t>
            </w:r>
            <w:r>
              <w:rPr>
                <w:rFonts w:hint="eastAsia"/>
                <w:color w:val="FF0000"/>
                <w:kern w:val="0"/>
                <w:sz w:val="24"/>
                <w:highlight w:val="none"/>
                <w:lang w:val="en-US" w:eastAsia="zh-CN" w:bidi="ar"/>
              </w:rPr>
              <w:t>5</w:t>
            </w:r>
            <w:r>
              <w:rPr>
                <w:rFonts w:hint="eastAsia"/>
                <w:color w:val="FF0000"/>
                <w:kern w:val="0"/>
                <w:sz w:val="24"/>
                <w:highlight w:val="none"/>
                <w:lang w:bidi="ar"/>
              </w:rPr>
              <w:t>km，运输频次约为</w:t>
            </w:r>
            <w:r>
              <w:rPr>
                <w:rFonts w:hint="eastAsia"/>
                <w:color w:val="FF0000"/>
                <w:kern w:val="0"/>
                <w:sz w:val="24"/>
                <w:highlight w:val="none"/>
                <w:lang w:val="en-US" w:eastAsia="zh-CN" w:bidi="ar"/>
              </w:rPr>
              <w:t>26049</w:t>
            </w:r>
            <w:r>
              <w:rPr>
                <w:rFonts w:hint="eastAsia"/>
                <w:color w:val="FF0000"/>
                <w:kern w:val="0"/>
                <w:sz w:val="24"/>
                <w:highlight w:val="none"/>
                <w:lang w:bidi="ar"/>
              </w:rPr>
              <w:t>次/a，经计算得知，Q</w:t>
            </w:r>
            <w:r>
              <w:rPr>
                <w:rFonts w:hint="eastAsia"/>
                <w:color w:val="FF0000"/>
                <w:kern w:val="0"/>
                <w:sz w:val="24"/>
                <w:highlight w:val="none"/>
                <w:vertAlign w:val="subscript"/>
                <w:lang w:bidi="ar"/>
              </w:rPr>
              <w:t>y</w:t>
            </w:r>
            <w:r>
              <w:rPr>
                <w:rFonts w:hint="eastAsia"/>
                <w:color w:val="FF0000"/>
                <w:kern w:val="0"/>
                <w:sz w:val="24"/>
                <w:highlight w:val="none"/>
                <w:lang w:bidi="ar"/>
              </w:rPr>
              <w:t>为</w:t>
            </w:r>
            <w:r>
              <w:rPr>
                <w:rFonts w:hint="eastAsia"/>
                <w:color w:val="FF0000"/>
                <w:kern w:val="0"/>
                <w:sz w:val="24"/>
                <w:highlight w:val="none"/>
                <w:lang w:val="en-US" w:eastAsia="zh-CN" w:bidi="ar"/>
              </w:rPr>
              <w:t>0.449</w:t>
            </w:r>
            <w:r>
              <w:rPr>
                <w:rFonts w:hint="eastAsia"/>
                <w:color w:val="FF0000"/>
                <w:kern w:val="0"/>
                <w:sz w:val="24"/>
                <w:highlight w:val="none"/>
                <w:lang w:bidi="ar"/>
              </w:rPr>
              <w:t>kg/km，本项目道路运输起尘量为</w:t>
            </w:r>
            <w:r>
              <w:rPr>
                <w:rFonts w:hint="eastAsia"/>
                <w:color w:val="FF0000"/>
                <w:kern w:val="0"/>
                <w:sz w:val="24"/>
                <w:highlight w:val="none"/>
                <w:lang w:val="en-US" w:eastAsia="zh-CN" w:bidi="ar"/>
              </w:rPr>
              <w:t>1.75</w:t>
            </w:r>
            <w:r>
              <w:rPr>
                <w:rFonts w:hint="eastAsia"/>
                <w:color w:val="FF0000"/>
                <w:kern w:val="0"/>
                <w:sz w:val="24"/>
                <w:highlight w:val="none"/>
                <w:lang w:bidi="ar"/>
              </w:rPr>
              <w:t>t/a。</w:t>
            </w:r>
          </w:p>
          <w:p w14:paraId="484741B0">
            <w:pPr>
              <w:widowControl/>
              <w:spacing w:line="360" w:lineRule="auto"/>
              <w:ind w:firstLine="482" w:firstLineChars="200"/>
              <w:rPr>
                <w:rFonts w:hAnsi="Cambria Math"/>
                <w:color w:val="FF0000"/>
                <w:sz w:val="24"/>
                <w:highlight w:val="none"/>
              </w:rPr>
            </w:pPr>
            <w:r>
              <w:rPr>
                <w:rFonts w:hint="eastAsia"/>
                <w:b/>
                <w:bCs/>
                <w:color w:val="FF0000"/>
                <w:kern w:val="0"/>
                <w:sz w:val="24"/>
                <w:highlight w:val="none"/>
                <w:lang w:bidi="ar"/>
              </w:rPr>
              <w:t>拟采取的措施：</w:t>
            </w:r>
            <w:r>
              <w:rPr>
                <w:rFonts w:hint="eastAsia"/>
                <w:color w:val="FF0000"/>
                <w:kern w:val="0"/>
                <w:sz w:val="24"/>
                <w:highlight w:val="none"/>
                <w:lang w:bidi="ar"/>
              </w:rPr>
              <w:t>根据本项目的实际情况，要求建设单位加强对厂内运输过程粉尘量的控制，对厂区内运输道路进行</w:t>
            </w:r>
            <w:r>
              <w:rPr>
                <w:rFonts w:hint="eastAsia"/>
                <w:color w:val="FF0000"/>
                <w:kern w:val="0"/>
                <w:sz w:val="24"/>
                <w:highlight w:val="none"/>
                <w:lang w:val="en-US" w:eastAsia="zh-CN" w:bidi="ar"/>
              </w:rPr>
              <w:t>全部</w:t>
            </w:r>
            <w:r>
              <w:rPr>
                <w:rFonts w:hint="eastAsia"/>
                <w:color w:val="FF0000"/>
                <w:kern w:val="0"/>
                <w:sz w:val="24"/>
                <w:highlight w:val="none"/>
                <w:lang w:bidi="ar"/>
              </w:rPr>
              <w:t>硬化，采取清扫路面、定期洒水、限制车速等措施</w:t>
            </w:r>
            <w:r>
              <w:rPr>
                <w:rFonts w:hint="eastAsia"/>
                <w:color w:val="FF0000"/>
                <w:sz w:val="24"/>
                <w:highlight w:val="none"/>
              </w:rPr>
              <w:t>，对该部分粉尘的控制效率可达到</w:t>
            </w:r>
            <w:r>
              <w:rPr>
                <w:rFonts w:hint="eastAsia"/>
                <w:color w:val="FF0000"/>
                <w:kern w:val="0"/>
                <w:sz w:val="24"/>
                <w:highlight w:val="none"/>
                <w:lang w:bidi="ar"/>
              </w:rPr>
              <w:t>70%，年运行时间1</w:t>
            </w:r>
            <w:r>
              <w:rPr>
                <w:rFonts w:hint="eastAsia"/>
                <w:color w:val="FF0000"/>
                <w:kern w:val="0"/>
                <w:sz w:val="24"/>
                <w:highlight w:val="none"/>
                <w:lang w:val="en-US" w:eastAsia="zh-CN" w:bidi="ar"/>
              </w:rPr>
              <w:t>92</w:t>
            </w:r>
            <w:r>
              <w:rPr>
                <w:rFonts w:hint="eastAsia"/>
                <w:color w:val="FF0000"/>
                <w:kern w:val="0"/>
                <w:sz w:val="24"/>
                <w:highlight w:val="none"/>
                <w:lang w:bidi="ar"/>
              </w:rPr>
              <w:t>0h，则本项目运输车辆扬尘排放量为</w:t>
            </w:r>
            <w:r>
              <w:rPr>
                <w:rFonts w:hint="eastAsia"/>
                <w:color w:val="FF0000"/>
                <w:kern w:val="0"/>
                <w:sz w:val="24"/>
                <w:highlight w:val="none"/>
                <w:lang w:val="en-US" w:eastAsia="zh-CN" w:bidi="ar"/>
              </w:rPr>
              <w:t>0.525</w:t>
            </w:r>
            <w:r>
              <w:rPr>
                <w:rFonts w:hint="eastAsia"/>
                <w:color w:val="FF0000"/>
                <w:kern w:val="0"/>
                <w:sz w:val="24"/>
                <w:highlight w:val="none"/>
                <w:lang w:bidi="ar"/>
              </w:rPr>
              <w:t>t/a，排放速率为0.</w:t>
            </w:r>
            <w:r>
              <w:rPr>
                <w:rFonts w:hint="eastAsia"/>
                <w:color w:val="FF0000"/>
                <w:kern w:val="0"/>
                <w:sz w:val="24"/>
                <w:highlight w:val="none"/>
                <w:lang w:val="en-US" w:eastAsia="zh-CN" w:bidi="ar"/>
              </w:rPr>
              <w:t>27</w:t>
            </w:r>
            <w:r>
              <w:rPr>
                <w:rFonts w:hint="eastAsia"/>
                <w:color w:val="FF0000"/>
                <w:kern w:val="0"/>
                <w:sz w:val="24"/>
                <w:highlight w:val="none"/>
                <w:lang w:bidi="ar"/>
              </w:rPr>
              <w:t>kg/h。</w:t>
            </w:r>
          </w:p>
          <w:p w14:paraId="1C18BD65">
            <w:pPr>
              <w:widowControl/>
              <w:spacing w:line="360" w:lineRule="auto"/>
              <w:ind w:firstLine="480" w:firstLineChars="200"/>
              <w:jc w:val="left"/>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②运输车辆燃油废气</w:t>
            </w:r>
          </w:p>
          <w:p w14:paraId="7F256788">
            <w:pPr>
              <w:spacing w:line="360" w:lineRule="auto"/>
              <w:ind w:firstLine="480" w:firstLineChars="200"/>
              <w:rPr>
                <w:color w:val="000000" w:themeColor="text1"/>
                <w:sz w:val="24"/>
                <w:highlight w:val="none"/>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项目运营期运输车辆</w:t>
            </w:r>
            <w:r>
              <w:rPr>
                <w:color w:val="000000" w:themeColor="text1"/>
                <w:sz w:val="24"/>
                <w:highlight w:val="none"/>
                <w14:textFill>
                  <w14:solidFill>
                    <w14:schemeClr w14:val="tx1"/>
                  </w14:solidFill>
                </w14:textFill>
              </w:rPr>
              <w:t>以柴油为燃料，会产生一定量废气排放</w:t>
            </w:r>
            <w:r>
              <w:rPr>
                <w:color w:val="000000" w:themeColor="text1"/>
                <w:kern w:val="0"/>
                <w:sz w:val="24"/>
                <w:highlight w:val="none"/>
                <w14:textFill>
                  <w14:solidFill>
                    <w14:schemeClr w14:val="tx1"/>
                  </w14:solidFill>
                </w14:textFill>
              </w:rPr>
              <w:t>，主要包括</w:t>
            </w:r>
            <w:r>
              <w:rPr>
                <w:rFonts w:eastAsia="TimesNewRomanPSMT"/>
                <w:color w:val="000000" w:themeColor="text1"/>
                <w:kern w:val="0"/>
                <w:sz w:val="24"/>
                <w:highlight w:val="none"/>
                <w14:textFill>
                  <w14:solidFill>
                    <w14:schemeClr w14:val="tx1"/>
                  </w14:solidFill>
                </w14:textFill>
              </w:rPr>
              <w:t>CO</w:t>
            </w:r>
            <w:r>
              <w:rPr>
                <w:color w:val="000000" w:themeColor="text1"/>
                <w:kern w:val="0"/>
                <w:sz w:val="24"/>
                <w:highlight w:val="none"/>
                <w14:textFill>
                  <w14:solidFill>
                    <w14:schemeClr w14:val="tx1"/>
                  </w14:solidFill>
                </w14:textFill>
              </w:rPr>
              <w:t>、</w:t>
            </w:r>
            <w:r>
              <w:rPr>
                <w:rFonts w:eastAsia="TimesNewRomanPSMT"/>
                <w:color w:val="000000" w:themeColor="text1"/>
                <w:kern w:val="0"/>
                <w:sz w:val="24"/>
                <w:highlight w:val="none"/>
                <w14:textFill>
                  <w14:solidFill>
                    <w14:schemeClr w14:val="tx1"/>
                  </w14:solidFill>
                </w14:textFill>
              </w:rPr>
              <w:t>NOx</w:t>
            </w:r>
            <w:r>
              <w:rPr>
                <w:color w:val="000000" w:themeColor="text1"/>
                <w:kern w:val="0"/>
                <w:sz w:val="24"/>
                <w:highlight w:val="none"/>
                <w14:textFill>
                  <w14:solidFill>
                    <w14:schemeClr w14:val="tx1"/>
                  </w14:solidFill>
                </w14:textFill>
              </w:rPr>
              <w:t>、</w:t>
            </w:r>
            <w:r>
              <w:rPr>
                <w:rFonts w:eastAsia="TimesNewRomanPSMT"/>
                <w:color w:val="000000" w:themeColor="text1"/>
                <w:kern w:val="0"/>
                <w:sz w:val="24"/>
                <w:highlight w:val="none"/>
                <w14:textFill>
                  <w14:solidFill>
                    <w14:schemeClr w14:val="tx1"/>
                  </w14:solidFill>
                </w14:textFill>
              </w:rPr>
              <w:t>SO</w:t>
            </w:r>
            <w:r>
              <w:rPr>
                <w:rFonts w:eastAsia="TimesNewRomanPSMT"/>
                <w:color w:val="000000" w:themeColor="text1"/>
                <w:kern w:val="0"/>
                <w:sz w:val="24"/>
                <w:highlight w:val="none"/>
                <w:vertAlign w:val="subscript"/>
                <w14:textFill>
                  <w14:solidFill>
                    <w14:schemeClr w14:val="tx1"/>
                  </w14:solidFill>
                </w14:textFill>
              </w:rPr>
              <w:t>2</w:t>
            </w:r>
            <w:r>
              <w:rPr>
                <w:rFonts w:hint="eastAsia"/>
                <w:color w:val="000000" w:themeColor="text1"/>
                <w:kern w:val="0"/>
                <w:sz w:val="24"/>
                <w:highlight w:val="none"/>
                <w14:textFill>
                  <w14:solidFill>
                    <w14:schemeClr w14:val="tx1"/>
                  </w14:solidFill>
                </w14:textFill>
              </w:rPr>
              <w:t>、</w:t>
            </w:r>
            <w:r>
              <w:rPr>
                <w:color w:val="000000" w:themeColor="text1"/>
                <w:sz w:val="24"/>
                <w:highlight w:val="none"/>
                <w14:textFill>
                  <w14:solidFill>
                    <w14:schemeClr w14:val="tx1"/>
                  </w14:solidFill>
                </w14:textFill>
              </w:rPr>
              <w:t>THC</w:t>
            </w:r>
            <w:r>
              <w:rPr>
                <w:color w:val="000000" w:themeColor="text1"/>
                <w:kern w:val="0"/>
                <w:sz w:val="24"/>
                <w:highlight w:val="none"/>
                <w14:textFill>
                  <w14:solidFill>
                    <w14:schemeClr w14:val="tx1"/>
                  </w14:solidFill>
                </w14:textFill>
              </w:rPr>
              <w:t>等污染物。</w:t>
            </w:r>
            <w:r>
              <w:rPr>
                <w:color w:val="000000" w:themeColor="text1"/>
                <w:sz w:val="24"/>
                <w:highlight w:val="none"/>
                <w14:textFill>
                  <w14:solidFill>
                    <w14:schemeClr w14:val="tx1"/>
                  </w14:solidFill>
                </w14:textFill>
              </w:rPr>
              <w:t>此类燃油废气系无组织流动性排放，其源强低且较为分散，又属于间歇性排放，</w:t>
            </w:r>
            <w:r>
              <w:rPr>
                <w:rFonts w:hint="eastAsia"/>
                <w:color w:val="000000" w:themeColor="text1"/>
                <w:sz w:val="24"/>
                <w:highlight w:val="none"/>
                <w14:textFill>
                  <w14:solidFill>
                    <w14:schemeClr w14:val="tx1"/>
                  </w14:solidFill>
                </w14:textFill>
              </w:rPr>
              <w:t>产生量较小，</w:t>
            </w:r>
            <w:r>
              <w:rPr>
                <w:color w:val="000000" w:themeColor="text1"/>
                <w:sz w:val="24"/>
                <w:highlight w:val="none"/>
                <w14:textFill>
                  <w14:solidFill>
                    <w14:schemeClr w14:val="tx1"/>
                  </w14:solidFill>
                </w14:textFill>
              </w:rPr>
              <w:t>持续时间短，且露天空旷条件利于气体扩散，因此对</w:t>
            </w:r>
            <w:r>
              <w:rPr>
                <w:rFonts w:hint="eastAsia"/>
                <w:color w:val="000000" w:themeColor="text1"/>
                <w:sz w:val="24"/>
                <w:highlight w:val="none"/>
                <w14:textFill>
                  <w14:solidFill>
                    <w14:schemeClr w14:val="tx1"/>
                  </w14:solidFill>
                </w14:textFill>
              </w:rPr>
              <w:t>厂界范围内及周边空气环境</w:t>
            </w:r>
            <w:r>
              <w:rPr>
                <w:color w:val="000000" w:themeColor="text1"/>
                <w:sz w:val="24"/>
                <w:highlight w:val="none"/>
                <w14:textFill>
                  <w14:solidFill>
                    <w14:schemeClr w14:val="tx1"/>
                  </w14:solidFill>
                </w14:textFill>
              </w:rPr>
              <w:t>环境影响</w:t>
            </w:r>
            <w:r>
              <w:rPr>
                <w:rFonts w:hint="eastAsia"/>
                <w:color w:val="000000" w:themeColor="text1"/>
                <w:sz w:val="24"/>
                <w:highlight w:val="none"/>
                <w14:textFill>
                  <w14:solidFill>
                    <w14:schemeClr w14:val="tx1"/>
                  </w14:solidFill>
                </w14:textFill>
              </w:rPr>
              <w:t>较小</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故本次评价仅对其进行定性分析。</w:t>
            </w:r>
          </w:p>
          <w:p w14:paraId="3F9557E6">
            <w:pPr>
              <w:widowControl/>
              <w:numPr>
                <w:ilvl w:val="0"/>
                <w:numId w:val="6"/>
              </w:numPr>
              <w:spacing w:line="360" w:lineRule="auto"/>
              <w:ind w:firstLine="480" w:firstLineChars="200"/>
              <w:jc w:val="left"/>
              <w:rPr>
                <w:rFonts w:hint="eastAsia"/>
                <w:color w:val="000000" w:themeColor="text1"/>
                <w:sz w:val="24"/>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原料</w:t>
            </w:r>
            <w:r>
              <w:rPr>
                <w:rFonts w:hint="eastAsia"/>
                <w:color w:val="000000" w:themeColor="text1"/>
                <w:sz w:val="24"/>
                <w:highlight w:val="none"/>
                <w:lang w:val="en-US" w:eastAsia="zh-CN"/>
                <w14:textFill>
                  <w14:solidFill>
                    <w14:schemeClr w14:val="tx1"/>
                  </w14:solidFill>
                </w14:textFill>
              </w:rPr>
              <w:t>装卸粉尘</w:t>
            </w:r>
          </w:p>
          <w:p w14:paraId="3D2DA1A9">
            <w:pPr>
              <w:widowControl/>
              <w:numPr>
                <w:ilvl w:val="0"/>
                <w:numId w:val="0"/>
              </w:numPr>
              <w:spacing w:line="360" w:lineRule="auto"/>
              <w:ind w:firstLine="480" w:firstLineChars="200"/>
              <w:jc w:val="left"/>
              <w:rPr>
                <w:color w:val="auto"/>
                <w:sz w:val="24"/>
                <w:highlight w:val="none"/>
              </w:rPr>
            </w:pPr>
            <w:r>
              <w:rPr>
                <w:rFonts w:hint="eastAsia"/>
                <w:color w:val="auto"/>
                <w:kern w:val="0"/>
                <w:sz w:val="24"/>
                <w:highlight w:val="none"/>
                <w:lang w:bidi="ar"/>
              </w:rPr>
              <w:t>原料在堆场中装卸时会有粉尘产生，参考《逸散性工业粉尘控制技术》（中国环境科学出版社）中砂和砾石装货及卸料的排放因子为0.01kg/t·卸料，则本项目原料装卸料时产生量共计约</w:t>
            </w:r>
            <w:r>
              <w:rPr>
                <w:rFonts w:hint="eastAsia"/>
                <w:color w:val="auto"/>
                <w:kern w:val="0"/>
                <w:sz w:val="24"/>
                <w:highlight w:val="none"/>
                <w:lang w:val="en-US" w:eastAsia="zh-CN" w:bidi="ar"/>
              </w:rPr>
              <w:t>5.210</w:t>
            </w:r>
            <w:r>
              <w:rPr>
                <w:rFonts w:hint="eastAsia"/>
                <w:color w:val="auto"/>
                <w:kern w:val="0"/>
                <w:sz w:val="24"/>
                <w:highlight w:val="none"/>
                <w:lang w:bidi="ar"/>
              </w:rPr>
              <w:t>t/a。本项目拟在装卸料时洒水抑尘，增加物料表面湿度；降低卸料高度，减少逸散。通过以上措施，可减少70%的粉尘产生，即本项目原料堆场装卸料时排放粉尘量约1.</w:t>
            </w:r>
            <w:r>
              <w:rPr>
                <w:rFonts w:hint="eastAsia"/>
                <w:color w:val="auto"/>
                <w:kern w:val="0"/>
                <w:sz w:val="24"/>
                <w:highlight w:val="none"/>
                <w:lang w:val="en-US" w:eastAsia="zh-CN" w:bidi="ar"/>
              </w:rPr>
              <w:t>3</w:t>
            </w:r>
            <w:r>
              <w:rPr>
                <w:rFonts w:hint="eastAsia"/>
                <w:color w:val="auto"/>
                <w:kern w:val="0"/>
                <w:sz w:val="24"/>
                <w:highlight w:val="none"/>
                <w:lang w:val="en-US" w:eastAsia="zh-CN" w:bidi="ar"/>
              </w:rPr>
              <w:t>55</w:t>
            </w:r>
            <w:r>
              <w:rPr>
                <w:rFonts w:hint="eastAsia"/>
                <w:color w:val="auto"/>
                <w:kern w:val="0"/>
                <w:sz w:val="24"/>
                <w:highlight w:val="none"/>
                <w:lang w:bidi="ar"/>
              </w:rPr>
              <w:t>t/a</w:t>
            </w:r>
            <w:r>
              <w:rPr>
                <w:color w:val="000000" w:themeColor="text1"/>
                <w:sz w:val="24"/>
                <w:highlight w:val="none"/>
                <w14:textFill>
                  <w14:solidFill>
                    <w14:schemeClr w14:val="tx1"/>
                  </w14:solidFill>
                </w14:textFill>
              </w:rPr>
              <w:t>，</w:t>
            </w:r>
            <w:r>
              <w:rPr>
                <w:rFonts w:hint="eastAsia"/>
                <w:color w:val="000000" w:themeColor="text1"/>
                <w:kern w:val="0"/>
                <w:sz w:val="24"/>
                <w:highlight w:val="none"/>
                <w:lang w:bidi="ar"/>
                <w14:textFill>
                  <w14:solidFill>
                    <w14:schemeClr w14:val="tx1"/>
                  </w14:solidFill>
                </w14:textFill>
              </w:rPr>
              <w:t>排放速率为</w:t>
            </w:r>
            <w:r>
              <w:rPr>
                <w:rFonts w:hint="eastAsia"/>
                <w:color w:val="000000" w:themeColor="text1"/>
                <w:sz w:val="24"/>
                <w:highlight w:val="none"/>
                <w14:textFill>
                  <w14:solidFill>
                    <w14:schemeClr w14:val="tx1"/>
                  </w14:solidFill>
                </w14:textFill>
              </w:rPr>
              <w:t>0.</w:t>
            </w:r>
            <w:r>
              <w:rPr>
                <w:rFonts w:hint="eastAsia"/>
                <w:color w:val="000000" w:themeColor="text1"/>
                <w:sz w:val="24"/>
                <w:highlight w:val="none"/>
                <w:lang w:val="en-US" w:eastAsia="zh-CN"/>
                <w14:textFill>
                  <w14:solidFill>
                    <w14:schemeClr w14:val="tx1"/>
                  </w14:solidFill>
                </w14:textFill>
              </w:rPr>
              <w:t>706</w:t>
            </w:r>
            <w:r>
              <w:rPr>
                <w:color w:val="000000" w:themeColor="text1"/>
                <w:sz w:val="24"/>
                <w:highlight w:val="none"/>
                <w14:textFill>
                  <w14:solidFill>
                    <w14:schemeClr w14:val="tx1"/>
                  </w14:solidFill>
                </w14:textFill>
              </w:rPr>
              <w:t>kg/h</w:t>
            </w:r>
            <w:r>
              <w:rPr>
                <w:rFonts w:hint="eastAsia"/>
                <w:color w:val="auto"/>
                <w:kern w:val="0"/>
                <w:sz w:val="24"/>
                <w:highlight w:val="none"/>
                <w:lang w:bidi="ar"/>
              </w:rPr>
              <w:t>。此部分扬尘呈无组织排放。</w:t>
            </w:r>
          </w:p>
          <w:p w14:paraId="1A4D4B4A">
            <w:pPr>
              <w:pStyle w:val="48"/>
              <w:numPr>
                <w:ilvl w:val="0"/>
                <w:numId w:val="0"/>
              </w:numPr>
              <w:autoSpaceDE w:val="0"/>
              <w:autoSpaceDN w:val="0"/>
              <w:spacing w:line="360" w:lineRule="auto"/>
              <w:ind w:firstLine="480" w:firstLineChars="200"/>
              <w:rPr>
                <w:rFonts w:ascii="Times New Roman" w:hAnsi="Times New Roman" w:cs="Times New Roman"/>
                <w:color w:val="auto"/>
                <w:sz w:val="24"/>
                <w:highlight w:val="none"/>
                <w:lang w:val="en-US"/>
              </w:rPr>
            </w:pPr>
            <w:r>
              <w:rPr>
                <w:rFonts w:hint="default" w:ascii="Times New Roman" w:hAnsi="Times New Roman" w:eastAsia="宋体" w:cs="Times New Roman"/>
                <w:color w:val="auto"/>
                <w:kern w:val="2"/>
                <w:sz w:val="24"/>
                <w:szCs w:val="24"/>
                <w:highlight w:val="none"/>
                <w:lang w:val="en-US" w:eastAsia="zh-CN" w:bidi="zh-CN"/>
              </w:rPr>
              <w:t>（</w:t>
            </w:r>
            <w:r>
              <w:rPr>
                <w:rFonts w:hint="eastAsia" w:ascii="Times New Roman" w:hAnsi="Times New Roman" w:cs="Times New Roman"/>
                <w:color w:val="auto"/>
                <w:kern w:val="2"/>
                <w:sz w:val="24"/>
                <w:szCs w:val="24"/>
                <w:highlight w:val="none"/>
                <w:lang w:val="en-US" w:eastAsia="zh-CN" w:bidi="zh-CN"/>
              </w:rPr>
              <w:t>3</w:t>
            </w:r>
            <w:r>
              <w:rPr>
                <w:rFonts w:hint="default" w:ascii="Times New Roman" w:hAnsi="Times New Roman" w:eastAsia="宋体" w:cs="Times New Roman"/>
                <w:color w:val="auto"/>
                <w:kern w:val="2"/>
                <w:sz w:val="24"/>
                <w:szCs w:val="24"/>
                <w:highlight w:val="none"/>
                <w:lang w:val="en-US" w:eastAsia="zh-CN" w:bidi="zh-CN"/>
              </w:rPr>
              <w:t>）</w:t>
            </w:r>
            <w:r>
              <w:rPr>
                <w:rFonts w:hint="eastAsia" w:ascii="Times New Roman" w:hAnsi="Times New Roman" w:cs="Times New Roman"/>
                <w:color w:val="auto"/>
                <w:sz w:val="24"/>
                <w:highlight w:val="none"/>
                <w:lang w:val="en-US"/>
              </w:rPr>
              <w:t>原料区堆存扬尘</w:t>
            </w:r>
          </w:p>
          <w:p w14:paraId="7137338F">
            <w:pPr>
              <w:widowControl/>
              <w:spacing w:line="360" w:lineRule="auto"/>
              <w:ind w:firstLine="480" w:firstLineChars="200"/>
              <w:jc w:val="left"/>
              <w:rPr>
                <w:color w:val="auto"/>
                <w:sz w:val="24"/>
                <w:highlight w:val="none"/>
              </w:rPr>
            </w:pPr>
            <w:r>
              <w:rPr>
                <w:color w:val="auto"/>
                <w:sz w:val="24"/>
                <w:highlight w:val="none"/>
              </w:rPr>
              <w:t>本项目堆场扬尘计算首选考虑采用《排放源统计调查产排污核算方法和系数手册》-《工业源产排污核算方法和系数手册》-附表2《工业源固体物料堆场颗粒物核算系数手册》，但经过查表后发现本项目</w:t>
            </w:r>
            <w:r>
              <w:rPr>
                <w:rFonts w:hint="eastAsia"/>
                <w:color w:val="auto"/>
                <w:sz w:val="24"/>
                <w:highlight w:val="none"/>
              </w:rPr>
              <w:t>原料</w:t>
            </w:r>
            <w:r>
              <w:rPr>
                <w:rFonts w:hint="eastAsia"/>
                <w:color w:val="auto"/>
                <w:sz w:val="24"/>
                <w:highlight w:val="none"/>
                <w:lang w:val="en-US" w:eastAsia="zh-CN"/>
              </w:rPr>
              <w:t>花岗岩</w:t>
            </w:r>
            <w:r>
              <w:rPr>
                <w:color w:val="auto"/>
                <w:sz w:val="24"/>
                <w:highlight w:val="none"/>
              </w:rPr>
              <w:t>不在“附录2：各类型堆场含水率概化系数”中。因此本项目采用《逸散性工业粉尘控制技术》（中国环境出版社，1989年）相关资料，逸散尘排放因子中贮存中的碎石的排放系数为0.0007kg/t，本项目原料量为</w:t>
            </w:r>
            <w:r>
              <w:rPr>
                <w:rFonts w:hint="eastAsia"/>
                <w:color w:val="auto"/>
                <w:sz w:val="24"/>
                <w:highlight w:val="none"/>
                <w:lang w:eastAsia="zh-CN"/>
              </w:rPr>
              <w:t>260</w:t>
            </w:r>
            <w:r>
              <w:rPr>
                <w:rFonts w:hint="eastAsia"/>
                <w:color w:val="auto"/>
                <w:sz w:val="24"/>
                <w:highlight w:val="none"/>
                <w:lang w:val="en-US" w:eastAsia="zh-CN"/>
              </w:rPr>
              <w:t>505.301</w:t>
            </w:r>
            <w:r>
              <w:rPr>
                <w:color w:val="auto"/>
                <w:sz w:val="24"/>
                <w:highlight w:val="none"/>
              </w:rPr>
              <w:t>t/a，则扬尘产生量为0.</w:t>
            </w:r>
            <w:r>
              <w:rPr>
                <w:rFonts w:hint="eastAsia"/>
                <w:color w:val="auto"/>
                <w:sz w:val="24"/>
                <w:highlight w:val="none"/>
                <w:lang w:val="en-US" w:eastAsia="zh-CN"/>
              </w:rPr>
              <w:t>182</w:t>
            </w:r>
            <w:r>
              <w:rPr>
                <w:color w:val="auto"/>
                <w:sz w:val="24"/>
                <w:highlight w:val="none"/>
              </w:rPr>
              <w:t>t/a。</w:t>
            </w:r>
          </w:p>
          <w:p w14:paraId="76E9FD64">
            <w:pPr>
              <w:widowControl/>
              <w:spacing w:line="360" w:lineRule="auto"/>
              <w:ind w:firstLine="482" w:firstLineChars="200"/>
              <w:jc w:val="left"/>
              <w:rPr>
                <w:color w:val="auto"/>
                <w:sz w:val="24"/>
                <w:highlight w:val="none"/>
              </w:rPr>
            </w:pPr>
            <w:r>
              <w:rPr>
                <w:rFonts w:hint="eastAsia"/>
                <w:b/>
                <w:bCs/>
                <w:color w:val="auto"/>
                <w:kern w:val="0"/>
                <w:sz w:val="24"/>
                <w:highlight w:val="none"/>
                <w:lang w:bidi="ar"/>
              </w:rPr>
              <w:t>拟采取的措施：</w:t>
            </w:r>
            <w:r>
              <w:rPr>
                <w:rFonts w:hint="eastAsia"/>
                <w:color w:val="auto"/>
                <w:kern w:val="0"/>
                <w:sz w:val="24"/>
                <w:highlight w:val="none"/>
                <w:lang w:bidi="ar"/>
              </w:rPr>
              <w:t>原料区为</w:t>
            </w:r>
            <w:r>
              <w:rPr>
                <w:rFonts w:hint="eastAsia"/>
                <w:color w:val="auto"/>
                <w:kern w:val="0"/>
                <w:sz w:val="24"/>
                <w:highlight w:val="none"/>
                <w:lang w:val="en-US" w:eastAsia="zh-CN" w:bidi="ar"/>
              </w:rPr>
              <w:t>半</w:t>
            </w:r>
            <w:r>
              <w:rPr>
                <w:rFonts w:hint="eastAsia"/>
                <w:color w:val="auto"/>
                <w:kern w:val="0"/>
                <w:sz w:val="24"/>
                <w:highlight w:val="none"/>
                <w:lang w:bidi="ar"/>
              </w:rPr>
              <w:t>敞开式，</w:t>
            </w:r>
            <w:r>
              <w:rPr>
                <w:color w:val="auto"/>
                <w:sz w:val="24"/>
                <w:highlight w:val="none"/>
              </w:rPr>
              <w:t>通过</w:t>
            </w:r>
            <w:r>
              <w:rPr>
                <w:rFonts w:hint="eastAsia"/>
                <w:color w:val="auto"/>
                <w:sz w:val="24"/>
                <w:highlight w:val="none"/>
                <w:lang w:val="en-US" w:eastAsia="zh-CN"/>
              </w:rPr>
              <w:t>设置顶棚、四周设置5m高围挡、围挡与顶棚连接采取防尘网，</w:t>
            </w:r>
            <w:r>
              <w:rPr>
                <w:color w:val="auto"/>
                <w:sz w:val="24"/>
                <w:highlight w:val="none"/>
              </w:rPr>
              <w:t>加强管理</w:t>
            </w:r>
            <w:r>
              <w:rPr>
                <w:rFonts w:hint="eastAsia"/>
                <w:color w:val="auto"/>
                <w:sz w:val="24"/>
                <w:highlight w:val="none"/>
                <w:lang w:val="en-US" w:eastAsia="zh-CN"/>
              </w:rPr>
              <w:t>等措施</w:t>
            </w:r>
            <w:r>
              <w:rPr>
                <w:color w:val="auto"/>
                <w:sz w:val="24"/>
                <w:highlight w:val="none"/>
              </w:rPr>
              <w:t>，可减少其无组织面源的排放，综合抑尘效率可达</w:t>
            </w:r>
            <w:r>
              <w:rPr>
                <w:rFonts w:hint="eastAsia"/>
                <w:color w:val="auto"/>
                <w:sz w:val="24"/>
                <w:highlight w:val="none"/>
              </w:rPr>
              <w:t>7</w:t>
            </w:r>
            <w:r>
              <w:rPr>
                <w:color w:val="auto"/>
                <w:sz w:val="24"/>
                <w:highlight w:val="none"/>
              </w:rPr>
              <w:t>0%，则该过程扬尘无组织排放量为0.0</w:t>
            </w:r>
            <w:r>
              <w:rPr>
                <w:rFonts w:hint="eastAsia"/>
                <w:color w:val="auto"/>
                <w:sz w:val="24"/>
                <w:highlight w:val="none"/>
                <w:lang w:val="en-US" w:eastAsia="zh-CN"/>
              </w:rPr>
              <w:t>55</w:t>
            </w:r>
            <w:r>
              <w:rPr>
                <w:color w:val="auto"/>
                <w:sz w:val="24"/>
                <w:highlight w:val="none"/>
              </w:rPr>
              <w:t>/a，排放速率为0.0</w:t>
            </w:r>
            <w:r>
              <w:rPr>
                <w:rFonts w:hint="eastAsia"/>
                <w:color w:val="auto"/>
                <w:sz w:val="24"/>
                <w:highlight w:val="none"/>
              </w:rPr>
              <w:t>0</w:t>
            </w:r>
            <w:r>
              <w:rPr>
                <w:rFonts w:hint="eastAsia"/>
                <w:color w:val="auto"/>
                <w:sz w:val="24"/>
                <w:highlight w:val="none"/>
                <w:lang w:val="en-US" w:eastAsia="zh-CN"/>
              </w:rPr>
              <w:t>6</w:t>
            </w:r>
            <w:r>
              <w:rPr>
                <w:color w:val="auto"/>
                <w:sz w:val="24"/>
                <w:highlight w:val="none"/>
              </w:rPr>
              <w:t>kg/h（料场堆存按照</w:t>
            </w:r>
            <w:r>
              <w:rPr>
                <w:rFonts w:hint="eastAsia"/>
                <w:color w:val="auto"/>
                <w:sz w:val="24"/>
                <w:highlight w:val="none"/>
                <w:lang w:val="en-US" w:eastAsia="zh-CN"/>
              </w:rPr>
              <w:t>全年</w:t>
            </w:r>
            <w:r>
              <w:rPr>
                <w:color w:val="auto"/>
                <w:sz w:val="24"/>
                <w:highlight w:val="none"/>
              </w:rPr>
              <w:t>365天</w:t>
            </w:r>
            <w:r>
              <w:rPr>
                <w:rFonts w:hint="eastAsia"/>
                <w:color w:val="auto"/>
                <w:sz w:val="24"/>
                <w:highlight w:val="none"/>
                <w:lang w:eastAsia="zh-CN"/>
              </w:rPr>
              <w:t>，</w:t>
            </w:r>
            <w:r>
              <w:rPr>
                <w:rFonts w:hint="eastAsia"/>
                <w:color w:val="auto"/>
                <w:sz w:val="24"/>
                <w:highlight w:val="none"/>
                <w:lang w:val="en-US" w:eastAsia="zh-CN"/>
              </w:rPr>
              <w:t>全天24h</w:t>
            </w:r>
            <w:r>
              <w:rPr>
                <w:color w:val="auto"/>
                <w:sz w:val="24"/>
                <w:highlight w:val="none"/>
              </w:rPr>
              <w:t>计算）。</w:t>
            </w:r>
            <w:r>
              <w:rPr>
                <w:rFonts w:hint="eastAsia"/>
                <w:color w:val="auto"/>
                <w:kern w:val="0"/>
                <w:sz w:val="24"/>
                <w:highlight w:val="none"/>
                <w:lang w:bidi="ar"/>
              </w:rPr>
              <w:t>此部分扬尘呈无组织排放。</w:t>
            </w:r>
          </w:p>
          <w:p w14:paraId="3EE3A0F6">
            <w:pPr>
              <w:widowControl/>
              <w:spacing w:line="360" w:lineRule="auto"/>
              <w:ind w:firstLine="480" w:firstLineChars="200"/>
              <w:jc w:val="left"/>
              <w:rPr>
                <w:rFonts w:ascii="Times New Roman" w:hAnsi="Times New Roman" w:eastAsia="宋体" w:cs="Times New Roman"/>
                <w:color w:val="000000" w:themeColor="text1"/>
                <w:sz w:val="24"/>
                <w:highlight w:val="none"/>
                <w:lang w:val="en-US"/>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4</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给料机上料</w:t>
            </w:r>
            <w:r>
              <w:rPr>
                <w:rFonts w:hint="eastAsia" w:ascii="Times New Roman" w:hAnsi="Times New Roman" w:eastAsia="宋体" w:cs="Times New Roman"/>
                <w:color w:val="000000" w:themeColor="text1"/>
                <w:sz w:val="24"/>
                <w:highlight w:val="none"/>
                <w:lang w:val="en-US"/>
                <w14:textFill>
                  <w14:solidFill>
                    <w14:schemeClr w14:val="tx1"/>
                  </w14:solidFill>
                </w14:textFill>
              </w:rPr>
              <w:t>粉尘</w:t>
            </w:r>
          </w:p>
          <w:p w14:paraId="40379541">
            <w:pPr>
              <w:widowControl/>
              <w:spacing w:line="360" w:lineRule="auto"/>
              <w:ind w:firstLine="480" w:firstLineChars="200"/>
              <w:rPr>
                <w:color w:val="auto"/>
                <w:sz w:val="24"/>
                <w:highlight w:val="none"/>
              </w:rPr>
            </w:pPr>
            <w:r>
              <w:rPr>
                <w:color w:val="auto"/>
                <w:sz w:val="24"/>
                <w:highlight w:val="none"/>
              </w:rPr>
              <w:t>根据《逸散性工业粉尘控制技术》“粒料加工厂”表18-1数据参数，下料环节的产尘系数为0.02kg/t，本项目</w:t>
            </w:r>
            <w:r>
              <w:rPr>
                <w:rFonts w:hint="eastAsia"/>
                <w:color w:val="auto"/>
                <w:sz w:val="24"/>
                <w:highlight w:val="none"/>
                <w:lang w:val="en-US" w:eastAsia="zh-CN"/>
              </w:rPr>
              <w:t>碎石</w:t>
            </w:r>
            <w:r>
              <w:rPr>
                <w:color w:val="auto"/>
                <w:sz w:val="24"/>
                <w:highlight w:val="none"/>
              </w:rPr>
              <w:t>加工由给料机进行</w:t>
            </w:r>
            <w:r>
              <w:rPr>
                <w:rFonts w:hint="eastAsia"/>
                <w:color w:val="auto"/>
                <w:sz w:val="24"/>
                <w:highlight w:val="none"/>
                <w:lang w:val="en-US" w:eastAsia="zh-CN"/>
              </w:rPr>
              <w:t>上料</w:t>
            </w:r>
            <w:r>
              <w:rPr>
                <w:color w:val="auto"/>
                <w:sz w:val="24"/>
                <w:highlight w:val="none"/>
              </w:rPr>
              <w:t>，则该环节的产尘量为</w:t>
            </w:r>
            <w:r>
              <w:rPr>
                <w:rFonts w:hint="eastAsia"/>
                <w:color w:val="auto"/>
                <w:sz w:val="24"/>
                <w:highlight w:val="none"/>
                <w:lang w:val="en-US" w:eastAsia="zh-CN"/>
              </w:rPr>
              <w:t>5.210</w:t>
            </w:r>
            <w:r>
              <w:rPr>
                <w:color w:val="auto"/>
                <w:sz w:val="24"/>
                <w:highlight w:val="none"/>
              </w:rPr>
              <w:t>t/a。</w:t>
            </w:r>
          </w:p>
          <w:p w14:paraId="0F610E71">
            <w:pPr>
              <w:pStyle w:val="48"/>
              <w:autoSpaceDE w:val="0"/>
              <w:autoSpaceDN w:val="0"/>
              <w:spacing w:line="360" w:lineRule="auto"/>
              <w:ind w:firstLine="482" w:firstLineChars="200"/>
              <w:rPr>
                <w:rFonts w:ascii="Times New Roman" w:hAnsi="Times New Roman" w:cs="Times New Roman"/>
                <w:color w:val="auto"/>
                <w:sz w:val="24"/>
                <w:highlight w:val="none"/>
                <w:lang w:val="en-US"/>
              </w:rPr>
            </w:pPr>
            <w:r>
              <w:rPr>
                <w:rFonts w:ascii="Times New Roman" w:hAnsi="Times New Roman" w:cs="Times New Roman"/>
                <w:b/>
                <w:bCs/>
                <w:color w:val="000000" w:themeColor="text1"/>
                <w:kern w:val="0"/>
                <w:sz w:val="24"/>
                <w:highlight w:val="none"/>
                <w:lang w:val="en-US" w:bidi="ar"/>
                <w14:textFill>
                  <w14:solidFill>
                    <w14:schemeClr w14:val="tx1"/>
                  </w14:solidFill>
                </w14:textFill>
              </w:rPr>
              <w:t>拟采取的措施：</w:t>
            </w:r>
            <w:r>
              <w:rPr>
                <w:rFonts w:ascii="Times New Roman" w:hAnsi="Times New Roman" w:cs="Times New Roman"/>
                <w:color w:val="auto"/>
                <w:sz w:val="24"/>
                <w:highlight w:val="none"/>
                <w:lang w:val="en-US"/>
              </w:rPr>
              <w:t>本项目给料机设置在</w:t>
            </w:r>
            <w:r>
              <w:rPr>
                <w:rFonts w:hint="eastAsia" w:ascii="Times New Roman" w:hAnsi="Times New Roman" w:cs="Times New Roman"/>
                <w:color w:val="auto"/>
                <w:sz w:val="24"/>
                <w:highlight w:val="none"/>
                <w:lang w:val="en-US" w:eastAsia="zh-CN"/>
              </w:rPr>
              <w:t>全</w:t>
            </w:r>
            <w:r>
              <w:rPr>
                <w:rFonts w:ascii="Times New Roman" w:hAnsi="Times New Roman" w:cs="Times New Roman"/>
                <w:color w:val="auto"/>
                <w:sz w:val="24"/>
                <w:highlight w:val="none"/>
                <w:lang w:val="en-US"/>
              </w:rPr>
              <w:t>封闭的生产车间内，设备上方设置1个包围型集气罩</w:t>
            </w:r>
            <w:r>
              <w:rPr>
                <w:rFonts w:hint="eastAsia" w:ascii="Times New Roman" w:hAnsi="Times New Roman" w:cs="Times New Roman"/>
                <w:color w:val="auto"/>
                <w:sz w:val="24"/>
                <w:highlight w:val="none"/>
                <w:lang w:val="en-US" w:eastAsia="zh-CN"/>
              </w:rPr>
              <w:t>，</w:t>
            </w:r>
            <w:r>
              <w:rPr>
                <w:rFonts w:hint="eastAsia" w:ascii="Times New Roman" w:hAnsi="Times New Roman" w:cs="Times New Roman"/>
                <w:color w:val="FF0000"/>
                <w:sz w:val="24"/>
                <w:highlight w:val="none"/>
                <w:lang w:val="en-US" w:eastAsia="zh-CN"/>
              </w:rPr>
              <w:t>且四周设置软帘</w:t>
            </w:r>
            <w:r>
              <w:rPr>
                <w:rFonts w:ascii="Times New Roman" w:hAnsi="Times New Roman" w:cs="Times New Roman"/>
                <w:color w:val="FF0000"/>
                <w:sz w:val="24"/>
                <w:highlight w:val="none"/>
                <w:lang w:val="en-US"/>
              </w:rPr>
              <w:t>，</w:t>
            </w:r>
            <w:r>
              <w:rPr>
                <w:rFonts w:ascii="Times New Roman" w:hAnsi="Times New Roman" w:cs="Times New Roman"/>
                <w:color w:val="auto"/>
                <w:sz w:val="24"/>
                <w:highlight w:val="none"/>
                <w:lang w:val="en-US"/>
              </w:rPr>
              <w:t>通过集气罩（收集效率为</w:t>
            </w:r>
            <w:r>
              <w:rPr>
                <w:rFonts w:hint="eastAsia" w:ascii="Times New Roman" w:hAnsi="Times New Roman" w:cs="Times New Roman"/>
                <w:color w:val="auto"/>
                <w:sz w:val="24"/>
                <w:highlight w:val="none"/>
                <w:lang w:val="en-US" w:eastAsia="zh-CN"/>
              </w:rPr>
              <w:t>90</w:t>
            </w:r>
            <w:r>
              <w:rPr>
                <w:rFonts w:ascii="Times New Roman" w:hAnsi="Times New Roman" w:cs="Times New Roman"/>
                <w:color w:val="auto"/>
                <w:sz w:val="24"/>
                <w:highlight w:val="none"/>
                <w:lang w:val="en-US"/>
              </w:rPr>
              <w:t>%）收集产生的粉尘，经袋式除尘器（除尘效率为99%）进行处理后，由一根15m高排气筒（DA001）排放，则粉尘有组织排放量为0.0</w:t>
            </w:r>
            <w:r>
              <w:rPr>
                <w:rFonts w:hint="eastAsia" w:ascii="Times New Roman" w:hAnsi="Times New Roman" w:cs="Times New Roman"/>
                <w:color w:val="auto"/>
                <w:sz w:val="24"/>
                <w:highlight w:val="none"/>
                <w:lang w:val="en-US" w:eastAsia="zh-CN"/>
              </w:rPr>
              <w:t>47</w:t>
            </w:r>
            <w:r>
              <w:rPr>
                <w:rFonts w:ascii="Times New Roman" w:hAnsi="Times New Roman" w:cs="Times New Roman"/>
                <w:color w:val="auto"/>
                <w:sz w:val="24"/>
                <w:highlight w:val="none"/>
                <w:lang w:val="en-US"/>
              </w:rPr>
              <w:t>t/a，</w:t>
            </w:r>
            <w:r>
              <w:rPr>
                <w:rFonts w:ascii="Times New Roman" w:hAnsi="Times New Roman" w:cs="Times New Roman"/>
                <w:color w:val="auto"/>
                <w:kern w:val="0"/>
                <w:sz w:val="24"/>
                <w:highlight w:val="none"/>
                <w:lang w:val="en-US" w:bidi="ar"/>
              </w:rPr>
              <w:t>排放速率为</w:t>
            </w:r>
            <w:r>
              <w:rPr>
                <w:rFonts w:ascii="Times New Roman" w:hAnsi="Times New Roman" w:cs="Times New Roman"/>
                <w:color w:val="auto"/>
                <w:sz w:val="24"/>
                <w:highlight w:val="none"/>
                <w:lang w:val="en-US"/>
              </w:rPr>
              <w:t>0.0</w:t>
            </w:r>
            <w:r>
              <w:rPr>
                <w:rFonts w:hint="eastAsia" w:ascii="Times New Roman" w:hAnsi="Times New Roman" w:cs="Times New Roman"/>
                <w:color w:val="auto"/>
                <w:sz w:val="24"/>
                <w:highlight w:val="none"/>
                <w:lang w:val="en-US" w:eastAsia="zh-CN"/>
              </w:rPr>
              <w:t>24</w:t>
            </w:r>
            <w:r>
              <w:rPr>
                <w:rFonts w:ascii="Times New Roman" w:hAnsi="Times New Roman" w:cs="Times New Roman"/>
                <w:color w:val="auto"/>
                <w:sz w:val="24"/>
                <w:highlight w:val="none"/>
                <w:lang w:val="en-US"/>
              </w:rPr>
              <w:t>kg/h，</w:t>
            </w:r>
            <w:r>
              <w:rPr>
                <w:rFonts w:ascii="Times New Roman" w:hAnsi="Times New Roman" w:cs="Times New Roman"/>
                <w:color w:val="FF0000"/>
                <w:sz w:val="24"/>
                <w:highlight w:val="none"/>
                <w:lang w:val="en-US"/>
              </w:rPr>
              <w:t>排放浓</w:t>
            </w:r>
            <w:r>
              <w:rPr>
                <w:rFonts w:ascii="Times New Roman" w:hAnsi="Times New Roman" w:cs="Times New Roman"/>
                <w:color w:val="FF0000"/>
                <w:sz w:val="24"/>
                <w:highlight w:val="none"/>
                <w:lang w:val="en-US"/>
              </w:rPr>
              <w:t>度为</w:t>
            </w:r>
            <w:r>
              <w:rPr>
                <w:rFonts w:hint="eastAsia" w:ascii="Times New Roman" w:hAnsi="Times New Roman" w:cs="Times New Roman"/>
                <w:color w:val="FF0000"/>
                <w:sz w:val="24"/>
                <w:highlight w:val="none"/>
                <w:lang w:val="en-US" w:eastAsia="zh-CN"/>
              </w:rPr>
              <w:t>1.2</w:t>
            </w:r>
            <w:r>
              <w:rPr>
                <w:rFonts w:ascii="Times New Roman" w:hAnsi="Times New Roman" w:cs="Times New Roman"/>
                <w:color w:val="FF0000"/>
                <w:sz w:val="24"/>
                <w:highlight w:val="none"/>
                <w:lang w:val="en-US"/>
              </w:rPr>
              <w:t>mg/m</w:t>
            </w:r>
            <w:r>
              <w:rPr>
                <w:rFonts w:ascii="Times New Roman" w:hAnsi="Times New Roman" w:cs="Times New Roman"/>
                <w:color w:val="FF0000"/>
                <w:sz w:val="24"/>
                <w:highlight w:val="none"/>
                <w:vertAlign w:val="superscript"/>
                <w:lang w:val="en-US"/>
              </w:rPr>
              <w:t>3</w:t>
            </w:r>
            <w:r>
              <w:rPr>
                <w:rFonts w:ascii="Times New Roman" w:hAnsi="Times New Roman" w:cs="Times New Roman"/>
                <w:color w:val="FF0000"/>
                <w:sz w:val="24"/>
                <w:highlight w:val="none"/>
                <w:lang w:val="en-US"/>
              </w:rPr>
              <w:t>。</w:t>
            </w:r>
            <w:r>
              <w:rPr>
                <w:rFonts w:ascii="Times New Roman" w:hAnsi="Times New Roman" w:cs="Times New Roman"/>
                <w:color w:val="auto"/>
                <w:sz w:val="24"/>
                <w:highlight w:val="none"/>
                <w:lang w:val="en-US"/>
              </w:rPr>
              <w:t>项目</w:t>
            </w:r>
            <w:r>
              <w:rPr>
                <w:rFonts w:hint="eastAsia" w:ascii="Times New Roman" w:hAnsi="Times New Roman" w:cs="Times New Roman"/>
                <w:color w:val="auto"/>
                <w:sz w:val="24"/>
                <w:highlight w:val="none"/>
                <w:lang w:val="en-US" w:eastAsia="zh-CN"/>
              </w:rPr>
              <w:t>在给料机上方设置喷淋装置洒水降尘（约74%），全封闭空间对粉尘有一定的阻隔能力（约90%），则</w:t>
            </w:r>
            <w:r>
              <w:rPr>
                <w:rFonts w:ascii="Times New Roman" w:hAnsi="Times New Roman" w:cs="Times New Roman"/>
                <w:color w:val="auto"/>
                <w:sz w:val="24"/>
                <w:highlight w:val="none"/>
                <w:lang w:val="en-US"/>
              </w:rPr>
              <w:t>无组织粉尘排放量为0.</w:t>
            </w:r>
            <w:r>
              <w:rPr>
                <w:rFonts w:hint="eastAsia" w:ascii="Times New Roman" w:hAnsi="Times New Roman" w:cs="Times New Roman"/>
                <w:color w:val="auto"/>
                <w:sz w:val="24"/>
                <w:highlight w:val="none"/>
                <w:lang w:val="en-US" w:eastAsia="zh-CN"/>
              </w:rPr>
              <w:t>014</w:t>
            </w:r>
            <w:r>
              <w:rPr>
                <w:rFonts w:ascii="Times New Roman" w:hAnsi="Times New Roman" w:cs="Times New Roman"/>
                <w:color w:val="auto"/>
                <w:sz w:val="24"/>
                <w:highlight w:val="none"/>
                <w:lang w:val="en-US"/>
              </w:rPr>
              <w:t>t/a，</w:t>
            </w:r>
            <w:r>
              <w:rPr>
                <w:rFonts w:hint="eastAsia" w:ascii="Times New Roman" w:hAnsi="Times New Roman" w:cs="Times New Roman"/>
                <w:color w:val="auto"/>
                <w:sz w:val="24"/>
                <w:highlight w:val="none"/>
                <w:lang w:val="en-US"/>
              </w:rPr>
              <w:t>排放速率为0.0</w:t>
            </w:r>
            <w:r>
              <w:rPr>
                <w:rFonts w:hint="eastAsia" w:ascii="Times New Roman" w:hAnsi="Times New Roman" w:cs="Times New Roman"/>
                <w:color w:val="auto"/>
                <w:sz w:val="24"/>
                <w:highlight w:val="none"/>
                <w:lang w:val="en-US" w:eastAsia="zh-CN"/>
              </w:rPr>
              <w:t>07</w:t>
            </w:r>
            <w:r>
              <w:rPr>
                <w:rFonts w:ascii="Times New Roman" w:hAnsi="Times New Roman" w:cs="Times New Roman"/>
                <w:color w:val="auto"/>
                <w:sz w:val="24"/>
                <w:highlight w:val="none"/>
                <w:lang w:val="en-US"/>
              </w:rPr>
              <w:t>kg/h</w:t>
            </w:r>
            <w:r>
              <w:rPr>
                <w:rFonts w:hint="eastAsia" w:ascii="Times New Roman" w:hAnsi="Times New Roman" w:cs="Times New Roman"/>
                <w:color w:val="auto"/>
                <w:sz w:val="24"/>
                <w:highlight w:val="none"/>
                <w:lang w:val="en-US" w:eastAsia="zh-CN"/>
              </w:rPr>
              <w:t>。</w:t>
            </w:r>
            <w:r>
              <w:rPr>
                <w:color w:val="auto"/>
                <w:sz w:val="24"/>
                <w:highlight w:val="none"/>
              </w:rPr>
              <w:t>由</w:t>
            </w:r>
            <w:r>
              <w:rPr>
                <w:color w:val="auto"/>
                <w:sz w:val="24"/>
                <w:highlight w:val="none"/>
              </w:rPr>
              <w:t>于粉尘物质密度较大，粉尘一段距离内即可沉降，</w:t>
            </w:r>
            <w:r>
              <w:rPr>
                <w:rFonts w:ascii="Times New Roman" w:hAnsi="Times New Roman" w:cs="Times New Roman"/>
                <w:color w:val="auto"/>
                <w:sz w:val="24"/>
                <w:highlight w:val="none"/>
                <w:lang w:val="en-US"/>
              </w:rPr>
              <w:t>地面沉积尘为0.</w:t>
            </w:r>
            <w:r>
              <w:rPr>
                <w:rFonts w:hint="eastAsia" w:ascii="Times New Roman" w:hAnsi="Times New Roman" w:cs="Times New Roman"/>
                <w:color w:val="auto"/>
                <w:sz w:val="24"/>
                <w:highlight w:val="none"/>
                <w:lang w:val="en-US" w:eastAsia="zh-CN"/>
              </w:rPr>
              <w:t>507</w:t>
            </w:r>
            <w:r>
              <w:rPr>
                <w:rFonts w:ascii="Times New Roman" w:hAnsi="Times New Roman" w:cs="Times New Roman"/>
                <w:color w:val="auto"/>
                <w:sz w:val="24"/>
                <w:highlight w:val="none"/>
                <w:lang w:val="en-US"/>
              </w:rPr>
              <w:t>t/a。地面沉积尘统一收集到一般固废暂存间，随产品外售综合利用。</w:t>
            </w:r>
          </w:p>
          <w:p w14:paraId="1E557BA3">
            <w:pPr>
              <w:widowControl/>
              <w:spacing w:line="360" w:lineRule="auto"/>
              <w:ind w:firstLine="480" w:firstLineChars="200"/>
              <w:jc w:val="left"/>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pP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5</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碎石</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加工</w:t>
            </w:r>
            <w:r>
              <w:rPr>
                <w:rFonts w:hint="eastAsia" w:ascii="Times New Roman" w:hAnsi="Times New Roman" w:eastAsia="宋体" w:cs="Times New Roman"/>
                <w:color w:val="000000" w:themeColor="text1"/>
                <w:sz w:val="24"/>
                <w:highlight w:val="none"/>
                <w:lang w:val="en-US" w:eastAsia="zh-CN"/>
                <w14:textFill>
                  <w14:solidFill>
                    <w14:schemeClr w14:val="tx1"/>
                  </w14:solidFill>
                </w14:textFill>
              </w:rPr>
              <w:t>及转运</w:t>
            </w:r>
            <w:r>
              <w:rPr>
                <w:rFonts w:hint="default" w:ascii="Times New Roman" w:hAnsi="Times New Roman" w:eastAsia="宋体" w:cs="Times New Roman"/>
                <w:color w:val="000000" w:themeColor="text1"/>
                <w:sz w:val="24"/>
                <w:highlight w:val="none"/>
                <w:lang w:val="en-US" w:eastAsia="zh-CN"/>
                <w14:textFill>
                  <w14:solidFill>
                    <w14:schemeClr w14:val="tx1"/>
                  </w14:solidFill>
                </w14:textFill>
              </w:rPr>
              <w:t>粉尘</w:t>
            </w:r>
          </w:p>
          <w:p w14:paraId="17941184">
            <w:pPr>
              <w:widowControl/>
              <w:spacing w:line="360" w:lineRule="auto"/>
              <w:ind w:firstLine="480" w:firstLineChars="2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根据《排放源统计调查产排污核算方法和系数手册》（公告2021年第</w:t>
            </w:r>
            <w:r>
              <w:rPr>
                <w:rFonts w:hint="eastAsia"/>
                <w:color w:val="000000" w:themeColor="text1"/>
                <w:sz w:val="24"/>
                <w:highlight w:val="none"/>
                <w14:textFill>
                  <w14:solidFill>
                    <w14:schemeClr w14:val="tx1"/>
                  </w14:solidFill>
                </w14:textFill>
              </w:rPr>
              <w:t>2</w:t>
            </w:r>
            <w:r>
              <w:rPr>
                <w:color w:val="000000" w:themeColor="text1"/>
                <w:sz w:val="24"/>
                <w:highlight w:val="none"/>
                <w14:textFill>
                  <w14:solidFill>
                    <w14:schemeClr w14:val="tx1"/>
                  </w14:solidFill>
                </w14:textFill>
              </w:rPr>
              <w:t>4号）中303砖瓦、石材等建筑材料制造行业系数手册，3039其他建筑材料制造行业相关数据，破碎</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筛分（</w:t>
            </w:r>
            <w:r>
              <w:rPr>
                <w:rFonts w:hint="eastAsia"/>
                <w:color w:val="000000" w:themeColor="text1"/>
                <w:sz w:val="24"/>
                <w:highlight w:val="none"/>
                <w14:textFill>
                  <w14:solidFill>
                    <w14:schemeClr w14:val="tx1"/>
                  </w14:solidFill>
                </w14:textFill>
              </w:rPr>
              <w:t>砂石骨料</w:t>
            </w:r>
            <w:r>
              <w:rPr>
                <w:color w:val="000000" w:themeColor="text1"/>
                <w:sz w:val="24"/>
                <w:highlight w:val="none"/>
                <w14:textFill>
                  <w14:solidFill>
                    <w14:schemeClr w14:val="tx1"/>
                  </w14:solidFill>
                </w14:textFill>
              </w:rPr>
              <w:t>）产尘系数为1.89kg/t</w:t>
            </w:r>
            <w:r>
              <w:rPr>
                <w:rFonts w:hint="eastAsia"/>
                <w:color w:val="000000" w:themeColor="text1"/>
                <w:sz w:val="24"/>
                <w:highlight w:val="none"/>
                <w14:textFill>
                  <w14:solidFill>
                    <w14:schemeClr w14:val="tx1"/>
                  </w14:solidFill>
                </w14:textFill>
              </w:rPr>
              <w:t>-产品</w:t>
            </w:r>
            <w:r>
              <w:rPr>
                <w:color w:val="000000" w:themeColor="text1"/>
                <w:sz w:val="24"/>
                <w:highlight w:val="none"/>
                <w14:textFill>
                  <w14:solidFill>
                    <w14:schemeClr w14:val="tx1"/>
                  </w14:solidFill>
                </w14:textFill>
              </w:rPr>
              <w:t>，</w:t>
            </w:r>
            <w:r>
              <w:rPr>
                <w:rFonts w:hint="eastAsia"/>
                <w:color w:val="000000" w:themeColor="text1"/>
                <w:sz w:val="24"/>
                <w:highlight w:val="none"/>
                <w14:textFill>
                  <w14:solidFill>
                    <w14:schemeClr w14:val="tx1"/>
                  </w14:solidFill>
                </w14:textFill>
              </w:rPr>
              <w:t>工业废气量为1215标立方米/吨-产品，</w:t>
            </w:r>
            <w:r>
              <w:rPr>
                <w:color w:val="000000" w:themeColor="text1"/>
                <w:sz w:val="24"/>
                <w:highlight w:val="none"/>
                <w14:textFill>
                  <w14:solidFill>
                    <w14:schemeClr w14:val="tx1"/>
                  </w14:solidFill>
                </w14:textFill>
              </w:rPr>
              <w:t>本项目碎石加工分为一级破碎</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二级破碎筛分</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项目年生产1920h，</w:t>
            </w:r>
            <w:r>
              <w:rPr>
                <w:rFonts w:hint="eastAsia"/>
                <w:color w:val="000000" w:themeColor="text1"/>
                <w:sz w:val="24"/>
                <w:highlight w:val="none"/>
                <w14:textFill>
                  <w14:solidFill>
                    <w14:schemeClr w14:val="tx1"/>
                  </w14:solidFill>
                </w14:textFill>
              </w:rPr>
              <w:t>产品年产量为</w:t>
            </w:r>
            <w:r>
              <w:rPr>
                <w:rFonts w:hint="eastAsia"/>
                <w:color w:val="000000" w:themeColor="text1"/>
                <w:sz w:val="24"/>
                <w:highlight w:val="none"/>
                <w:lang w:val="en-US" w:eastAsia="zh-CN"/>
                <w14:textFill>
                  <w14:solidFill>
                    <w14:schemeClr w14:val="tx1"/>
                  </w14:solidFill>
                </w14:textFill>
              </w:rPr>
              <w:t>260</w:t>
            </w:r>
            <w:r>
              <w:rPr>
                <w:rFonts w:hint="eastAsia"/>
                <w:color w:val="000000" w:themeColor="text1"/>
                <w:sz w:val="24"/>
                <w:highlight w:val="none"/>
                <w14:textFill>
                  <w14:solidFill>
                    <w14:schemeClr w14:val="tx1"/>
                  </w14:solidFill>
                </w14:textFill>
              </w:rPr>
              <w:t>000t/a</w:t>
            </w:r>
            <w:r>
              <w:rPr>
                <w:color w:val="000000" w:themeColor="text1"/>
                <w:sz w:val="24"/>
                <w:highlight w:val="none"/>
                <w14:textFill>
                  <w14:solidFill>
                    <w14:schemeClr w14:val="tx1"/>
                  </w14:solidFill>
                </w14:textFill>
              </w:rPr>
              <w:t>，由此计算得一级破碎</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二级破碎筛分</w:t>
            </w:r>
            <w:r>
              <w:rPr>
                <w:rFonts w:hint="eastAsia"/>
                <w:color w:val="000000" w:themeColor="text1"/>
                <w:sz w:val="24"/>
                <w:highlight w:val="none"/>
                <w14:textFill>
                  <w14:solidFill>
                    <w14:schemeClr w14:val="tx1"/>
                  </w14:solidFill>
                </w14:textFill>
              </w:rPr>
              <w:t>总</w:t>
            </w:r>
            <w:r>
              <w:rPr>
                <w:color w:val="000000" w:themeColor="text1"/>
                <w:sz w:val="24"/>
                <w:highlight w:val="none"/>
                <w14:textFill>
                  <w14:solidFill>
                    <w14:schemeClr w14:val="tx1"/>
                  </w14:solidFill>
                </w14:textFill>
              </w:rPr>
              <w:t>产尘量为</w:t>
            </w:r>
            <w:r>
              <w:rPr>
                <w:rFonts w:hint="eastAsia"/>
                <w:color w:val="000000" w:themeColor="text1"/>
                <w:sz w:val="24"/>
                <w:highlight w:val="none"/>
                <w:lang w:val="en-US" w:eastAsia="zh-CN"/>
                <w14:textFill>
                  <w14:solidFill>
                    <w14:schemeClr w14:val="tx1"/>
                  </w14:solidFill>
                </w14:textFill>
              </w:rPr>
              <w:t>491.4</w:t>
            </w:r>
            <w:r>
              <w:rPr>
                <w:color w:val="000000" w:themeColor="text1"/>
                <w:sz w:val="24"/>
                <w:highlight w:val="none"/>
                <w14:textFill>
                  <w14:solidFill>
                    <w14:schemeClr w14:val="tx1"/>
                  </w14:solidFill>
                </w14:textFill>
              </w:rPr>
              <w:t>t/a</w:t>
            </w:r>
            <w:r>
              <w:rPr>
                <w:rFonts w:hint="eastAsia"/>
                <w:color w:val="000000" w:themeColor="text1"/>
                <w:sz w:val="24"/>
                <w:highlight w:val="none"/>
                <w:lang w:eastAsia="zh-CN"/>
                <w14:textFill>
                  <w14:solidFill>
                    <w14:schemeClr w14:val="tx1"/>
                  </w14:solidFill>
                </w14:textFill>
              </w:rPr>
              <w:t>，</w:t>
            </w:r>
            <w:r>
              <w:rPr>
                <w:rFonts w:hint="eastAsia"/>
                <w:color w:val="000000" w:themeColor="text1"/>
                <w:sz w:val="24"/>
                <w:highlight w:val="none"/>
                <w14:textFill>
                  <w14:solidFill>
                    <w14:schemeClr w14:val="tx1"/>
                  </w14:solidFill>
                </w14:textFill>
              </w:rPr>
              <w:t>废气量为</w:t>
            </w:r>
            <w:r>
              <w:rPr>
                <w:rFonts w:hint="eastAsia"/>
                <w:color w:val="000000" w:themeColor="text1"/>
                <w:sz w:val="24"/>
                <w:highlight w:val="none"/>
                <w:lang w:val="en-US" w:eastAsia="zh-CN"/>
                <w14:textFill>
                  <w14:solidFill>
                    <w14:schemeClr w14:val="tx1"/>
                  </w14:solidFill>
                </w14:textFill>
              </w:rPr>
              <w:t>164531.25</w:t>
            </w:r>
            <w:r>
              <w:rPr>
                <w:rFonts w:hint="eastAsia"/>
                <w:color w:val="000000" w:themeColor="text1"/>
                <w:sz w:val="24"/>
                <w:highlight w:val="none"/>
                <w14:textFill>
                  <w14:solidFill>
                    <w14:schemeClr w14:val="tx1"/>
                  </w14:solidFill>
                </w14:textFill>
              </w:rPr>
              <w:t>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w:t>
            </w:r>
            <w:r>
              <w:rPr>
                <w:rFonts w:hint="eastAsia"/>
                <w:color w:val="000000" w:themeColor="text1"/>
                <w:sz w:val="24"/>
                <w:highlight w:val="none"/>
                <w:lang w:val="en-US" w:eastAsia="zh-CN"/>
                <w14:textFill>
                  <w14:solidFill>
                    <w14:schemeClr w14:val="tx1"/>
                  </w14:solidFill>
                </w14:textFill>
              </w:rPr>
              <w:t>h</w:t>
            </w:r>
            <w:r>
              <w:rPr>
                <w:rFonts w:hint="eastAsia"/>
                <w:color w:val="000000" w:themeColor="text1"/>
                <w:sz w:val="24"/>
                <w:highlight w:val="none"/>
                <w14:textFill>
                  <w14:solidFill>
                    <w14:schemeClr w14:val="tx1"/>
                  </w14:solidFill>
                </w14:textFill>
              </w:rPr>
              <w:t>。</w:t>
            </w:r>
          </w:p>
          <w:p w14:paraId="736E9016">
            <w:pPr>
              <w:adjustRightInd w:val="0"/>
              <w:snapToGrid w:val="0"/>
              <w:jc w:val="center"/>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表</w:t>
            </w:r>
            <w:r>
              <w:rPr>
                <w:b/>
                <w:bCs/>
                <w:color w:val="000000" w:themeColor="text1"/>
                <w:szCs w:val="21"/>
                <w:highlight w:val="none"/>
                <w14:textFill>
                  <w14:solidFill>
                    <w14:schemeClr w14:val="tx1"/>
                  </w14:solidFill>
                </w14:textFill>
              </w:rPr>
              <w:t>4-</w:t>
            </w:r>
            <w:r>
              <w:rPr>
                <w:rFonts w:hint="eastAsia"/>
                <w:b/>
                <w:bCs/>
                <w:color w:val="000000" w:themeColor="text1"/>
                <w:szCs w:val="21"/>
                <w:highlight w:val="none"/>
                <w:lang w:val="en-US" w:eastAsia="zh-CN"/>
                <w14:textFill>
                  <w14:solidFill>
                    <w14:schemeClr w14:val="tx1"/>
                  </w14:solidFill>
                </w14:textFill>
              </w:rPr>
              <w:t>1</w:t>
            </w:r>
            <w:r>
              <w:rPr>
                <w:b/>
                <w:bCs/>
                <w:color w:val="000000" w:themeColor="text1"/>
                <w:szCs w:val="21"/>
                <w:highlight w:val="none"/>
                <w14:textFill>
                  <w14:solidFill>
                    <w14:schemeClr w14:val="tx1"/>
                  </w14:solidFill>
                </w14:textFill>
              </w:rPr>
              <w:t xml:space="preserve"> </w:t>
            </w:r>
            <w:r>
              <w:rPr>
                <w:rFonts w:hint="eastAsia"/>
                <w:b/>
                <w:bCs/>
                <w:color w:val="000000" w:themeColor="text1"/>
                <w:szCs w:val="21"/>
                <w:highlight w:val="none"/>
                <w14:textFill>
                  <w14:solidFill>
                    <w14:schemeClr w14:val="tx1"/>
                  </w14:solidFill>
                </w14:textFill>
              </w:rPr>
              <w:t>其他建筑材料制造行业产污系数表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429"/>
              <w:gridCol w:w="885"/>
              <w:gridCol w:w="823"/>
              <w:gridCol w:w="1469"/>
              <w:gridCol w:w="1852"/>
              <w:gridCol w:w="805"/>
            </w:tblGrid>
            <w:tr w14:paraId="23EA89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428" w:type="pct"/>
                  <w:tcBorders>
                    <w:tl2br w:val="nil"/>
                    <w:tr2bl w:val="nil"/>
                  </w:tcBorders>
                  <w:vAlign w:val="center"/>
                </w:tcPr>
                <w:p w14:paraId="630E73F6">
                  <w:pPr>
                    <w:snapToGrid w:val="0"/>
                    <w:jc w:val="center"/>
                    <w:rPr>
                      <w:b/>
                      <w:bCs/>
                      <w:color w:val="000000" w:themeColor="text1"/>
                      <w:sz w:val="21"/>
                      <w:szCs w:val="21"/>
                      <w:highlight w:val="none"/>
                      <w14:textFill>
                        <w14:solidFill>
                          <w14:schemeClr w14:val="tx1"/>
                        </w14:solidFill>
                      </w14:textFill>
                    </w:rPr>
                  </w:pPr>
                  <w:r>
                    <w:rPr>
                      <w:rFonts w:hint="eastAsia"/>
                      <w:b/>
                      <w:bCs/>
                      <w:highlight w:val="none"/>
                    </w:rPr>
                    <w:t>产品名称</w:t>
                  </w:r>
                </w:p>
              </w:tc>
              <w:tc>
                <w:tcPr>
                  <w:tcW w:w="899" w:type="pct"/>
                  <w:tcBorders>
                    <w:tl2br w:val="nil"/>
                    <w:tr2bl w:val="nil"/>
                  </w:tcBorders>
                  <w:vAlign w:val="center"/>
                </w:tcPr>
                <w:p w14:paraId="7D594ECC">
                  <w:pPr>
                    <w:snapToGrid w:val="0"/>
                    <w:jc w:val="center"/>
                    <w:rPr>
                      <w:b/>
                      <w:bCs/>
                      <w:color w:val="000000" w:themeColor="text1"/>
                      <w:sz w:val="21"/>
                      <w:szCs w:val="21"/>
                      <w:highlight w:val="none"/>
                      <w14:textFill>
                        <w14:solidFill>
                          <w14:schemeClr w14:val="tx1"/>
                        </w14:solidFill>
                      </w14:textFill>
                    </w:rPr>
                  </w:pPr>
                  <w:r>
                    <w:rPr>
                      <w:rFonts w:hint="eastAsia"/>
                      <w:b/>
                      <w:bCs/>
                      <w:highlight w:val="none"/>
                    </w:rPr>
                    <w:t>原料名称</w:t>
                  </w:r>
                </w:p>
              </w:tc>
              <w:tc>
                <w:tcPr>
                  <w:tcW w:w="557" w:type="pct"/>
                  <w:tcBorders>
                    <w:tl2br w:val="nil"/>
                    <w:tr2bl w:val="nil"/>
                  </w:tcBorders>
                  <w:vAlign w:val="center"/>
                </w:tcPr>
                <w:p w14:paraId="7DD4B4C6">
                  <w:pPr>
                    <w:snapToGrid w:val="0"/>
                    <w:jc w:val="center"/>
                    <w:rPr>
                      <w:b/>
                      <w:bCs/>
                      <w:color w:val="000000" w:themeColor="text1"/>
                      <w:sz w:val="21"/>
                      <w:szCs w:val="21"/>
                      <w:highlight w:val="none"/>
                      <w14:textFill>
                        <w14:solidFill>
                          <w14:schemeClr w14:val="tx1"/>
                        </w14:solidFill>
                      </w14:textFill>
                    </w:rPr>
                  </w:pPr>
                  <w:r>
                    <w:rPr>
                      <w:rFonts w:hint="eastAsia"/>
                      <w:b/>
                      <w:bCs/>
                      <w:highlight w:val="none"/>
                    </w:rPr>
                    <w:t>工艺名称</w:t>
                  </w:r>
                </w:p>
              </w:tc>
              <w:tc>
                <w:tcPr>
                  <w:tcW w:w="518" w:type="pct"/>
                  <w:tcBorders>
                    <w:tl2br w:val="nil"/>
                    <w:tr2bl w:val="nil"/>
                  </w:tcBorders>
                  <w:vAlign w:val="center"/>
                </w:tcPr>
                <w:p w14:paraId="6C627D0D">
                  <w:pPr>
                    <w:snapToGrid w:val="0"/>
                    <w:jc w:val="center"/>
                    <w:rPr>
                      <w:b/>
                      <w:bCs/>
                      <w:color w:val="000000" w:themeColor="text1"/>
                      <w:sz w:val="21"/>
                      <w:szCs w:val="21"/>
                      <w:highlight w:val="none"/>
                      <w14:textFill>
                        <w14:solidFill>
                          <w14:schemeClr w14:val="tx1"/>
                        </w14:solidFill>
                      </w14:textFill>
                    </w:rPr>
                  </w:pPr>
                  <w:r>
                    <w:rPr>
                      <w:rFonts w:hint="eastAsia"/>
                      <w:b/>
                      <w:bCs/>
                      <w:highlight w:val="none"/>
                    </w:rPr>
                    <w:t>规模等级</w:t>
                  </w:r>
                </w:p>
              </w:tc>
              <w:tc>
                <w:tcPr>
                  <w:tcW w:w="924" w:type="pct"/>
                  <w:tcBorders>
                    <w:tl2br w:val="nil"/>
                    <w:tr2bl w:val="nil"/>
                  </w:tcBorders>
                  <w:vAlign w:val="center"/>
                </w:tcPr>
                <w:p w14:paraId="24787781">
                  <w:pPr>
                    <w:snapToGrid w:val="0"/>
                    <w:jc w:val="center"/>
                    <w:rPr>
                      <w:rFonts w:hint="eastAsia"/>
                      <w:b/>
                      <w:bCs/>
                      <w:color w:val="000000" w:themeColor="text1"/>
                      <w:sz w:val="21"/>
                      <w:szCs w:val="21"/>
                      <w:highlight w:val="none"/>
                      <w14:textFill>
                        <w14:solidFill>
                          <w14:schemeClr w14:val="tx1"/>
                        </w14:solidFill>
                      </w14:textFill>
                    </w:rPr>
                  </w:pPr>
                  <w:r>
                    <w:rPr>
                      <w:rFonts w:hint="eastAsia"/>
                      <w:b/>
                      <w:bCs/>
                      <w:highlight w:val="none"/>
                    </w:rPr>
                    <w:t>污染物指标</w:t>
                  </w:r>
                </w:p>
              </w:tc>
              <w:tc>
                <w:tcPr>
                  <w:tcW w:w="1165" w:type="pct"/>
                  <w:tcBorders>
                    <w:tl2br w:val="nil"/>
                    <w:tr2bl w:val="nil"/>
                  </w:tcBorders>
                  <w:vAlign w:val="center"/>
                </w:tcPr>
                <w:p w14:paraId="47CFA6BB">
                  <w:pPr>
                    <w:snapToGrid w:val="0"/>
                    <w:jc w:val="center"/>
                    <w:rPr>
                      <w:b/>
                      <w:bCs/>
                      <w:color w:val="000000" w:themeColor="text1"/>
                      <w:sz w:val="21"/>
                      <w:szCs w:val="21"/>
                      <w:highlight w:val="none"/>
                      <w14:textFill>
                        <w14:solidFill>
                          <w14:schemeClr w14:val="tx1"/>
                        </w14:solidFill>
                      </w14:textFill>
                    </w:rPr>
                  </w:pPr>
                  <w:r>
                    <w:rPr>
                      <w:rFonts w:hint="eastAsia"/>
                      <w:b/>
                      <w:bCs/>
                      <w:highlight w:val="none"/>
                    </w:rPr>
                    <w:t>单位</w:t>
                  </w:r>
                </w:p>
              </w:tc>
              <w:tc>
                <w:tcPr>
                  <w:tcW w:w="506" w:type="pct"/>
                  <w:tcBorders>
                    <w:tl2br w:val="nil"/>
                    <w:tr2bl w:val="nil"/>
                  </w:tcBorders>
                  <w:vAlign w:val="center"/>
                </w:tcPr>
                <w:p w14:paraId="0BE9D9B3">
                  <w:pPr>
                    <w:snapToGrid w:val="0"/>
                    <w:jc w:val="center"/>
                    <w:rPr>
                      <w:b/>
                      <w:bCs/>
                      <w:color w:val="000000" w:themeColor="text1"/>
                      <w:sz w:val="21"/>
                      <w:szCs w:val="21"/>
                      <w:highlight w:val="none"/>
                      <w14:textFill>
                        <w14:solidFill>
                          <w14:schemeClr w14:val="tx1"/>
                        </w14:solidFill>
                      </w14:textFill>
                    </w:rPr>
                  </w:pPr>
                  <w:r>
                    <w:rPr>
                      <w:rFonts w:hint="eastAsia"/>
                      <w:b/>
                      <w:bCs/>
                      <w:highlight w:val="none"/>
                    </w:rPr>
                    <w:t>产污系数</w:t>
                  </w:r>
                </w:p>
              </w:tc>
            </w:tr>
            <w:tr w14:paraId="0F614A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0" w:hRule="atLeast"/>
              </w:trPr>
              <w:tc>
                <w:tcPr>
                  <w:tcW w:w="428" w:type="pct"/>
                  <w:vMerge w:val="restart"/>
                  <w:tcBorders>
                    <w:tl2br w:val="nil"/>
                    <w:tr2bl w:val="nil"/>
                  </w:tcBorders>
                  <w:vAlign w:val="center"/>
                </w:tcPr>
                <w:p w14:paraId="0F5CA09B">
                  <w:pPr>
                    <w:snapToGrid w:val="0"/>
                    <w:jc w:val="center"/>
                    <w:rPr>
                      <w:color w:val="000000" w:themeColor="text1"/>
                      <w:szCs w:val="21"/>
                      <w:highlight w:val="none"/>
                      <w14:textFill>
                        <w14:solidFill>
                          <w14:schemeClr w14:val="tx1"/>
                        </w14:solidFill>
                      </w14:textFill>
                    </w:rPr>
                  </w:pPr>
                  <w:r>
                    <w:rPr>
                      <w:rFonts w:hint="eastAsia"/>
                      <w:highlight w:val="none"/>
                    </w:rPr>
                    <w:t>砂石骨料</w:t>
                  </w:r>
                </w:p>
              </w:tc>
              <w:tc>
                <w:tcPr>
                  <w:tcW w:w="899" w:type="pct"/>
                  <w:vMerge w:val="restart"/>
                  <w:tcBorders>
                    <w:tl2br w:val="nil"/>
                    <w:tr2bl w:val="nil"/>
                  </w:tcBorders>
                  <w:vAlign w:val="center"/>
                </w:tcPr>
                <w:p w14:paraId="2BCD5DDE">
                  <w:pPr>
                    <w:snapToGrid w:val="0"/>
                    <w:jc w:val="center"/>
                    <w:rPr>
                      <w:color w:val="000000" w:themeColor="text1"/>
                      <w:szCs w:val="21"/>
                      <w:highlight w:val="none"/>
                      <w14:textFill>
                        <w14:solidFill>
                          <w14:schemeClr w14:val="tx1"/>
                        </w14:solidFill>
                      </w14:textFill>
                    </w:rPr>
                  </w:pPr>
                  <w:r>
                    <w:rPr>
                      <w:rFonts w:hint="eastAsia"/>
                      <w:highlight w:val="none"/>
                    </w:rPr>
                    <w:t>岩石、矿石、建筑固体废物、尾矿等</w:t>
                  </w:r>
                </w:p>
              </w:tc>
              <w:tc>
                <w:tcPr>
                  <w:tcW w:w="557" w:type="pct"/>
                  <w:vMerge w:val="restart"/>
                  <w:tcBorders>
                    <w:tl2br w:val="nil"/>
                    <w:tr2bl w:val="nil"/>
                  </w:tcBorders>
                  <w:vAlign w:val="center"/>
                </w:tcPr>
                <w:p w14:paraId="71B942F5">
                  <w:pPr>
                    <w:snapToGrid w:val="0"/>
                    <w:jc w:val="center"/>
                    <w:rPr>
                      <w:color w:val="000000" w:themeColor="text1"/>
                      <w:szCs w:val="21"/>
                      <w:highlight w:val="none"/>
                      <w14:textFill>
                        <w14:solidFill>
                          <w14:schemeClr w14:val="tx1"/>
                        </w14:solidFill>
                      </w14:textFill>
                    </w:rPr>
                  </w:pPr>
                  <w:r>
                    <w:rPr>
                      <w:rFonts w:hint="eastAsia"/>
                      <w:highlight w:val="none"/>
                    </w:rPr>
                    <w:t>破碎、筛分</w:t>
                  </w:r>
                </w:p>
              </w:tc>
              <w:tc>
                <w:tcPr>
                  <w:tcW w:w="518" w:type="pct"/>
                  <w:vMerge w:val="restart"/>
                  <w:tcBorders>
                    <w:tl2br w:val="nil"/>
                    <w:tr2bl w:val="nil"/>
                  </w:tcBorders>
                  <w:vAlign w:val="center"/>
                </w:tcPr>
                <w:p w14:paraId="01F7C04B">
                  <w:pPr>
                    <w:snapToGrid w:val="0"/>
                    <w:jc w:val="center"/>
                    <w:rPr>
                      <w:color w:val="000000" w:themeColor="text1"/>
                      <w:szCs w:val="21"/>
                      <w:highlight w:val="none"/>
                      <w14:textFill>
                        <w14:solidFill>
                          <w14:schemeClr w14:val="tx1"/>
                        </w14:solidFill>
                      </w14:textFill>
                    </w:rPr>
                  </w:pPr>
                  <w:r>
                    <w:rPr>
                      <w:rFonts w:hint="eastAsia"/>
                      <w:highlight w:val="none"/>
                    </w:rPr>
                    <w:t>所有规模</w:t>
                  </w:r>
                </w:p>
              </w:tc>
              <w:tc>
                <w:tcPr>
                  <w:tcW w:w="924" w:type="pct"/>
                  <w:tcBorders>
                    <w:tl2br w:val="nil"/>
                    <w:tr2bl w:val="nil"/>
                  </w:tcBorders>
                  <w:vAlign w:val="center"/>
                </w:tcPr>
                <w:p w14:paraId="548FBD24">
                  <w:pPr>
                    <w:snapToGrid w:val="0"/>
                    <w:jc w:val="center"/>
                    <w:rPr>
                      <w:color w:val="000000" w:themeColor="text1"/>
                      <w:szCs w:val="21"/>
                      <w:highlight w:val="none"/>
                      <w14:textFill>
                        <w14:solidFill>
                          <w14:schemeClr w14:val="tx1"/>
                        </w14:solidFill>
                      </w14:textFill>
                    </w:rPr>
                  </w:pPr>
                  <w:r>
                    <w:rPr>
                      <w:rFonts w:hint="eastAsia"/>
                      <w:highlight w:val="none"/>
                    </w:rPr>
                    <w:t>工业废气量</w:t>
                  </w:r>
                </w:p>
              </w:tc>
              <w:tc>
                <w:tcPr>
                  <w:tcW w:w="1165" w:type="pct"/>
                  <w:tcBorders>
                    <w:tl2br w:val="nil"/>
                    <w:tr2bl w:val="nil"/>
                  </w:tcBorders>
                  <w:vAlign w:val="center"/>
                </w:tcPr>
                <w:p w14:paraId="2FC106D9">
                  <w:pPr>
                    <w:snapToGrid w:val="0"/>
                    <w:jc w:val="center"/>
                    <w:rPr>
                      <w:color w:val="000000" w:themeColor="text1"/>
                      <w:szCs w:val="21"/>
                      <w:highlight w:val="none"/>
                      <w14:textFill>
                        <w14:solidFill>
                          <w14:schemeClr w14:val="tx1"/>
                        </w14:solidFill>
                      </w14:textFill>
                    </w:rPr>
                  </w:pPr>
                  <w:r>
                    <w:rPr>
                      <w:rFonts w:hint="eastAsia"/>
                      <w:highlight w:val="none"/>
                    </w:rPr>
                    <w:t>标立方米/吨-产品</w:t>
                  </w:r>
                </w:p>
              </w:tc>
              <w:tc>
                <w:tcPr>
                  <w:tcW w:w="506" w:type="pct"/>
                  <w:tcBorders>
                    <w:tl2br w:val="nil"/>
                    <w:tr2bl w:val="nil"/>
                  </w:tcBorders>
                  <w:vAlign w:val="center"/>
                </w:tcPr>
                <w:p w14:paraId="08C9FA22">
                  <w:pPr>
                    <w:snapToGrid w:val="0"/>
                    <w:jc w:val="center"/>
                    <w:rPr>
                      <w:color w:val="000000" w:themeColor="text1"/>
                      <w:szCs w:val="21"/>
                      <w:highlight w:val="none"/>
                      <w14:textFill>
                        <w14:solidFill>
                          <w14:schemeClr w14:val="tx1"/>
                        </w14:solidFill>
                      </w14:textFill>
                    </w:rPr>
                  </w:pPr>
                  <w:r>
                    <w:rPr>
                      <w:rFonts w:hint="eastAsia"/>
                      <w:highlight w:val="none"/>
                    </w:rPr>
                    <w:t>1215</w:t>
                  </w:r>
                </w:p>
              </w:tc>
            </w:tr>
            <w:tr w14:paraId="67576E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428" w:type="pct"/>
                  <w:vMerge w:val="continue"/>
                  <w:tcBorders>
                    <w:tl2br w:val="nil"/>
                    <w:tr2bl w:val="nil"/>
                  </w:tcBorders>
                  <w:vAlign w:val="center"/>
                </w:tcPr>
                <w:p w14:paraId="2349D81A">
                  <w:pPr>
                    <w:pStyle w:val="11"/>
                    <w:spacing w:after="0" w:line="240" w:lineRule="auto"/>
                    <w:ind w:left="0" w:leftChars="0"/>
                    <w:jc w:val="center"/>
                    <w:rPr>
                      <w:highlight w:val="none"/>
                    </w:rPr>
                  </w:pPr>
                </w:p>
              </w:tc>
              <w:tc>
                <w:tcPr>
                  <w:tcW w:w="899" w:type="pct"/>
                  <w:vMerge w:val="continue"/>
                  <w:tcBorders>
                    <w:tl2br w:val="nil"/>
                    <w:tr2bl w:val="nil"/>
                  </w:tcBorders>
                  <w:vAlign w:val="center"/>
                </w:tcPr>
                <w:p w14:paraId="05507A54">
                  <w:pPr>
                    <w:pStyle w:val="11"/>
                    <w:spacing w:after="0" w:line="240" w:lineRule="auto"/>
                    <w:ind w:left="0" w:leftChars="0"/>
                    <w:jc w:val="center"/>
                    <w:rPr>
                      <w:highlight w:val="none"/>
                    </w:rPr>
                  </w:pPr>
                </w:p>
              </w:tc>
              <w:tc>
                <w:tcPr>
                  <w:tcW w:w="557" w:type="pct"/>
                  <w:vMerge w:val="continue"/>
                  <w:tcBorders>
                    <w:tl2br w:val="nil"/>
                    <w:tr2bl w:val="nil"/>
                  </w:tcBorders>
                  <w:vAlign w:val="center"/>
                </w:tcPr>
                <w:p w14:paraId="6306FB8F">
                  <w:pPr>
                    <w:pStyle w:val="11"/>
                    <w:spacing w:after="0" w:line="240" w:lineRule="auto"/>
                    <w:ind w:left="0" w:leftChars="0"/>
                    <w:jc w:val="center"/>
                    <w:rPr>
                      <w:highlight w:val="none"/>
                    </w:rPr>
                  </w:pPr>
                </w:p>
              </w:tc>
              <w:tc>
                <w:tcPr>
                  <w:tcW w:w="518" w:type="pct"/>
                  <w:vMerge w:val="continue"/>
                  <w:tcBorders>
                    <w:tl2br w:val="nil"/>
                    <w:tr2bl w:val="nil"/>
                  </w:tcBorders>
                  <w:vAlign w:val="center"/>
                </w:tcPr>
                <w:p w14:paraId="68A1644E">
                  <w:pPr>
                    <w:pStyle w:val="11"/>
                    <w:spacing w:after="0" w:line="240" w:lineRule="auto"/>
                    <w:ind w:left="0" w:leftChars="0"/>
                    <w:jc w:val="center"/>
                    <w:rPr>
                      <w:highlight w:val="none"/>
                    </w:rPr>
                  </w:pPr>
                </w:p>
              </w:tc>
              <w:tc>
                <w:tcPr>
                  <w:tcW w:w="924" w:type="pct"/>
                  <w:tcBorders>
                    <w:tl2br w:val="nil"/>
                    <w:tr2bl w:val="nil"/>
                  </w:tcBorders>
                  <w:vAlign w:val="center"/>
                </w:tcPr>
                <w:p w14:paraId="72D3988D">
                  <w:pPr>
                    <w:snapToGrid w:val="0"/>
                    <w:jc w:val="center"/>
                    <w:rPr>
                      <w:rFonts w:hint="eastAsia"/>
                      <w:color w:val="000000" w:themeColor="text1"/>
                      <w:szCs w:val="21"/>
                      <w:highlight w:val="none"/>
                      <w14:textFill>
                        <w14:solidFill>
                          <w14:schemeClr w14:val="tx1"/>
                        </w14:solidFill>
                      </w14:textFill>
                    </w:rPr>
                  </w:pPr>
                  <w:r>
                    <w:rPr>
                      <w:rFonts w:hint="eastAsia"/>
                      <w:highlight w:val="none"/>
                    </w:rPr>
                    <w:t>颗粒物</w:t>
                  </w:r>
                </w:p>
              </w:tc>
              <w:tc>
                <w:tcPr>
                  <w:tcW w:w="1165" w:type="pct"/>
                  <w:tcBorders>
                    <w:tl2br w:val="nil"/>
                    <w:tr2bl w:val="nil"/>
                  </w:tcBorders>
                  <w:vAlign w:val="center"/>
                </w:tcPr>
                <w:p w14:paraId="1F37CF93">
                  <w:pPr>
                    <w:snapToGrid w:val="0"/>
                    <w:jc w:val="center"/>
                    <w:rPr>
                      <w:rFonts w:hint="eastAsia"/>
                      <w:color w:val="000000" w:themeColor="text1"/>
                      <w:szCs w:val="21"/>
                      <w:highlight w:val="none"/>
                      <w14:textFill>
                        <w14:solidFill>
                          <w14:schemeClr w14:val="tx1"/>
                        </w14:solidFill>
                      </w14:textFill>
                    </w:rPr>
                  </w:pPr>
                  <w:r>
                    <w:rPr>
                      <w:rFonts w:hint="eastAsia"/>
                      <w:highlight w:val="none"/>
                    </w:rPr>
                    <w:t>千克/吨-产品</w:t>
                  </w:r>
                </w:p>
              </w:tc>
              <w:tc>
                <w:tcPr>
                  <w:tcW w:w="506" w:type="pct"/>
                  <w:tcBorders>
                    <w:tl2br w:val="nil"/>
                    <w:tr2bl w:val="nil"/>
                  </w:tcBorders>
                  <w:vAlign w:val="center"/>
                </w:tcPr>
                <w:p w14:paraId="7B5E7035">
                  <w:pPr>
                    <w:snapToGrid w:val="0"/>
                    <w:jc w:val="center"/>
                    <w:rPr>
                      <w:rFonts w:hint="eastAsia"/>
                      <w:color w:val="000000" w:themeColor="text1"/>
                      <w:szCs w:val="21"/>
                      <w:highlight w:val="none"/>
                      <w14:textFill>
                        <w14:solidFill>
                          <w14:schemeClr w14:val="tx1"/>
                        </w14:solidFill>
                      </w14:textFill>
                    </w:rPr>
                  </w:pPr>
                  <w:r>
                    <w:rPr>
                      <w:rFonts w:hint="eastAsia"/>
                      <w:highlight w:val="none"/>
                    </w:rPr>
                    <w:t>1.89</w:t>
                  </w:r>
                </w:p>
              </w:tc>
            </w:tr>
          </w:tbl>
          <w:p w14:paraId="0B73E2F8">
            <w:pPr>
              <w:keepNext w:val="0"/>
              <w:keepLines w:val="0"/>
              <w:pageBreakBefore w:val="0"/>
              <w:widowControl/>
              <w:kinsoku/>
              <w:wordWrap/>
              <w:overflowPunct/>
              <w:topLinePunct w:val="0"/>
              <w:autoSpaceDE/>
              <w:autoSpaceDN/>
              <w:bidi w:val="0"/>
              <w:adjustRightInd/>
              <w:snapToGrid/>
              <w:spacing w:before="157" w:beforeLines="50" w:line="360" w:lineRule="auto"/>
              <w:ind w:firstLine="482" w:firstLineChars="200"/>
              <w:textAlignment w:val="auto"/>
              <w:rPr>
                <w:color w:val="auto"/>
                <w:sz w:val="24"/>
                <w:highlight w:val="none"/>
              </w:rPr>
            </w:pPr>
            <w:r>
              <w:rPr>
                <w:rFonts w:hint="eastAsia" w:ascii="宋体" w:hAnsi="宋体" w:cs="宋体"/>
                <w:b/>
                <w:bCs/>
                <w:color w:val="000000" w:themeColor="text1"/>
                <w:kern w:val="0"/>
                <w:sz w:val="24"/>
                <w:highlight w:val="none"/>
                <w:lang w:bidi="ar"/>
                <w14:textFill>
                  <w14:solidFill>
                    <w14:schemeClr w14:val="tx1"/>
                  </w14:solidFill>
                </w14:textFill>
              </w:rPr>
              <w:t>拟采取的措施：</w:t>
            </w:r>
            <w:r>
              <w:rPr>
                <w:rFonts w:hint="eastAsia"/>
                <w:color w:val="000000" w:themeColor="text1"/>
                <w:sz w:val="24"/>
                <w:highlight w:val="none"/>
                <w14:textFill>
                  <w14:solidFill>
                    <w14:schemeClr w14:val="tx1"/>
                  </w14:solidFill>
                </w14:textFill>
              </w:rPr>
              <w:t>碎石加工</w:t>
            </w:r>
            <w:r>
              <w:rPr>
                <w:color w:val="000000" w:themeColor="text1"/>
                <w:sz w:val="24"/>
                <w:highlight w:val="none"/>
                <w14:textFill>
                  <w14:solidFill>
                    <w14:schemeClr w14:val="tx1"/>
                  </w14:solidFill>
                </w14:textFill>
              </w:rPr>
              <w:t>在</w:t>
            </w:r>
            <w:r>
              <w:rPr>
                <w:rFonts w:hint="eastAsia"/>
                <w:color w:val="000000" w:themeColor="text1"/>
                <w:sz w:val="24"/>
                <w:highlight w:val="none"/>
                <w:lang w:val="en-US" w:eastAsia="zh-CN"/>
                <w14:textFill>
                  <w14:solidFill>
                    <w14:schemeClr w14:val="tx1"/>
                  </w14:solidFill>
                </w14:textFill>
              </w:rPr>
              <w:t>全</w:t>
            </w:r>
            <w:r>
              <w:rPr>
                <w:color w:val="000000" w:themeColor="text1"/>
                <w:sz w:val="24"/>
                <w:highlight w:val="none"/>
                <w14:textFill>
                  <w14:solidFill>
                    <w14:schemeClr w14:val="tx1"/>
                  </w14:solidFill>
                </w14:textFill>
              </w:rPr>
              <w:t>封闭车间内进行，输送皮带廊均为</w:t>
            </w:r>
            <w:r>
              <w:rPr>
                <w:rFonts w:hint="eastAsia" w:cs="Times New Roman"/>
                <w:color w:val="auto"/>
                <w:kern w:val="0"/>
                <w:sz w:val="24"/>
                <w:szCs w:val="24"/>
                <w:highlight w:val="none"/>
                <w:lang w:val="en-US" w:eastAsia="zh-CN" w:bidi="ar"/>
              </w:rPr>
              <w:t>全封闭</w:t>
            </w:r>
            <w:r>
              <w:rPr>
                <w:color w:val="000000" w:themeColor="text1"/>
                <w:sz w:val="24"/>
                <w:highlight w:val="none"/>
                <w14:textFill>
                  <w14:solidFill>
                    <w14:schemeClr w14:val="tx1"/>
                  </w14:solidFill>
                </w14:textFill>
              </w:rPr>
              <w:t>设计</w:t>
            </w:r>
            <w:r>
              <w:rPr>
                <w:rFonts w:hint="eastAsia"/>
                <w:color w:val="000000" w:themeColor="text1"/>
                <w:sz w:val="24"/>
                <w:highlight w:val="none"/>
                <w14:textFill>
                  <w14:solidFill>
                    <w14:schemeClr w14:val="tx1"/>
                  </w14:solidFill>
                </w14:textFill>
              </w:rPr>
              <w:t>，破碎机、筛分机上方设置</w:t>
            </w:r>
            <w:r>
              <w:rPr>
                <w:rFonts w:ascii="Times New Roman" w:hAnsi="Times New Roman" w:cs="Times New Roman"/>
                <w:color w:val="auto"/>
                <w:sz w:val="24"/>
                <w:highlight w:val="none"/>
                <w:lang w:val="en-US"/>
              </w:rPr>
              <w:t>包围型集气罩</w:t>
            </w:r>
            <w:r>
              <w:rPr>
                <w:rFonts w:hint="eastAsia" w:ascii="Times New Roman" w:hAnsi="Times New Roman" w:cs="Times New Roman"/>
                <w:color w:val="auto"/>
                <w:sz w:val="24"/>
                <w:highlight w:val="none"/>
                <w:lang w:val="en-US" w:eastAsia="zh-CN"/>
              </w:rPr>
              <w:t>，</w:t>
            </w:r>
            <w:r>
              <w:rPr>
                <w:rFonts w:hint="eastAsia" w:ascii="Times New Roman" w:hAnsi="Times New Roman" w:cs="Times New Roman"/>
                <w:color w:val="auto"/>
                <w:sz w:val="24"/>
                <w:highlight w:val="none"/>
                <w:lang w:val="en-US" w:eastAsia="zh-CN"/>
              </w:rPr>
              <w:t>且四周设置</w:t>
            </w:r>
            <w:r>
              <w:rPr>
                <w:rFonts w:hint="eastAsia" w:cs="Times New Roman"/>
                <w:color w:val="FF0000"/>
                <w:sz w:val="24"/>
                <w:highlight w:val="none"/>
                <w:lang w:val="en-US" w:eastAsia="zh-CN"/>
              </w:rPr>
              <w:t>软帘</w:t>
            </w:r>
            <w:r>
              <w:rPr>
                <w:rFonts w:ascii="Times New Roman" w:hAnsi="Times New Roman" w:cs="Times New Roman"/>
                <w:color w:val="auto"/>
                <w:sz w:val="24"/>
                <w:highlight w:val="none"/>
                <w:lang w:val="en-US"/>
              </w:rPr>
              <w:t>，</w:t>
            </w:r>
            <w:r>
              <w:rPr>
                <w:rFonts w:hint="eastAsia"/>
                <w:color w:val="000000" w:themeColor="text1"/>
                <w:sz w:val="24"/>
                <w:highlight w:val="none"/>
                <w14:textFill>
                  <w14:solidFill>
                    <w14:schemeClr w14:val="tx1"/>
                  </w14:solidFill>
                </w14:textFill>
              </w:rPr>
              <w:t>废气</w:t>
            </w:r>
            <w:r>
              <w:rPr>
                <w:color w:val="000000" w:themeColor="text1"/>
                <w:sz w:val="24"/>
                <w:highlight w:val="none"/>
                <w14:textFill>
                  <w14:solidFill>
                    <w14:schemeClr w14:val="tx1"/>
                  </w14:solidFill>
                </w14:textFill>
              </w:rPr>
              <w:t>经收集</w:t>
            </w:r>
            <w:r>
              <w:rPr>
                <w:rFonts w:ascii="Times New Roman" w:hAnsi="Times New Roman" w:cs="Times New Roman"/>
                <w:color w:val="auto"/>
                <w:sz w:val="24"/>
                <w:highlight w:val="none"/>
                <w:lang w:val="en-US"/>
              </w:rPr>
              <w:t>（收集效率为</w:t>
            </w:r>
            <w:r>
              <w:rPr>
                <w:rFonts w:hint="eastAsia" w:ascii="Times New Roman" w:hAnsi="Times New Roman" w:cs="Times New Roman"/>
                <w:color w:val="auto"/>
                <w:sz w:val="24"/>
                <w:highlight w:val="none"/>
                <w:lang w:val="en-US" w:eastAsia="zh-CN"/>
              </w:rPr>
              <w:t>90</w:t>
            </w:r>
            <w:r>
              <w:rPr>
                <w:rFonts w:ascii="Times New Roman" w:hAnsi="Times New Roman" w:cs="Times New Roman"/>
                <w:color w:val="auto"/>
                <w:sz w:val="24"/>
                <w:highlight w:val="none"/>
                <w:lang w:val="en-US"/>
              </w:rPr>
              <w:t>%）</w:t>
            </w:r>
            <w:r>
              <w:rPr>
                <w:rFonts w:hint="eastAsia"/>
                <w:color w:val="000000" w:themeColor="text1"/>
                <w:sz w:val="24"/>
                <w:highlight w:val="none"/>
                <w14:textFill>
                  <w14:solidFill>
                    <w14:schemeClr w14:val="tx1"/>
                  </w14:solidFill>
                </w14:textFill>
              </w:rPr>
              <w:t>后经袋式</w:t>
            </w:r>
            <w:r>
              <w:rPr>
                <w:color w:val="000000" w:themeColor="text1"/>
                <w:sz w:val="24"/>
                <w:highlight w:val="none"/>
                <w14:textFill>
                  <w14:solidFill>
                    <w14:schemeClr w14:val="tx1"/>
                  </w14:solidFill>
                </w14:textFill>
              </w:rPr>
              <w:t>除尘器（除尘效率</w:t>
            </w:r>
            <w:r>
              <w:rPr>
                <w:rFonts w:hint="eastAsia"/>
                <w:color w:val="000000" w:themeColor="text1"/>
                <w:sz w:val="24"/>
                <w:highlight w:val="none"/>
                <w14:textFill>
                  <w14:solidFill>
                    <w14:schemeClr w14:val="tx1"/>
                  </w14:solidFill>
                </w14:textFill>
              </w:rPr>
              <w:t>99</w:t>
            </w:r>
            <w:r>
              <w:rPr>
                <w:rFonts w:ascii="Times New Roman" w:hAnsi="Times New Roman" w:cs="Times New Roman"/>
                <w:color w:val="auto"/>
                <w:sz w:val="24"/>
                <w:highlight w:val="none"/>
                <w:lang w:val="en-US"/>
              </w:rPr>
              <w:t>%</w:t>
            </w:r>
            <w:r>
              <w:rPr>
                <w:color w:val="000000" w:themeColor="text1"/>
                <w:sz w:val="24"/>
                <w:highlight w:val="none"/>
                <w14:textFill>
                  <w14:solidFill>
                    <w14:schemeClr w14:val="tx1"/>
                  </w14:solidFill>
                </w14:textFill>
              </w:rPr>
              <w:t>）处理达标后，废气最终经</w:t>
            </w:r>
            <w:r>
              <w:rPr>
                <w:rFonts w:hint="eastAsia"/>
                <w:color w:val="000000" w:themeColor="text1"/>
                <w:sz w:val="24"/>
                <w:highlight w:val="none"/>
                <w14:textFill>
                  <w14:solidFill>
                    <w14:schemeClr w14:val="tx1"/>
                  </w14:solidFill>
                </w14:textFill>
              </w:rPr>
              <w:t>一根</w:t>
            </w:r>
            <w:r>
              <w:rPr>
                <w:color w:val="000000" w:themeColor="text1"/>
                <w:sz w:val="24"/>
                <w:highlight w:val="none"/>
                <w14:textFill>
                  <w14:solidFill>
                    <w14:schemeClr w14:val="tx1"/>
                  </w14:solidFill>
                </w14:textFill>
              </w:rPr>
              <w:t>15m高排气筒DA001排放。</w:t>
            </w:r>
            <w:r>
              <w:rPr>
                <w:rFonts w:hint="eastAsia"/>
                <w:color w:val="FF0000"/>
                <w:sz w:val="24"/>
                <w:highlight w:val="none"/>
              </w:rPr>
              <w:t>根据《袋式除尘工程通用技术规范》</w:t>
            </w:r>
            <w:r>
              <w:rPr>
                <w:rFonts w:hint="eastAsia"/>
                <w:color w:val="FF0000"/>
                <w:sz w:val="24"/>
                <w:highlight w:val="none"/>
                <w:lang w:eastAsia="zh-CN"/>
              </w:rPr>
              <w:t>（</w:t>
            </w:r>
            <w:r>
              <w:rPr>
                <w:rFonts w:hint="eastAsia"/>
                <w:color w:val="FF0000"/>
                <w:sz w:val="24"/>
                <w:highlight w:val="none"/>
              </w:rPr>
              <w:t>HJ 2020-2012</w:t>
            </w:r>
            <w:r>
              <w:rPr>
                <w:rFonts w:hint="eastAsia"/>
                <w:color w:val="FF0000"/>
                <w:sz w:val="24"/>
                <w:highlight w:val="none"/>
                <w:lang w:eastAsia="zh-CN"/>
              </w:rPr>
              <w:t>）</w:t>
            </w:r>
            <w:r>
              <w:rPr>
                <w:rFonts w:hint="eastAsia"/>
                <w:color w:val="FF0000"/>
                <w:sz w:val="24"/>
                <w:highlight w:val="none"/>
                <w:lang w:val="en-US" w:eastAsia="zh-CN"/>
              </w:rPr>
              <w:t>半封闭式集气罩集气效率应不低于95%，本次评价保守取值90%，为确保本项目集气罩集气效率。项目集气罩尺寸可完全覆盖产尘口，四周设置软帘，风速不低于0.5m/s，集气罩距离产尘点距离不大于0.2m，集气罩在工艺装置开启前启动，在生产设备停止后持续运行10min 。</w:t>
            </w:r>
            <w:r>
              <w:rPr>
                <w:color w:val="000000" w:themeColor="text1"/>
                <w:sz w:val="24"/>
                <w:highlight w:val="none"/>
                <w14:textFill>
                  <w14:solidFill>
                    <w14:schemeClr w14:val="tx1"/>
                  </w14:solidFill>
                </w14:textFill>
              </w:rPr>
              <w:t>一级破碎</w:t>
            </w:r>
            <w:r>
              <w:rPr>
                <w:rFonts w:hint="eastAsia"/>
                <w:color w:val="000000" w:themeColor="text1"/>
                <w:sz w:val="24"/>
                <w:highlight w:val="none"/>
                <w14:textFill>
                  <w14:solidFill>
                    <w14:schemeClr w14:val="tx1"/>
                  </w14:solidFill>
                </w14:textFill>
              </w:rPr>
              <w:t>、</w:t>
            </w:r>
            <w:r>
              <w:rPr>
                <w:color w:val="000000" w:themeColor="text1"/>
                <w:sz w:val="24"/>
                <w:highlight w:val="none"/>
                <w14:textFill>
                  <w14:solidFill>
                    <w14:schemeClr w14:val="tx1"/>
                  </w14:solidFill>
                </w14:textFill>
              </w:rPr>
              <w:t>二级破碎筛分</w:t>
            </w:r>
            <w:r>
              <w:rPr>
                <w:rFonts w:hint="eastAsia"/>
                <w:color w:val="000000" w:themeColor="text1"/>
                <w:sz w:val="24"/>
                <w:highlight w:val="none"/>
                <w14:textFill>
                  <w14:solidFill>
                    <w14:schemeClr w14:val="tx1"/>
                  </w14:solidFill>
                </w14:textFill>
              </w:rPr>
              <w:t>过程中，经处理后的</w:t>
            </w:r>
            <w:r>
              <w:rPr>
                <w:color w:val="000000" w:themeColor="text1"/>
                <w:sz w:val="24"/>
                <w:highlight w:val="none"/>
                <w14:textFill>
                  <w14:solidFill>
                    <w14:schemeClr w14:val="tx1"/>
                  </w14:solidFill>
                </w14:textFill>
              </w:rPr>
              <w:t>粉尘有组织排放量为</w:t>
            </w:r>
            <w:r>
              <w:rPr>
                <w:rFonts w:hint="eastAsia"/>
                <w:color w:val="auto"/>
                <w:sz w:val="24"/>
                <w:highlight w:val="none"/>
                <w:lang w:val="en-US" w:eastAsia="zh-CN"/>
              </w:rPr>
              <w:t>4.423</w:t>
            </w:r>
            <w:r>
              <w:rPr>
                <w:color w:val="auto"/>
                <w:sz w:val="24"/>
                <w:highlight w:val="none"/>
              </w:rPr>
              <w:t>t/a，</w:t>
            </w:r>
            <w:r>
              <w:rPr>
                <w:rFonts w:hint="eastAsia"/>
                <w:color w:val="auto"/>
                <w:kern w:val="0"/>
                <w:sz w:val="24"/>
                <w:highlight w:val="none"/>
                <w:lang w:bidi="ar"/>
              </w:rPr>
              <w:t>排放速率为</w:t>
            </w:r>
            <w:r>
              <w:rPr>
                <w:rFonts w:hint="eastAsia"/>
                <w:color w:val="auto"/>
                <w:sz w:val="24"/>
                <w:highlight w:val="none"/>
                <w:lang w:val="en-US" w:eastAsia="zh-CN"/>
              </w:rPr>
              <w:t>2.303</w:t>
            </w:r>
            <w:r>
              <w:rPr>
                <w:color w:val="auto"/>
                <w:sz w:val="24"/>
                <w:highlight w:val="none"/>
              </w:rPr>
              <w:t>kg/h</w:t>
            </w:r>
            <w:r>
              <w:rPr>
                <w:rFonts w:hint="eastAsia"/>
                <w:color w:val="auto"/>
                <w:sz w:val="24"/>
                <w:highlight w:val="none"/>
              </w:rPr>
              <w:t>，</w:t>
            </w:r>
            <w:r>
              <w:rPr>
                <w:rFonts w:hint="eastAsia"/>
                <w:color w:val="FF0000"/>
                <w:sz w:val="24"/>
                <w:highlight w:val="none"/>
              </w:rPr>
              <w:t>排放浓度为</w:t>
            </w:r>
            <w:r>
              <w:rPr>
                <w:rFonts w:hint="eastAsia"/>
                <w:color w:val="FF0000"/>
                <w:sz w:val="24"/>
                <w:highlight w:val="none"/>
                <w:lang w:val="en-US" w:eastAsia="zh-CN"/>
              </w:rPr>
              <w:t>115.15</w:t>
            </w:r>
            <w:r>
              <w:rPr>
                <w:rFonts w:hint="eastAsia"/>
                <w:color w:val="FF0000"/>
                <w:sz w:val="24"/>
                <w:highlight w:val="none"/>
              </w:rPr>
              <w:t>mg/m</w:t>
            </w:r>
            <w:r>
              <w:rPr>
                <w:rFonts w:hint="eastAsia"/>
                <w:color w:val="FF0000"/>
                <w:sz w:val="24"/>
                <w:highlight w:val="none"/>
                <w:vertAlign w:val="superscript"/>
              </w:rPr>
              <w:t>3</w:t>
            </w:r>
            <w:r>
              <w:rPr>
                <w:rFonts w:hint="eastAsia"/>
                <w:color w:val="FF0000"/>
                <w:sz w:val="24"/>
                <w:highlight w:val="none"/>
              </w:rPr>
              <w:t>。</w:t>
            </w:r>
            <w:r>
              <w:rPr>
                <w:color w:val="auto"/>
                <w:sz w:val="24"/>
                <w:highlight w:val="none"/>
              </w:rPr>
              <w:t>本次评价</w:t>
            </w:r>
            <w:r>
              <w:rPr>
                <w:rFonts w:hint="eastAsia"/>
                <w:color w:val="auto"/>
                <w:sz w:val="24"/>
                <w:highlight w:val="none"/>
                <w:lang w:eastAsia="zh-CN"/>
              </w:rPr>
              <w:t>，</w:t>
            </w:r>
            <w:r>
              <w:rPr>
                <w:rFonts w:hint="eastAsia"/>
                <w:color w:val="auto"/>
                <w:sz w:val="24"/>
                <w:highlight w:val="none"/>
                <w:lang w:val="en-US" w:eastAsia="zh-CN"/>
              </w:rPr>
              <w:t>生产车间设置雾炮机洒水降尘，全</w:t>
            </w:r>
            <w:r>
              <w:rPr>
                <w:rFonts w:hint="eastAsia" w:ascii="Times New Roman" w:hAnsi="Times New Roman" w:cs="Times New Roman"/>
                <w:color w:val="auto"/>
                <w:sz w:val="24"/>
                <w:highlight w:val="none"/>
                <w:lang w:val="en-US" w:eastAsia="zh-CN"/>
              </w:rPr>
              <w:t>封闭车间对粉尘有一定的阻隔能力（约90%），则</w:t>
            </w:r>
            <w:r>
              <w:rPr>
                <w:rFonts w:ascii="Times New Roman" w:hAnsi="Times New Roman" w:cs="Times New Roman"/>
                <w:color w:val="auto"/>
                <w:sz w:val="24"/>
                <w:highlight w:val="none"/>
                <w:lang w:val="en-US"/>
              </w:rPr>
              <w:t>无组织粉尘排放量为</w:t>
            </w:r>
            <w:r>
              <w:rPr>
                <w:rFonts w:hint="eastAsia" w:ascii="Times New Roman" w:hAnsi="Times New Roman" w:cs="Times New Roman"/>
                <w:color w:val="auto"/>
                <w:sz w:val="24"/>
                <w:highlight w:val="none"/>
                <w:lang w:val="en-US" w:eastAsia="zh-CN"/>
              </w:rPr>
              <w:t>1.278</w:t>
            </w:r>
            <w:r>
              <w:rPr>
                <w:rFonts w:ascii="Times New Roman" w:hAnsi="Times New Roman" w:cs="Times New Roman"/>
                <w:color w:val="auto"/>
                <w:sz w:val="24"/>
                <w:highlight w:val="none"/>
                <w:lang w:val="en-US"/>
              </w:rPr>
              <w:t>t/a</w:t>
            </w:r>
            <w:r>
              <w:rPr>
                <w:color w:val="auto"/>
                <w:sz w:val="24"/>
                <w:highlight w:val="none"/>
              </w:rPr>
              <w:t>，</w:t>
            </w:r>
            <w:r>
              <w:rPr>
                <w:rFonts w:hint="eastAsia"/>
                <w:color w:val="auto"/>
                <w:kern w:val="0"/>
                <w:sz w:val="24"/>
                <w:highlight w:val="none"/>
                <w:lang w:bidi="ar"/>
              </w:rPr>
              <w:t>排放速率为</w:t>
            </w:r>
            <w:r>
              <w:rPr>
                <w:rFonts w:hint="eastAsia"/>
                <w:color w:val="auto"/>
                <w:sz w:val="24"/>
                <w:highlight w:val="none"/>
              </w:rPr>
              <w:t>0.</w:t>
            </w:r>
            <w:r>
              <w:rPr>
                <w:rFonts w:hint="eastAsia"/>
                <w:color w:val="auto"/>
                <w:sz w:val="24"/>
                <w:highlight w:val="none"/>
                <w:lang w:val="en-US" w:eastAsia="zh-CN"/>
              </w:rPr>
              <w:t>665</w:t>
            </w:r>
            <w:r>
              <w:rPr>
                <w:color w:val="auto"/>
                <w:sz w:val="24"/>
                <w:highlight w:val="none"/>
              </w:rPr>
              <w:t>kg/h</w:t>
            </w:r>
            <w:r>
              <w:rPr>
                <w:rFonts w:hint="eastAsia" w:ascii="Times New Roman" w:hAnsi="Times New Roman" w:cs="Times New Roman"/>
                <w:color w:val="auto"/>
                <w:sz w:val="24"/>
                <w:highlight w:val="none"/>
                <w:lang w:val="en-US" w:eastAsia="zh-CN"/>
              </w:rPr>
              <w:t>。</w:t>
            </w:r>
            <w:r>
              <w:rPr>
                <w:color w:val="auto"/>
                <w:sz w:val="24"/>
                <w:highlight w:val="none"/>
              </w:rPr>
              <w:t>由于粉尘物质密度较大，粉尘一段距离内即可沉降，</w:t>
            </w:r>
            <w:r>
              <w:rPr>
                <w:rFonts w:ascii="Times New Roman" w:hAnsi="Times New Roman" w:cs="Times New Roman"/>
                <w:color w:val="auto"/>
                <w:sz w:val="24"/>
                <w:highlight w:val="none"/>
                <w:lang w:val="en-US"/>
              </w:rPr>
              <w:t>地面沉积尘为</w:t>
            </w:r>
            <w:r>
              <w:rPr>
                <w:rFonts w:hint="eastAsia" w:ascii="Times New Roman" w:hAnsi="Times New Roman" w:cs="Times New Roman"/>
                <w:color w:val="auto"/>
                <w:sz w:val="24"/>
                <w:highlight w:val="none"/>
                <w:lang w:val="en-US" w:eastAsia="zh-CN"/>
              </w:rPr>
              <w:t>47.862</w:t>
            </w:r>
            <w:r>
              <w:rPr>
                <w:rFonts w:ascii="Times New Roman" w:hAnsi="Times New Roman" w:cs="Times New Roman"/>
                <w:color w:val="auto"/>
                <w:sz w:val="24"/>
                <w:highlight w:val="none"/>
                <w:lang w:val="en-US"/>
              </w:rPr>
              <w:t>t/a。地面沉积尘统一收集到一般固废暂存间，随产品外售综合利用。</w:t>
            </w:r>
          </w:p>
          <w:p w14:paraId="370B0E95">
            <w:pPr>
              <w:widowControl/>
              <w:numPr>
                <w:ilvl w:val="0"/>
                <w:numId w:val="0"/>
              </w:numPr>
              <w:spacing w:line="360" w:lineRule="auto"/>
              <w:ind w:firstLine="482" w:firstLineChars="200"/>
              <w:jc w:val="left"/>
              <w:rPr>
                <w:rFonts w:hint="eastAsia"/>
                <w:color w:val="FF0000"/>
                <w:sz w:val="24"/>
                <w:szCs w:val="24"/>
                <w:highlight w:val="none"/>
                <w:lang w:val="en-US" w:eastAsia="zh-CN"/>
              </w:rPr>
            </w:pPr>
            <w:r>
              <w:rPr>
                <w:rFonts w:hint="eastAsia" w:cs="Times New Roman"/>
                <w:b/>
                <w:bCs/>
                <w:color w:val="FF0000"/>
                <w:kern w:val="2"/>
                <w:sz w:val="24"/>
                <w:szCs w:val="24"/>
                <w:highlight w:val="none"/>
                <w:lang w:val="en-US" w:eastAsia="zh-CN" w:bidi="ar-SA"/>
              </w:rPr>
              <w:t>破碎车间风机设置情况：</w:t>
            </w:r>
            <w:r>
              <w:rPr>
                <w:rFonts w:hint="eastAsia" w:cs="Times New Roman"/>
                <w:b w:val="0"/>
                <w:bCs w:val="0"/>
                <w:color w:val="FF0000"/>
                <w:kern w:val="2"/>
                <w:sz w:val="24"/>
                <w:szCs w:val="24"/>
                <w:highlight w:val="none"/>
                <w:lang w:val="en-US" w:eastAsia="zh-CN" w:bidi="ar-SA"/>
              </w:rPr>
              <w:t>本项目给料机、鄂式破碎机、锤式破碎机上方均设置集气罩，</w:t>
            </w:r>
            <w:r>
              <w:rPr>
                <w:rFonts w:hint="eastAsia"/>
                <w:color w:val="FF0000"/>
                <w:sz w:val="24"/>
                <w:szCs w:val="24"/>
                <w:highlight w:val="none"/>
                <w:lang w:val="en-US" w:eastAsia="zh-CN"/>
              </w:rPr>
              <w:t>根据《排风罩的分类及技术条件》（GB/T16758-2008）、《局部排风设施控制风速检测与评估技术规范》（AQ/T7247-2016）、</w:t>
            </w:r>
            <w:r>
              <w:rPr>
                <w:rFonts w:hint="eastAsia"/>
                <w:color w:val="FF0000"/>
                <w:sz w:val="24"/>
                <w:szCs w:val="24"/>
                <w:highlight w:val="none"/>
                <w:lang w:eastAsia="zh-CN"/>
              </w:rPr>
              <w:t>《</w:t>
            </w:r>
            <w:r>
              <w:rPr>
                <w:rFonts w:hint="eastAsia"/>
                <w:color w:val="FF0000"/>
                <w:sz w:val="24"/>
                <w:szCs w:val="24"/>
                <w:highlight w:val="none"/>
                <w:lang w:val="en-US" w:eastAsia="zh-CN"/>
              </w:rPr>
              <w:t>大气污染物控制工程</w:t>
            </w:r>
            <w:r>
              <w:rPr>
                <w:rFonts w:hint="eastAsia"/>
                <w:color w:val="FF0000"/>
                <w:sz w:val="24"/>
                <w:szCs w:val="24"/>
                <w:highlight w:val="none"/>
                <w:lang w:eastAsia="zh-CN"/>
              </w:rPr>
              <w:t>》（</w:t>
            </w:r>
            <w:r>
              <w:rPr>
                <w:rFonts w:hint="eastAsia"/>
                <w:color w:val="FF0000"/>
                <w:sz w:val="24"/>
                <w:szCs w:val="24"/>
                <w:highlight w:val="none"/>
                <w:lang w:val="en-US" w:eastAsia="zh-CN"/>
              </w:rPr>
              <w:t>第三版</w:t>
            </w:r>
            <w:r>
              <w:rPr>
                <w:rFonts w:hint="eastAsia"/>
                <w:color w:val="FF0000"/>
                <w:sz w:val="24"/>
                <w:szCs w:val="24"/>
                <w:highlight w:val="none"/>
                <w:lang w:eastAsia="zh-CN"/>
              </w:rPr>
              <w:t>）</w:t>
            </w:r>
            <w:r>
              <w:rPr>
                <w:rFonts w:hint="eastAsia"/>
                <w:color w:val="FF0000"/>
                <w:sz w:val="24"/>
                <w:szCs w:val="24"/>
                <w:highlight w:val="none"/>
                <w:lang w:val="en-US" w:eastAsia="zh-CN"/>
              </w:rPr>
              <w:t>中集气罩风量计算公式：</w:t>
            </w:r>
          </w:p>
          <w:p w14:paraId="4912DAED">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jc w:val="center"/>
              <w:textAlignment w:val="auto"/>
              <w:rPr>
                <w:rFonts w:hint="default"/>
                <w:color w:val="FF0000"/>
                <w:sz w:val="24"/>
                <w:szCs w:val="24"/>
                <w:highlight w:val="none"/>
                <w:lang w:val="en-US" w:eastAsia="zh-CN"/>
              </w:rPr>
            </w:pPr>
            <w:r>
              <w:rPr>
                <w:rFonts w:hint="default"/>
                <w:color w:val="FF0000"/>
                <w:position w:val="-12"/>
                <w:sz w:val="24"/>
                <w:szCs w:val="24"/>
                <w:highlight w:val="none"/>
                <w:lang w:val="en-US" w:eastAsia="zh-CN"/>
              </w:rPr>
              <w:object>
                <v:shape id="_x0000_i1025" o:spt="75" type="#_x0000_t75" style="height:18pt;width:124pt;" o:ole="t" filled="f" o:preferrelative="t" stroked="f" coordsize="21600,21600">
                  <v:path/>
                  <v:fill on="f" focussize="0,0"/>
                  <v:stroke on="f"/>
                  <v:imagedata r:id="rId23" o:title=""/>
                  <o:lock v:ext="edit" aspectratio="t"/>
                  <w10:wrap type="none"/>
                  <w10:anchorlock/>
                </v:shape>
                <o:OLEObject Type="Embed" ProgID="Equation.KSEE3" ShapeID="_x0000_i1025" DrawAspect="Content" ObjectID="_1468075725" r:id="rId22">
                  <o:LockedField>false</o:LockedField>
                </o:OLEObject>
              </w:object>
            </w:r>
          </w:p>
          <w:p w14:paraId="04D43BED">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color w:val="FF0000"/>
                <w:sz w:val="24"/>
                <w:szCs w:val="24"/>
                <w:highlight w:val="none"/>
                <w:lang w:val="en-US" w:eastAsia="zh-CN"/>
              </w:rPr>
            </w:pPr>
            <w:r>
              <w:rPr>
                <w:rFonts w:hint="eastAsia"/>
                <w:color w:val="FF0000"/>
                <w:sz w:val="24"/>
                <w:szCs w:val="24"/>
                <w:highlight w:val="none"/>
                <w:lang w:val="en-US" w:eastAsia="zh-CN"/>
              </w:rPr>
              <w:t>Q——集气罩排风量，m</w:t>
            </w:r>
            <w:r>
              <w:rPr>
                <w:rFonts w:hint="eastAsia"/>
                <w:color w:val="FF0000"/>
                <w:sz w:val="24"/>
                <w:szCs w:val="24"/>
                <w:highlight w:val="none"/>
                <w:vertAlign w:val="superscript"/>
                <w:lang w:val="en-US" w:eastAsia="zh-CN"/>
              </w:rPr>
              <w:t>3</w:t>
            </w:r>
            <w:r>
              <w:rPr>
                <w:rFonts w:hint="eastAsia"/>
                <w:color w:val="FF0000"/>
                <w:sz w:val="24"/>
                <w:szCs w:val="24"/>
                <w:highlight w:val="none"/>
                <w:lang w:val="en-US" w:eastAsia="zh-CN"/>
              </w:rPr>
              <w:t>/s；</w:t>
            </w:r>
          </w:p>
          <w:p w14:paraId="68A1A7D9">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color w:val="FF0000"/>
                <w:sz w:val="24"/>
                <w:szCs w:val="24"/>
                <w:highlight w:val="none"/>
                <w:lang w:val="en-US" w:eastAsia="zh-CN"/>
              </w:rPr>
            </w:pPr>
            <w:r>
              <w:rPr>
                <w:rFonts w:hint="eastAsia"/>
                <w:color w:val="FF0000"/>
                <w:sz w:val="24"/>
                <w:szCs w:val="24"/>
                <w:highlight w:val="none"/>
                <w:lang w:val="en-US" w:eastAsia="zh-CN"/>
              </w:rPr>
              <w:t>X——污染物产生点至罩口距离，m；本项目取0.2m；</w:t>
            </w:r>
          </w:p>
          <w:p w14:paraId="4F2F76D7">
            <w:pPr>
              <w:keepNext w:val="0"/>
              <w:keepLines w:val="0"/>
              <w:pageBreakBefore w:val="0"/>
              <w:widowControl w:val="0"/>
              <w:kinsoku/>
              <w:wordWrap/>
              <w:overflowPunct/>
              <w:topLinePunct w:val="0"/>
              <w:autoSpaceDE/>
              <w:autoSpaceDN/>
              <w:bidi w:val="0"/>
              <w:adjustRightInd/>
              <w:snapToGrid/>
              <w:spacing w:line="360" w:lineRule="auto"/>
              <w:ind w:left="0" w:leftChars="0" w:firstLine="480" w:firstLineChars="200"/>
              <w:textAlignment w:val="auto"/>
              <w:rPr>
                <w:rFonts w:hint="default"/>
                <w:color w:val="FF0000"/>
                <w:sz w:val="24"/>
                <w:szCs w:val="24"/>
                <w:highlight w:val="none"/>
                <w:lang w:val="en-US" w:eastAsia="zh-CN"/>
              </w:rPr>
            </w:pPr>
            <w:r>
              <w:rPr>
                <w:rFonts w:hint="eastAsia"/>
                <w:color w:val="FF0000"/>
                <w:sz w:val="24"/>
                <w:szCs w:val="24"/>
                <w:highlight w:val="none"/>
                <w:lang w:val="en-US" w:eastAsia="zh-CN"/>
              </w:rPr>
              <w:t>A——罩口面积，m</w:t>
            </w:r>
            <w:r>
              <w:rPr>
                <w:rFonts w:hint="eastAsia"/>
                <w:color w:val="FF0000"/>
                <w:sz w:val="24"/>
                <w:szCs w:val="24"/>
                <w:highlight w:val="none"/>
                <w:vertAlign w:val="superscript"/>
                <w:lang w:val="en-US" w:eastAsia="zh-CN"/>
              </w:rPr>
              <w:t>2</w:t>
            </w:r>
            <w:r>
              <w:rPr>
                <w:rFonts w:hint="eastAsia"/>
                <w:color w:val="FF0000"/>
                <w:sz w:val="24"/>
                <w:szCs w:val="24"/>
                <w:highlight w:val="none"/>
                <w:lang w:val="en-US" w:eastAsia="zh-CN"/>
              </w:rPr>
              <w:t>；给料机罩口面积为0.8m</w:t>
            </w:r>
            <w:r>
              <w:rPr>
                <w:rFonts w:hint="eastAsia"/>
                <w:color w:val="FF0000"/>
                <w:sz w:val="24"/>
                <w:szCs w:val="24"/>
                <w:highlight w:val="none"/>
                <w:vertAlign w:val="superscript"/>
                <w:lang w:val="en-US" w:eastAsia="zh-CN"/>
              </w:rPr>
              <w:t>2</w:t>
            </w:r>
            <w:r>
              <w:rPr>
                <w:rFonts w:hint="eastAsia"/>
                <w:color w:val="FF0000"/>
                <w:sz w:val="24"/>
                <w:szCs w:val="24"/>
                <w:highlight w:val="none"/>
                <w:lang w:val="en-US" w:eastAsia="zh-CN"/>
              </w:rPr>
              <w:t>，鄂式破碎机罩口面积为0.54m</w:t>
            </w:r>
            <w:r>
              <w:rPr>
                <w:rFonts w:hint="eastAsia"/>
                <w:color w:val="FF0000"/>
                <w:sz w:val="24"/>
                <w:szCs w:val="24"/>
                <w:highlight w:val="none"/>
                <w:vertAlign w:val="superscript"/>
                <w:lang w:val="en-US" w:eastAsia="zh-CN"/>
              </w:rPr>
              <w:t>2</w:t>
            </w:r>
            <w:r>
              <w:rPr>
                <w:rFonts w:hint="eastAsia"/>
                <w:color w:val="FF0000"/>
                <w:sz w:val="24"/>
                <w:szCs w:val="24"/>
                <w:highlight w:val="none"/>
                <w:lang w:val="en-US" w:eastAsia="zh-CN"/>
              </w:rPr>
              <w:t>，锤式破碎机罩口面积为0.64m</w:t>
            </w:r>
            <w:r>
              <w:rPr>
                <w:rFonts w:hint="eastAsia"/>
                <w:color w:val="FF0000"/>
                <w:sz w:val="24"/>
                <w:szCs w:val="24"/>
                <w:highlight w:val="none"/>
                <w:vertAlign w:val="superscript"/>
                <w:lang w:val="en-US" w:eastAsia="zh-CN"/>
              </w:rPr>
              <w:t>2</w:t>
            </w:r>
            <w:r>
              <w:rPr>
                <w:rFonts w:hint="eastAsia"/>
                <w:color w:val="FF0000"/>
                <w:sz w:val="24"/>
                <w:szCs w:val="24"/>
                <w:highlight w:val="none"/>
                <w:lang w:val="en-US" w:eastAsia="zh-CN"/>
              </w:rPr>
              <w:t>；</w:t>
            </w:r>
          </w:p>
          <w:p w14:paraId="71F6F326">
            <w:pPr>
              <w:pStyle w:val="9"/>
              <w:rPr>
                <w:rFonts w:hint="eastAsia"/>
                <w:color w:val="FF0000"/>
                <w:highlight w:val="none"/>
                <w:lang w:val="en-US" w:eastAsia="zh-CN"/>
              </w:rPr>
            </w:pPr>
            <w:r>
              <w:rPr>
                <w:rFonts w:hint="eastAsia"/>
                <w:color w:val="FF0000"/>
                <w:highlight w:val="none"/>
                <w:lang w:val="en-US" w:eastAsia="zh-CN"/>
              </w:rPr>
              <w:t>V0——罩口最小控制风速，m/s，本次取0.5m/s。</w:t>
            </w:r>
          </w:p>
          <w:p w14:paraId="7C7CD076">
            <w:pPr>
              <w:pStyle w:val="8"/>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color w:val="FF0000"/>
                <w:sz w:val="24"/>
                <w:szCs w:val="24"/>
                <w:highlight w:val="none"/>
                <w:lang w:val="en-US" w:eastAsia="zh-CN"/>
              </w:rPr>
            </w:pPr>
            <w:r>
              <w:rPr>
                <w:rFonts w:hint="eastAsia"/>
                <w:color w:val="FF0000"/>
                <w:sz w:val="24"/>
                <w:szCs w:val="24"/>
                <w:highlight w:val="none"/>
                <w:lang w:val="en-US" w:eastAsia="zh-CN"/>
              </w:rPr>
              <w:t>根据上述公式计算，本项目集气罩风量计算过程见下表。</w:t>
            </w:r>
          </w:p>
          <w:p w14:paraId="2C95F6CF">
            <w:pPr>
              <w:pStyle w:val="53"/>
              <w:shd w:val="clear" w:color="auto" w:fill="auto"/>
              <w:spacing w:before="0" w:beforeLines="0"/>
              <w:rPr>
                <w:rFonts w:ascii="Times New Roman" w:hAnsi="Times New Roman" w:cs="Times New Roman"/>
                <w:color w:val="FF0000"/>
                <w:sz w:val="21"/>
                <w:szCs w:val="21"/>
                <w:highlight w:val="none"/>
              </w:rPr>
            </w:pPr>
            <w:r>
              <w:rPr>
                <w:rFonts w:ascii="Times New Roman" w:hAnsi="Times New Roman" w:cs="Times New Roman"/>
                <w:color w:val="FF0000"/>
                <w:sz w:val="21"/>
                <w:szCs w:val="21"/>
                <w:highlight w:val="none"/>
              </w:rPr>
              <w:t>表</w:t>
            </w:r>
            <w:r>
              <w:rPr>
                <w:rFonts w:hint="eastAsia" w:ascii="Times New Roman" w:hAnsi="Times New Roman" w:cs="Times New Roman"/>
                <w:color w:val="FF0000"/>
                <w:sz w:val="21"/>
                <w:szCs w:val="21"/>
                <w:highlight w:val="none"/>
                <w:lang w:val="en-US"/>
              </w:rPr>
              <w:t>4-</w:t>
            </w:r>
            <w:r>
              <w:rPr>
                <w:rFonts w:hint="eastAsia" w:ascii="Times New Roman" w:hAnsi="Times New Roman" w:cs="Times New Roman"/>
                <w:color w:val="FF0000"/>
                <w:sz w:val="21"/>
                <w:szCs w:val="21"/>
                <w:highlight w:val="none"/>
                <w:lang w:val="en-US" w:eastAsia="zh-CN"/>
              </w:rPr>
              <w:t>2集气罩风量计算表</w:t>
            </w:r>
          </w:p>
          <w:tbl>
            <w:tblPr>
              <w:tblStyle w:val="18"/>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68"/>
              <w:gridCol w:w="1641"/>
              <w:gridCol w:w="2394"/>
              <w:gridCol w:w="2537"/>
            </w:tblGrid>
            <w:tr w14:paraId="1C8620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62" w:type="pct"/>
                  <w:tcBorders>
                    <w:tl2br w:val="nil"/>
                    <w:tr2bl w:val="nil"/>
                  </w:tcBorders>
                  <w:noWrap w:val="0"/>
                  <w:vAlign w:val="center"/>
                </w:tcPr>
                <w:p w14:paraId="4E06AD90">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位置</w:t>
                  </w:r>
                </w:p>
              </w:tc>
              <w:tc>
                <w:tcPr>
                  <w:tcW w:w="1033" w:type="pct"/>
                  <w:tcBorders>
                    <w:tl2br w:val="nil"/>
                    <w:tr2bl w:val="nil"/>
                  </w:tcBorders>
                  <w:noWrap w:val="0"/>
                  <w:vAlign w:val="center"/>
                </w:tcPr>
                <w:p w14:paraId="6BD08293">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给料</w:t>
                  </w:r>
                </w:p>
              </w:tc>
              <w:tc>
                <w:tcPr>
                  <w:tcW w:w="1507" w:type="pct"/>
                  <w:tcBorders>
                    <w:tl2br w:val="nil"/>
                    <w:tr2bl w:val="nil"/>
                  </w:tcBorders>
                  <w:noWrap w:val="0"/>
                  <w:vAlign w:val="center"/>
                </w:tcPr>
                <w:p w14:paraId="1EBF9436">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鄂式破碎机</w:t>
                  </w:r>
                </w:p>
              </w:tc>
              <w:tc>
                <w:tcPr>
                  <w:tcW w:w="1596" w:type="pct"/>
                  <w:tcBorders>
                    <w:tl2br w:val="nil"/>
                    <w:tr2bl w:val="nil"/>
                  </w:tcBorders>
                  <w:noWrap w:val="0"/>
                  <w:vAlign w:val="center"/>
                </w:tcPr>
                <w:p w14:paraId="2ADBC187">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bidi="zh-CN"/>
                    </w:rPr>
                    <w:t>锤式破碎机</w:t>
                  </w:r>
                </w:p>
              </w:tc>
            </w:tr>
            <w:tr w14:paraId="77D906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29D4710C">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类型</w:t>
                  </w:r>
                </w:p>
              </w:tc>
              <w:tc>
                <w:tcPr>
                  <w:tcW w:w="1033" w:type="pct"/>
                  <w:tcBorders>
                    <w:tl2br w:val="nil"/>
                    <w:tr2bl w:val="nil"/>
                  </w:tcBorders>
                  <w:noWrap w:val="0"/>
                  <w:vAlign w:val="center"/>
                </w:tcPr>
                <w:p w14:paraId="1E4F1006">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顶</w:t>
                  </w:r>
                  <w:r>
                    <w:rPr>
                      <w:rFonts w:hint="default" w:ascii="Times New Roman" w:hAnsi="Times New Roman" w:eastAsia="宋体" w:cs="Times New Roman"/>
                      <w:color w:val="FF0000"/>
                      <w:sz w:val="21"/>
                      <w:szCs w:val="21"/>
                      <w:highlight w:val="none"/>
                      <w:lang w:val="en-US" w:eastAsia="zh-CN"/>
                    </w:rPr>
                    <w:t>吸罩</w:t>
                  </w:r>
                </w:p>
              </w:tc>
              <w:tc>
                <w:tcPr>
                  <w:tcW w:w="1507" w:type="pct"/>
                  <w:tcBorders>
                    <w:tl2br w:val="nil"/>
                    <w:tr2bl w:val="nil"/>
                  </w:tcBorders>
                  <w:noWrap w:val="0"/>
                  <w:vAlign w:val="center"/>
                </w:tcPr>
                <w:p w14:paraId="26552E56">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bidi="zh-CN"/>
                    </w:rPr>
                  </w:pPr>
                  <w:r>
                    <w:rPr>
                      <w:rFonts w:hint="eastAsia" w:ascii="Times New Roman" w:hAnsi="Times New Roman" w:eastAsia="宋体" w:cs="Times New Roman"/>
                      <w:color w:val="FF0000"/>
                      <w:sz w:val="21"/>
                      <w:szCs w:val="21"/>
                      <w:highlight w:val="none"/>
                      <w:lang w:val="en-US" w:eastAsia="zh-CN"/>
                    </w:rPr>
                    <w:t>顶</w:t>
                  </w:r>
                  <w:r>
                    <w:rPr>
                      <w:rFonts w:hint="default" w:ascii="Times New Roman" w:hAnsi="Times New Roman" w:eastAsia="宋体" w:cs="Times New Roman"/>
                      <w:color w:val="FF0000"/>
                      <w:sz w:val="21"/>
                      <w:szCs w:val="21"/>
                      <w:highlight w:val="none"/>
                      <w:lang w:val="en-US" w:eastAsia="zh-CN"/>
                    </w:rPr>
                    <w:t>吸罩</w:t>
                  </w:r>
                </w:p>
              </w:tc>
              <w:tc>
                <w:tcPr>
                  <w:tcW w:w="1596" w:type="pct"/>
                  <w:tcBorders>
                    <w:tl2br w:val="nil"/>
                    <w:tr2bl w:val="nil"/>
                  </w:tcBorders>
                  <w:noWrap w:val="0"/>
                  <w:vAlign w:val="center"/>
                </w:tcPr>
                <w:p w14:paraId="416FF2A9">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顶</w:t>
                  </w:r>
                  <w:r>
                    <w:rPr>
                      <w:rFonts w:hint="default" w:ascii="Times New Roman" w:hAnsi="Times New Roman" w:eastAsia="宋体" w:cs="Times New Roman"/>
                      <w:color w:val="FF0000"/>
                      <w:sz w:val="21"/>
                      <w:szCs w:val="21"/>
                      <w:highlight w:val="none"/>
                      <w:lang w:val="en-US" w:eastAsia="zh-CN"/>
                    </w:rPr>
                    <w:t>吸罩</w:t>
                  </w:r>
                </w:p>
              </w:tc>
            </w:tr>
            <w:tr w14:paraId="369520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6F25BB16">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尺寸</w:t>
                  </w:r>
                </w:p>
              </w:tc>
              <w:tc>
                <w:tcPr>
                  <w:tcW w:w="1033" w:type="pct"/>
                  <w:tcBorders>
                    <w:tl2br w:val="nil"/>
                    <w:tr2bl w:val="nil"/>
                  </w:tcBorders>
                  <w:noWrap w:val="0"/>
                  <w:vAlign w:val="center"/>
                </w:tcPr>
                <w:p w14:paraId="4541CC93">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w:t>
                  </w:r>
                  <w:r>
                    <w:rPr>
                      <w:rFonts w:hint="eastAsia" w:ascii="Times New Roman" w:hAnsi="Times New Roman" w:cs="Times New Roman"/>
                      <w:color w:val="FF0000"/>
                      <w:sz w:val="21"/>
                      <w:szCs w:val="21"/>
                      <w:highlight w:val="none"/>
                      <w:lang w:val="en-US" w:eastAsia="zh-CN"/>
                    </w:rPr>
                    <w:t>8</w:t>
                  </w:r>
                  <w:r>
                    <w:rPr>
                      <w:rFonts w:hint="default" w:ascii="Times New Roman" w:hAnsi="Times New Roman" w:eastAsia="宋体" w:cs="Times New Roman"/>
                      <w:color w:val="FF0000"/>
                      <w:sz w:val="21"/>
                      <w:szCs w:val="21"/>
                      <w:highlight w:val="none"/>
                      <w:lang w:val="en-US" w:eastAsia="zh-CN"/>
                    </w:rPr>
                    <w:t>m×</w:t>
                  </w:r>
                  <w:r>
                    <w:rPr>
                      <w:rFonts w:hint="eastAsia" w:ascii="Times New Roman" w:hAnsi="Times New Roman" w:cs="Times New Roman"/>
                      <w:color w:val="FF0000"/>
                      <w:sz w:val="21"/>
                      <w:szCs w:val="21"/>
                      <w:highlight w:val="none"/>
                      <w:lang w:val="en-US" w:eastAsia="zh-CN"/>
                    </w:rPr>
                    <w:t>1</w:t>
                  </w:r>
                  <w:r>
                    <w:rPr>
                      <w:rFonts w:hint="default" w:ascii="Times New Roman" w:hAnsi="Times New Roman" w:eastAsia="宋体" w:cs="Times New Roman"/>
                      <w:color w:val="FF0000"/>
                      <w:sz w:val="21"/>
                      <w:szCs w:val="21"/>
                      <w:highlight w:val="none"/>
                      <w:lang w:val="en-US" w:eastAsia="zh-CN"/>
                    </w:rPr>
                    <w:t>m</w:t>
                  </w:r>
                </w:p>
              </w:tc>
              <w:tc>
                <w:tcPr>
                  <w:tcW w:w="1507" w:type="pct"/>
                  <w:tcBorders>
                    <w:tl2br w:val="nil"/>
                    <w:tr2bl w:val="nil"/>
                  </w:tcBorders>
                  <w:noWrap w:val="0"/>
                  <w:vAlign w:val="center"/>
                </w:tcPr>
                <w:p w14:paraId="1C90F4D8">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bidi="zh-CN"/>
                    </w:rPr>
                  </w:pPr>
                  <w:r>
                    <w:rPr>
                      <w:rFonts w:hint="eastAsia" w:ascii="Times New Roman" w:hAnsi="Times New Roman" w:eastAsia="宋体" w:cs="Times New Roman"/>
                      <w:color w:val="FF0000"/>
                      <w:sz w:val="21"/>
                      <w:szCs w:val="21"/>
                      <w:highlight w:val="none"/>
                      <w:lang w:val="en-US" w:eastAsia="zh-CN"/>
                    </w:rPr>
                    <w:t>0.</w:t>
                  </w:r>
                  <w:r>
                    <w:rPr>
                      <w:rFonts w:hint="eastAsia" w:ascii="Times New Roman" w:hAnsi="Times New Roman" w:cs="Times New Roman"/>
                      <w:color w:val="FF0000"/>
                      <w:sz w:val="21"/>
                      <w:szCs w:val="21"/>
                      <w:highlight w:val="none"/>
                      <w:lang w:val="en-US" w:eastAsia="zh-CN"/>
                    </w:rPr>
                    <w:t>6</w:t>
                  </w:r>
                  <w:r>
                    <w:rPr>
                      <w:rFonts w:hint="default" w:ascii="Times New Roman" w:hAnsi="Times New Roman" w:eastAsia="宋体" w:cs="Times New Roman"/>
                      <w:color w:val="FF0000"/>
                      <w:sz w:val="21"/>
                      <w:szCs w:val="21"/>
                      <w:highlight w:val="none"/>
                      <w:lang w:val="en-US" w:eastAsia="zh-CN"/>
                    </w:rPr>
                    <w:t>m×</w:t>
                  </w:r>
                  <w:r>
                    <w:rPr>
                      <w:rFonts w:hint="eastAsia" w:ascii="Times New Roman" w:hAnsi="Times New Roman" w:eastAsia="宋体" w:cs="Times New Roman"/>
                      <w:color w:val="FF0000"/>
                      <w:sz w:val="21"/>
                      <w:szCs w:val="21"/>
                      <w:highlight w:val="none"/>
                      <w:lang w:val="en-US" w:eastAsia="zh-CN"/>
                    </w:rPr>
                    <w:t>0.</w:t>
                  </w:r>
                  <w:r>
                    <w:rPr>
                      <w:rFonts w:hint="eastAsia" w:ascii="Times New Roman" w:hAnsi="Times New Roman" w:cs="Times New Roman"/>
                      <w:color w:val="FF0000"/>
                      <w:sz w:val="21"/>
                      <w:szCs w:val="21"/>
                      <w:highlight w:val="none"/>
                      <w:lang w:val="en-US" w:eastAsia="zh-CN"/>
                    </w:rPr>
                    <w:t>9</w:t>
                  </w:r>
                  <w:r>
                    <w:rPr>
                      <w:rFonts w:hint="default" w:ascii="Times New Roman" w:hAnsi="Times New Roman" w:eastAsia="宋体" w:cs="Times New Roman"/>
                      <w:color w:val="FF0000"/>
                      <w:sz w:val="21"/>
                      <w:szCs w:val="21"/>
                      <w:highlight w:val="none"/>
                      <w:lang w:val="en-US" w:eastAsia="zh-CN"/>
                    </w:rPr>
                    <w:t>m</w:t>
                  </w:r>
                </w:p>
              </w:tc>
              <w:tc>
                <w:tcPr>
                  <w:tcW w:w="1596" w:type="pct"/>
                  <w:tcBorders>
                    <w:tl2br w:val="nil"/>
                    <w:tr2bl w:val="nil"/>
                  </w:tcBorders>
                  <w:noWrap w:val="0"/>
                  <w:vAlign w:val="center"/>
                </w:tcPr>
                <w:p w14:paraId="27954D6C">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0.8</w:t>
                  </w:r>
                  <w:r>
                    <w:rPr>
                      <w:rFonts w:hint="default" w:ascii="Times New Roman" w:hAnsi="Times New Roman" w:eastAsia="宋体" w:cs="Times New Roman"/>
                      <w:color w:val="FF0000"/>
                      <w:sz w:val="21"/>
                      <w:szCs w:val="21"/>
                      <w:highlight w:val="none"/>
                      <w:lang w:val="en-US" w:eastAsia="zh-CN"/>
                    </w:rPr>
                    <w:t>m×</w:t>
                  </w:r>
                  <w:r>
                    <w:rPr>
                      <w:rFonts w:hint="eastAsia" w:ascii="Times New Roman" w:hAnsi="Times New Roman" w:eastAsia="宋体" w:cs="Times New Roman"/>
                      <w:color w:val="FF0000"/>
                      <w:sz w:val="21"/>
                      <w:szCs w:val="21"/>
                      <w:highlight w:val="none"/>
                      <w:lang w:val="en-US" w:eastAsia="zh-CN"/>
                    </w:rPr>
                    <w:t>0.8</w:t>
                  </w:r>
                  <w:r>
                    <w:rPr>
                      <w:rFonts w:hint="default" w:ascii="Times New Roman" w:hAnsi="Times New Roman" w:eastAsia="宋体" w:cs="Times New Roman"/>
                      <w:color w:val="FF0000"/>
                      <w:sz w:val="21"/>
                      <w:szCs w:val="21"/>
                      <w:highlight w:val="none"/>
                      <w:lang w:val="en-US" w:eastAsia="zh-CN"/>
                    </w:rPr>
                    <w:t>m</w:t>
                  </w:r>
                </w:p>
              </w:tc>
            </w:tr>
            <w:tr w14:paraId="4DEB9E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5D902EC7">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数量</w:t>
                  </w:r>
                </w:p>
              </w:tc>
              <w:tc>
                <w:tcPr>
                  <w:tcW w:w="1033" w:type="pct"/>
                  <w:tcBorders>
                    <w:tl2br w:val="nil"/>
                    <w:tr2bl w:val="nil"/>
                  </w:tcBorders>
                  <w:noWrap w:val="0"/>
                  <w:vAlign w:val="center"/>
                </w:tcPr>
                <w:p w14:paraId="32D01705">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w:t>
                  </w:r>
                </w:p>
              </w:tc>
              <w:tc>
                <w:tcPr>
                  <w:tcW w:w="1507" w:type="pct"/>
                  <w:tcBorders>
                    <w:tl2br w:val="nil"/>
                    <w:tr2bl w:val="nil"/>
                  </w:tcBorders>
                  <w:noWrap w:val="0"/>
                  <w:vAlign w:val="center"/>
                </w:tcPr>
                <w:p w14:paraId="5F8CA9F5">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bidi="zh-CN"/>
                    </w:rPr>
                  </w:pPr>
                  <w:r>
                    <w:rPr>
                      <w:rFonts w:hint="eastAsia" w:ascii="Times New Roman" w:hAnsi="Times New Roman" w:eastAsia="宋体" w:cs="Times New Roman"/>
                      <w:color w:val="FF0000"/>
                      <w:sz w:val="21"/>
                      <w:szCs w:val="21"/>
                      <w:highlight w:val="none"/>
                      <w:lang w:val="en-US" w:eastAsia="zh-CN" w:bidi="zh-CN"/>
                    </w:rPr>
                    <w:t>1</w:t>
                  </w:r>
                </w:p>
              </w:tc>
              <w:tc>
                <w:tcPr>
                  <w:tcW w:w="1596" w:type="pct"/>
                  <w:tcBorders>
                    <w:tl2br w:val="nil"/>
                    <w:tr2bl w:val="nil"/>
                  </w:tcBorders>
                  <w:noWrap w:val="0"/>
                  <w:vAlign w:val="center"/>
                </w:tcPr>
                <w:p w14:paraId="434E5095">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1</w:t>
                  </w:r>
                </w:p>
              </w:tc>
            </w:tr>
            <w:tr w14:paraId="410372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64B08FE1">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单个面积</w:t>
                  </w:r>
                </w:p>
              </w:tc>
              <w:tc>
                <w:tcPr>
                  <w:tcW w:w="1033" w:type="pct"/>
                  <w:tcBorders>
                    <w:tl2br w:val="nil"/>
                    <w:tr2bl w:val="nil"/>
                  </w:tcBorders>
                  <w:noWrap w:val="0"/>
                  <w:vAlign w:val="center"/>
                </w:tcPr>
                <w:p w14:paraId="0C7C075F">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0.8</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2</w:t>
                  </w:r>
                </w:p>
              </w:tc>
              <w:tc>
                <w:tcPr>
                  <w:tcW w:w="1507" w:type="pct"/>
                  <w:tcBorders>
                    <w:tl2br w:val="nil"/>
                    <w:tr2bl w:val="nil"/>
                  </w:tcBorders>
                  <w:noWrap w:val="0"/>
                  <w:vAlign w:val="center"/>
                </w:tcPr>
                <w:p w14:paraId="75119CBF">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bidi="zh-CN"/>
                    </w:rPr>
                  </w:pPr>
                  <w:r>
                    <w:rPr>
                      <w:rFonts w:hint="eastAsia" w:ascii="Times New Roman" w:hAnsi="Times New Roman" w:eastAsia="宋体" w:cs="Times New Roman"/>
                      <w:color w:val="FF0000"/>
                      <w:sz w:val="21"/>
                      <w:szCs w:val="21"/>
                      <w:highlight w:val="none"/>
                      <w:lang w:val="en-US" w:eastAsia="zh-CN"/>
                    </w:rPr>
                    <w:t>0.</w:t>
                  </w:r>
                  <w:r>
                    <w:rPr>
                      <w:rFonts w:hint="eastAsia" w:ascii="Times New Roman" w:hAnsi="Times New Roman" w:cs="Times New Roman"/>
                      <w:color w:val="FF0000"/>
                      <w:sz w:val="21"/>
                      <w:szCs w:val="21"/>
                      <w:highlight w:val="none"/>
                      <w:lang w:val="en-US" w:eastAsia="zh-CN"/>
                    </w:rPr>
                    <w:t>54</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2</w:t>
                  </w:r>
                </w:p>
              </w:tc>
              <w:tc>
                <w:tcPr>
                  <w:tcW w:w="1596" w:type="pct"/>
                  <w:tcBorders>
                    <w:tl2br w:val="nil"/>
                    <w:tr2bl w:val="nil"/>
                  </w:tcBorders>
                  <w:noWrap w:val="0"/>
                  <w:vAlign w:val="center"/>
                </w:tcPr>
                <w:p w14:paraId="4505F7E6">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0.64</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2</w:t>
                  </w:r>
                </w:p>
              </w:tc>
            </w:tr>
            <w:tr w14:paraId="27E064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0C66787B">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val="en-US" w:eastAsia="zh-CN"/>
                    </w:rPr>
                  </w:pPr>
                  <w:r>
                    <w:rPr>
                      <w:rFonts w:hint="default" w:ascii="Times New Roman" w:hAnsi="Times New Roman" w:eastAsia="宋体" w:cs="Times New Roman"/>
                      <w:color w:val="FF0000"/>
                      <w:sz w:val="21"/>
                      <w:szCs w:val="21"/>
                      <w:highlight w:val="none"/>
                      <w:lang w:val="en-US" w:eastAsia="zh-CN"/>
                    </w:rPr>
                    <w:t>距离</w:t>
                  </w:r>
                </w:p>
              </w:tc>
              <w:tc>
                <w:tcPr>
                  <w:tcW w:w="1033" w:type="pct"/>
                  <w:tcBorders>
                    <w:tl2br w:val="nil"/>
                    <w:tr2bl w:val="nil"/>
                  </w:tcBorders>
                  <w:noWrap w:val="0"/>
                  <w:vAlign w:val="center"/>
                </w:tcPr>
                <w:p w14:paraId="2B9AEB6E">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0.2m</w:t>
                  </w:r>
                </w:p>
              </w:tc>
              <w:tc>
                <w:tcPr>
                  <w:tcW w:w="1507" w:type="pct"/>
                  <w:tcBorders>
                    <w:tl2br w:val="nil"/>
                    <w:tr2bl w:val="nil"/>
                  </w:tcBorders>
                  <w:noWrap w:val="0"/>
                  <w:vAlign w:val="center"/>
                </w:tcPr>
                <w:p w14:paraId="157BE8C6">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bidi="zh-CN"/>
                    </w:rPr>
                  </w:pPr>
                  <w:r>
                    <w:rPr>
                      <w:rFonts w:hint="eastAsia" w:ascii="Times New Roman" w:hAnsi="Times New Roman" w:eastAsia="宋体" w:cs="Times New Roman"/>
                      <w:color w:val="FF0000"/>
                      <w:sz w:val="21"/>
                      <w:szCs w:val="21"/>
                      <w:highlight w:val="none"/>
                      <w:lang w:val="en-US" w:eastAsia="zh-CN" w:bidi="zh-CN"/>
                    </w:rPr>
                    <w:t>0.2m</w:t>
                  </w:r>
                </w:p>
              </w:tc>
              <w:tc>
                <w:tcPr>
                  <w:tcW w:w="1596" w:type="pct"/>
                  <w:tcBorders>
                    <w:tl2br w:val="nil"/>
                    <w:tr2bl w:val="nil"/>
                  </w:tcBorders>
                  <w:noWrap w:val="0"/>
                  <w:vAlign w:val="center"/>
                </w:tcPr>
                <w:p w14:paraId="31869FF3">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0.2m</w:t>
                  </w:r>
                </w:p>
              </w:tc>
            </w:tr>
            <w:tr w14:paraId="267B26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19821F13">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单个风量</w:t>
                  </w:r>
                </w:p>
              </w:tc>
              <w:tc>
                <w:tcPr>
                  <w:tcW w:w="1033" w:type="pct"/>
                  <w:tcBorders>
                    <w:tl2br w:val="nil"/>
                    <w:tr2bl w:val="nil"/>
                  </w:tcBorders>
                  <w:noWrap w:val="0"/>
                  <w:vAlign w:val="center"/>
                </w:tcPr>
                <w:p w14:paraId="01534518">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3780</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/h</w:t>
                  </w:r>
                </w:p>
              </w:tc>
              <w:tc>
                <w:tcPr>
                  <w:tcW w:w="1507" w:type="pct"/>
                  <w:tcBorders>
                    <w:tl2br w:val="nil"/>
                    <w:tr2bl w:val="nil"/>
                  </w:tcBorders>
                  <w:noWrap w:val="0"/>
                  <w:vAlign w:val="center"/>
                </w:tcPr>
                <w:p w14:paraId="10F392BD">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bidi="zh-CN"/>
                    </w:rPr>
                  </w:pPr>
                  <w:r>
                    <w:rPr>
                      <w:rFonts w:hint="eastAsia" w:ascii="Times New Roman" w:hAnsi="Times New Roman" w:cs="Times New Roman"/>
                      <w:color w:val="FF0000"/>
                      <w:sz w:val="21"/>
                      <w:szCs w:val="21"/>
                      <w:highlight w:val="none"/>
                      <w:lang w:val="en-US" w:eastAsia="zh-CN"/>
                    </w:rPr>
                    <w:t>3429</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/h</w:t>
                  </w:r>
                </w:p>
              </w:tc>
              <w:tc>
                <w:tcPr>
                  <w:tcW w:w="1596" w:type="pct"/>
                  <w:tcBorders>
                    <w:tl2br w:val="nil"/>
                    <w:tr2bl w:val="nil"/>
                  </w:tcBorders>
                  <w:noWrap w:val="0"/>
                  <w:vAlign w:val="center"/>
                </w:tcPr>
                <w:p w14:paraId="1D38F16C">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eastAsia" w:ascii="Times New Roman" w:hAnsi="Times New Roman" w:eastAsia="宋体" w:cs="Times New Roman"/>
                      <w:color w:val="FF0000"/>
                      <w:sz w:val="21"/>
                      <w:szCs w:val="21"/>
                      <w:highlight w:val="none"/>
                      <w:lang w:val="en-US" w:eastAsia="zh-CN" w:bidi="zh-CN"/>
                    </w:rPr>
                  </w:pPr>
                  <w:r>
                    <w:rPr>
                      <w:rFonts w:hint="eastAsia" w:ascii="Times New Roman" w:hAnsi="Times New Roman" w:cs="Times New Roman"/>
                      <w:color w:val="FF0000"/>
                      <w:sz w:val="21"/>
                      <w:szCs w:val="21"/>
                      <w:highlight w:val="none"/>
                      <w:lang w:val="en-US" w:eastAsia="zh-CN"/>
                    </w:rPr>
                    <w:t>3578</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/h</w:t>
                  </w:r>
                </w:p>
              </w:tc>
            </w:tr>
            <w:tr w14:paraId="6BB236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07557527">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控制风速</w:t>
                  </w:r>
                </w:p>
              </w:tc>
              <w:tc>
                <w:tcPr>
                  <w:tcW w:w="1033" w:type="pct"/>
                  <w:tcBorders>
                    <w:tl2br w:val="nil"/>
                    <w:tr2bl w:val="nil"/>
                  </w:tcBorders>
                  <w:noWrap w:val="0"/>
                  <w:vAlign w:val="center"/>
                </w:tcPr>
                <w:p w14:paraId="43EF5782">
                  <w:pPr>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0.5</w:t>
                  </w:r>
                  <w:r>
                    <w:rPr>
                      <w:rFonts w:hint="default" w:ascii="Times New Roman" w:hAnsi="Times New Roman" w:eastAsia="宋体" w:cs="Times New Roman"/>
                      <w:color w:val="FF0000"/>
                      <w:sz w:val="21"/>
                      <w:szCs w:val="21"/>
                      <w:highlight w:val="none"/>
                      <w:lang w:val="en-US" w:eastAsia="zh-CN"/>
                    </w:rPr>
                    <w:t>m/s</w:t>
                  </w:r>
                </w:p>
              </w:tc>
              <w:tc>
                <w:tcPr>
                  <w:tcW w:w="1507" w:type="pct"/>
                  <w:tcBorders>
                    <w:tl2br w:val="nil"/>
                    <w:tr2bl w:val="nil"/>
                  </w:tcBorders>
                  <w:noWrap w:val="0"/>
                  <w:vAlign w:val="center"/>
                </w:tcPr>
                <w:p w14:paraId="01BB361F">
                  <w:pPr>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0.5</w:t>
                  </w:r>
                  <w:r>
                    <w:rPr>
                      <w:rFonts w:hint="default" w:ascii="Times New Roman" w:hAnsi="Times New Roman" w:eastAsia="宋体" w:cs="Times New Roman"/>
                      <w:color w:val="FF0000"/>
                      <w:sz w:val="21"/>
                      <w:szCs w:val="21"/>
                      <w:highlight w:val="none"/>
                      <w:lang w:val="en-US" w:eastAsia="zh-CN"/>
                    </w:rPr>
                    <w:t>m/s</w:t>
                  </w:r>
                </w:p>
              </w:tc>
              <w:tc>
                <w:tcPr>
                  <w:tcW w:w="1596" w:type="pct"/>
                  <w:tcBorders>
                    <w:tl2br w:val="nil"/>
                    <w:tr2bl w:val="nil"/>
                  </w:tcBorders>
                  <w:noWrap w:val="0"/>
                  <w:vAlign w:val="center"/>
                </w:tcPr>
                <w:p w14:paraId="3FE8742B">
                  <w:pPr>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0.5</w:t>
                  </w:r>
                  <w:r>
                    <w:rPr>
                      <w:rFonts w:hint="default" w:ascii="Times New Roman" w:hAnsi="Times New Roman" w:eastAsia="宋体" w:cs="Times New Roman"/>
                      <w:color w:val="FF0000"/>
                      <w:sz w:val="21"/>
                      <w:szCs w:val="21"/>
                      <w:highlight w:val="none"/>
                      <w:lang w:val="en-US" w:eastAsia="zh-CN"/>
                    </w:rPr>
                    <w:t>m/s</w:t>
                  </w:r>
                </w:p>
              </w:tc>
            </w:tr>
            <w:tr w14:paraId="1D73EF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0939636E">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eastAsia="zh-CN"/>
                    </w:rPr>
                  </w:pPr>
                  <w:r>
                    <w:rPr>
                      <w:rFonts w:hint="default" w:ascii="Times New Roman" w:hAnsi="Times New Roman" w:eastAsia="宋体" w:cs="Times New Roman"/>
                      <w:color w:val="FF0000"/>
                      <w:sz w:val="21"/>
                      <w:szCs w:val="21"/>
                      <w:highlight w:val="none"/>
                      <w:lang w:eastAsia="zh-CN"/>
                    </w:rPr>
                    <w:t>总风量</w:t>
                  </w:r>
                </w:p>
              </w:tc>
              <w:tc>
                <w:tcPr>
                  <w:tcW w:w="1641" w:type="dxa"/>
                  <w:tcBorders>
                    <w:tl2br w:val="nil"/>
                    <w:tr2bl w:val="nil"/>
                  </w:tcBorders>
                  <w:noWrap w:val="0"/>
                  <w:vAlign w:val="center"/>
                </w:tcPr>
                <w:p w14:paraId="5FC6E9C4">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3780</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/h</w:t>
                  </w:r>
                </w:p>
              </w:tc>
              <w:tc>
                <w:tcPr>
                  <w:tcW w:w="2394" w:type="dxa"/>
                  <w:tcBorders>
                    <w:tl2br w:val="nil"/>
                    <w:tr2bl w:val="nil"/>
                  </w:tcBorders>
                  <w:noWrap w:val="0"/>
                  <w:vAlign w:val="center"/>
                </w:tcPr>
                <w:p w14:paraId="49D1D5E9">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3429</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/h</w:t>
                  </w:r>
                </w:p>
              </w:tc>
              <w:tc>
                <w:tcPr>
                  <w:tcW w:w="2537" w:type="dxa"/>
                  <w:tcBorders>
                    <w:tl2br w:val="nil"/>
                    <w:tr2bl w:val="nil"/>
                  </w:tcBorders>
                  <w:noWrap w:val="0"/>
                  <w:vAlign w:val="center"/>
                </w:tcPr>
                <w:p w14:paraId="20888A35">
                  <w:pPr>
                    <w:pStyle w:val="48"/>
                    <w:keepNext w:val="0"/>
                    <w:keepLines w:val="0"/>
                    <w:pageBreakBefore w:val="0"/>
                    <w:widowControl/>
                    <w:shd w:val="clear" w:color="auto" w:fill="auto"/>
                    <w:kinsoku/>
                    <w:wordWrap/>
                    <w:overflowPunct/>
                    <w:topLinePunct w:val="0"/>
                    <w:autoSpaceDE w:val="0"/>
                    <w:autoSpaceDN w:val="0"/>
                    <w:bidi w:val="0"/>
                    <w:adjustRightInd/>
                    <w:snapToGrid/>
                    <w:spacing w:before="2" w:line="235" w:lineRule="exact"/>
                    <w:ind w:right="54" w:rightChars="0"/>
                    <w:jc w:val="center"/>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3578</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/h</w:t>
                  </w:r>
                </w:p>
              </w:tc>
            </w:tr>
            <w:tr w14:paraId="0A5728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0820A60B">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风量要求</w:t>
                  </w:r>
                </w:p>
              </w:tc>
              <w:tc>
                <w:tcPr>
                  <w:tcW w:w="4137" w:type="pct"/>
                  <w:gridSpan w:val="3"/>
                  <w:tcBorders>
                    <w:tl2br w:val="nil"/>
                    <w:tr2bl w:val="nil"/>
                  </w:tcBorders>
                  <w:noWrap w:val="0"/>
                  <w:vAlign w:val="center"/>
                </w:tcPr>
                <w:p w14:paraId="69BF6140">
                  <w:pPr>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10787</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/h</w:t>
                  </w:r>
                </w:p>
              </w:tc>
            </w:tr>
            <w:tr w14:paraId="31627A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73766907">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设计风量</w:t>
                  </w:r>
                </w:p>
              </w:tc>
              <w:tc>
                <w:tcPr>
                  <w:tcW w:w="4137" w:type="pct"/>
                  <w:gridSpan w:val="3"/>
                  <w:tcBorders>
                    <w:tl2br w:val="nil"/>
                    <w:tr2bl w:val="nil"/>
                  </w:tcBorders>
                  <w:noWrap w:val="0"/>
                  <w:vAlign w:val="center"/>
                </w:tcPr>
                <w:p w14:paraId="2E64ED80">
                  <w:pPr>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eastAsia" w:ascii="Times New Roman" w:hAnsi="Times New Roman" w:eastAsia="宋体" w:cs="Times New Roman"/>
                      <w:color w:val="FF0000"/>
                      <w:sz w:val="21"/>
                      <w:szCs w:val="21"/>
                      <w:highlight w:val="none"/>
                      <w:lang w:val="en-US" w:eastAsia="zh-CN"/>
                    </w:rPr>
                  </w:pPr>
                  <w:r>
                    <w:rPr>
                      <w:rFonts w:hint="eastAsia" w:ascii="Times New Roman" w:hAnsi="Times New Roman" w:cs="Times New Roman"/>
                      <w:color w:val="FF0000"/>
                      <w:sz w:val="21"/>
                      <w:szCs w:val="21"/>
                      <w:highlight w:val="none"/>
                      <w:lang w:val="en-US" w:eastAsia="zh-CN"/>
                    </w:rPr>
                    <w:t>20</w:t>
                  </w:r>
                  <w:r>
                    <w:rPr>
                      <w:rFonts w:hint="eastAsia" w:ascii="Times New Roman" w:hAnsi="Times New Roman" w:eastAsia="宋体" w:cs="Times New Roman"/>
                      <w:color w:val="FF0000"/>
                      <w:sz w:val="21"/>
                      <w:szCs w:val="21"/>
                      <w:highlight w:val="none"/>
                      <w:lang w:val="en-US" w:eastAsia="zh-CN"/>
                    </w:rPr>
                    <w:t>000</w:t>
                  </w:r>
                  <w:r>
                    <w:rPr>
                      <w:rFonts w:hint="default" w:ascii="Times New Roman" w:hAnsi="Times New Roman" w:eastAsia="宋体" w:cs="Times New Roman"/>
                      <w:color w:val="FF0000"/>
                      <w:sz w:val="21"/>
                      <w:szCs w:val="21"/>
                      <w:highlight w:val="none"/>
                      <w:lang w:val="en-US" w:eastAsia="zh-CN"/>
                    </w:rPr>
                    <w:t>m</w:t>
                  </w:r>
                  <w:r>
                    <w:rPr>
                      <w:rFonts w:hint="default" w:ascii="Times New Roman" w:hAnsi="Times New Roman" w:eastAsia="宋体" w:cs="Times New Roman"/>
                      <w:color w:val="FF0000"/>
                      <w:sz w:val="21"/>
                      <w:szCs w:val="21"/>
                      <w:highlight w:val="none"/>
                      <w:vertAlign w:val="superscript"/>
                      <w:lang w:val="en-US" w:eastAsia="zh-CN"/>
                    </w:rPr>
                    <w:t>3</w:t>
                  </w:r>
                  <w:r>
                    <w:rPr>
                      <w:rFonts w:hint="default" w:ascii="Times New Roman" w:hAnsi="Times New Roman" w:eastAsia="宋体" w:cs="Times New Roman"/>
                      <w:color w:val="FF0000"/>
                      <w:sz w:val="21"/>
                      <w:szCs w:val="21"/>
                      <w:highlight w:val="none"/>
                      <w:lang w:val="en-US" w:eastAsia="zh-CN"/>
                    </w:rPr>
                    <w:t>/h</w:t>
                  </w:r>
                </w:p>
              </w:tc>
            </w:tr>
            <w:tr w14:paraId="028651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62" w:type="pct"/>
                  <w:tcBorders>
                    <w:tl2br w:val="nil"/>
                    <w:tr2bl w:val="nil"/>
                  </w:tcBorders>
                  <w:noWrap w:val="0"/>
                  <w:vAlign w:val="center"/>
                </w:tcPr>
                <w:p w14:paraId="641D3AE1">
                  <w:pPr>
                    <w:pStyle w:val="54"/>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是否符合</w:t>
                  </w:r>
                </w:p>
              </w:tc>
              <w:tc>
                <w:tcPr>
                  <w:tcW w:w="4137" w:type="pct"/>
                  <w:gridSpan w:val="3"/>
                  <w:tcBorders>
                    <w:tl2br w:val="nil"/>
                    <w:tr2bl w:val="nil"/>
                  </w:tcBorders>
                  <w:noWrap w:val="0"/>
                  <w:vAlign w:val="center"/>
                </w:tcPr>
                <w:p w14:paraId="103A179B">
                  <w:pPr>
                    <w:keepNext w:val="0"/>
                    <w:keepLines w:val="0"/>
                    <w:pageBreakBefore w:val="0"/>
                    <w:widowControl/>
                    <w:shd w:val="clear" w:color="auto" w:fill="auto"/>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FF0000"/>
                      <w:sz w:val="21"/>
                      <w:szCs w:val="21"/>
                      <w:highlight w:val="none"/>
                      <w:lang w:val="en-US" w:eastAsia="zh-CN"/>
                    </w:rPr>
                  </w:pPr>
                  <w:r>
                    <w:rPr>
                      <w:rFonts w:hint="eastAsia" w:ascii="Times New Roman" w:hAnsi="Times New Roman" w:eastAsia="宋体" w:cs="Times New Roman"/>
                      <w:color w:val="FF0000"/>
                      <w:sz w:val="21"/>
                      <w:szCs w:val="21"/>
                      <w:highlight w:val="none"/>
                      <w:lang w:val="en-US" w:eastAsia="zh-CN"/>
                    </w:rPr>
                    <w:t>是</w:t>
                  </w:r>
                </w:p>
              </w:tc>
            </w:tr>
          </w:tbl>
          <w:p w14:paraId="7D4E7B28">
            <w:pPr>
              <w:keepNext w:val="0"/>
              <w:keepLines w:val="0"/>
              <w:pageBreakBefore w:val="0"/>
              <w:widowControl/>
              <w:numPr>
                <w:ilvl w:val="0"/>
                <w:numId w:val="0"/>
              </w:numPr>
              <w:kinsoku/>
              <w:wordWrap/>
              <w:overflowPunct/>
              <w:topLinePunct w:val="0"/>
              <w:autoSpaceDE/>
              <w:autoSpaceDN/>
              <w:bidi w:val="0"/>
              <w:adjustRightInd/>
              <w:snapToGrid/>
              <w:spacing w:line="360" w:lineRule="auto"/>
              <w:ind w:firstLine="480" w:firstLineChars="200"/>
              <w:jc w:val="left"/>
              <w:textAlignment w:val="auto"/>
              <w:rPr>
                <w:rFonts w:hint="eastAsia" w:ascii="Times New Roman" w:hAnsi="Times New Roman" w:cs="Times New Roman"/>
                <w:b w:val="0"/>
                <w:bCs w:val="0"/>
                <w:color w:val="FF0000"/>
                <w:sz w:val="24"/>
                <w:szCs w:val="24"/>
                <w:highlight w:val="none"/>
                <w:vertAlign w:val="baseline"/>
                <w:lang w:val="en-US" w:eastAsia="zh-CN"/>
              </w:rPr>
            </w:pPr>
            <w:r>
              <w:rPr>
                <w:rFonts w:hint="default" w:ascii="Times New Roman" w:hAnsi="Times New Roman" w:cs="Times New Roman"/>
                <w:b w:val="0"/>
                <w:bCs w:val="0"/>
                <w:color w:val="FF0000"/>
                <w:sz w:val="24"/>
                <w:szCs w:val="24"/>
                <w:highlight w:val="none"/>
                <w:vertAlign w:val="baseline"/>
                <w:lang w:val="en-US" w:eastAsia="zh-CN"/>
              </w:rPr>
              <w:t>根据《袋式除尘工程通用技术规范》</w:t>
            </w:r>
            <w:r>
              <w:rPr>
                <w:rFonts w:hint="eastAsia" w:ascii="Times New Roman" w:hAnsi="Times New Roman" w:cs="Times New Roman"/>
                <w:b w:val="0"/>
                <w:bCs w:val="0"/>
                <w:color w:val="FF0000"/>
                <w:sz w:val="24"/>
                <w:szCs w:val="24"/>
                <w:highlight w:val="none"/>
                <w:vertAlign w:val="baseline"/>
                <w:lang w:val="en-US" w:eastAsia="zh-CN"/>
              </w:rPr>
              <w:t>（</w:t>
            </w:r>
            <w:r>
              <w:rPr>
                <w:rFonts w:hint="default" w:ascii="Times New Roman" w:hAnsi="Times New Roman" w:cs="Times New Roman"/>
                <w:b w:val="0"/>
                <w:bCs w:val="0"/>
                <w:color w:val="FF0000"/>
                <w:sz w:val="24"/>
                <w:szCs w:val="24"/>
                <w:highlight w:val="none"/>
                <w:vertAlign w:val="baseline"/>
                <w:lang w:val="en-US" w:eastAsia="zh-CN"/>
              </w:rPr>
              <w:t>HJ 2020-2012</w:t>
            </w:r>
            <w:r>
              <w:rPr>
                <w:rFonts w:hint="eastAsia" w:ascii="Times New Roman" w:hAnsi="Times New Roman" w:cs="Times New Roman"/>
                <w:b w:val="0"/>
                <w:bCs w:val="0"/>
                <w:color w:val="FF0000"/>
                <w:sz w:val="24"/>
                <w:szCs w:val="24"/>
                <w:highlight w:val="none"/>
                <w:vertAlign w:val="baseline"/>
                <w:lang w:val="en-US" w:eastAsia="zh-CN"/>
              </w:rPr>
              <w:t>），风机风量应考虑附加管网和设备漏风量，计算公式为：</w:t>
            </w:r>
          </w:p>
          <w:p w14:paraId="7DD2D960">
            <w:pPr>
              <w:pStyle w:val="13"/>
              <w:keepNext w:val="0"/>
              <w:keepLines w:val="0"/>
              <w:pageBreakBefore w:val="0"/>
              <w:kinsoku/>
              <w:wordWrap/>
              <w:overflowPunct/>
              <w:topLinePunct w:val="0"/>
              <w:autoSpaceDE/>
              <w:autoSpaceDN/>
              <w:bidi w:val="0"/>
              <w:adjustRightInd/>
              <w:snapToGrid/>
              <w:spacing w:line="360" w:lineRule="auto"/>
              <w:ind w:firstLine="480" w:firstLineChars="200"/>
              <w:jc w:val="center"/>
              <w:textAlignment w:val="auto"/>
              <w:rPr>
                <w:rFonts w:hint="default"/>
                <w:color w:val="FF0000"/>
                <w:sz w:val="24"/>
                <w:szCs w:val="24"/>
                <w:highlight w:val="none"/>
                <w:lang w:val="en-US" w:eastAsia="zh-CN"/>
              </w:rPr>
            </w:pPr>
            <w:r>
              <w:rPr>
                <w:rFonts w:hint="default"/>
                <w:color w:val="FF0000"/>
                <w:position w:val="-10"/>
                <w:sz w:val="24"/>
                <w:szCs w:val="24"/>
                <w:highlight w:val="none"/>
                <w:lang w:val="en-US" w:eastAsia="zh-CN"/>
              </w:rPr>
              <w:object>
                <v:shape id="_x0000_i1026" o:spt="75" type="#_x0000_t75" style="height:18pt;width:62pt;" o:ole="t" filled="f" o:preferrelative="t" stroked="f" coordsize="21600,21600">
                  <v:path/>
                  <v:fill on="f" focussize="0,0"/>
                  <v:stroke on="f"/>
                  <v:imagedata r:id="rId25" o:title=""/>
                  <o:lock v:ext="edit" aspectratio="t"/>
                  <w10:wrap type="none"/>
                  <w10:anchorlock/>
                </v:shape>
                <o:OLEObject Type="Embed" ProgID="Equation.KSEE3" ShapeID="_x0000_i1026" DrawAspect="Content" ObjectID="_1468075726" r:id="rId24">
                  <o:LockedField>false</o:LockedField>
                </o:OLEObject>
              </w:object>
            </w:r>
          </w:p>
          <w:p w14:paraId="09DAE98D">
            <w:pPr>
              <w:pStyle w:val="13"/>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eastAsia"/>
                <w:color w:val="FF0000"/>
                <w:sz w:val="24"/>
                <w:szCs w:val="24"/>
                <w:highlight w:val="none"/>
                <w:vertAlign w:val="baseline"/>
                <w:lang w:val="en-US" w:eastAsia="zh-CN"/>
              </w:rPr>
            </w:pPr>
            <w:r>
              <w:rPr>
                <w:rFonts w:hint="eastAsia"/>
                <w:color w:val="FF0000"/>
                <w:sz w:val="24"/>
                <w:szCs w:val="24"/>
                <w:highlight w:val="none"/>
                <w:lang w:val="en-US" w:eastAsia="zh-CN"/>
              </w:rPr>
              <w:t>式中：Q</w:t>
            </w:r>
            <w:r>
              <w:rPr>
                <w:rFonts w:hint="eastAsia"/>
                <w:color w:val="FF0000"/>
                <w:sz w:val="24"/>
                <w:szCs w:val="24"/>
                <w:highlight w:val="none"/>
                <w:vertAlign w:val="superscript"/>
                <w:lang w:val="en-US" w:eastAsia="zh-CN"/>
              </w:rPr>
              <w:t>，</w:t>
            </w:r>
            <w:r>
              <w:rPr>
                <w:rFonts w:hint="eastAsia"/>
                <w:color w:val="FF0000"/>
                <w:sz w:val="24"/>
                <w:szCs w:val="24"/>
                <w:highlight w:val="none"/>
                <w:vertAlign w:val="baseline"/>
                <w:lang w:val="en-US" w:eastAsia="zh-CN"/>
              </w:rPr>
              <w:t>——风机选型计算风量，m</w:t>
            </w:r>
            <w:r>
              <w:rPr>
                <w:rFonts w:hint="eastAsia"/>
                <w:color w:val="FF0000"/>
                <w:sz w:val="24"/>
                <w:szCs w:val="24"/>
                <w:highlight w:val="none"/>
                <w:vertAlign w:val="superscript"/>
                <w:lang w:val="en-US" w:eastAsia="zh-CN"/>
              </w:rPr>
              <w:t>3</w:t>
            </w:r>
            <w:r>
              <w:rPr>
                <w:rFonts w:hint="eastAsia"/>
                <w:color w:val="FF0000"/>
                <w:sz w:val="24"/>
                <w:szCs w:val="24"/>
                <w:highlight w:val="none"/>
                <w:vertAlign w:val="baseline"/>
                <w:lang w:val="en-US" w:eastAsia="zh-CN"/>
              </w:rPr>
              <w:t>/h；</w:t>
            </w:r>
          </w:p>
          <w:p w14:paraId="2612CA5E">
            <w:pPr>
              <w:pStyle w:val="13"/>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eastAsia"/>
                <w:color w:val="FF0000"/>
                <w:sz w:val="24"/>
                <w:szCs w:val="24"/>
                <w:highlight w:val="none"/>
                <w:vertAlign w:val="baseline"/>
                <w:lang w:val="en-US" w:eastAsia="zh-CN"/>
              </w:rPr>
            </w:pPr>
            <w:r>
              <w:rPr>
                <w:rFonts w:hint="eastAsia"/>
                <w:color w:val="FF0000"/>
                <w:sz w:val="24"/>
                <w:szCs w:val="24"/>
                <w:highlight w:val="none"/>
                <w:vertAlign w:val="baseline"/>
                <w:lang w:val="en-US" w:eastAsia="zh-CN"/>
              </w:rPr>
              <w:t>Q——除尘管网计算总排风量（风机入口），m</w:t>
            </w:r>
            <w:r>
              <w:rPr>
                <w:rFonts w:hint="eastAsia"/>
                <w:color w:val="FF0000"/>
                <w:sz w:val="24"/>
                <w:szCs w:val="24"/>
                <w:highlight w:val="none"/>
                <w:vertAlign w:val="superscript"/>
                <w:lang w:val="en-US" w:eastAsia="zh-CN"/>
              </w:rPr>
              <w:t>3</w:t>
            </w:r>
            <w:r>
              <w:rPr>
                <w:rFonts w:hint="eastAsia"/>
                <w:color w:val="FF0000"/>
                <w:sz w:val="24"/>
                <w:szCs w:val="24"/>
                <w:highlight w:val="none"/>
                <w:vertAlign w:val="baseline"/>
                <w:lang w:val="en-US" w:eastAsia="zh-CN"/>
              </w:rPr>
              <w:t>/h；</w:t>
            </w:r>
          </w:p>
          <w:p w14:paraId="36FEDA70">
            <w:pPr>
              <w:pStyle w:val="13"/>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eastAsia"/>
                <w:color w:val="FF0000"/>
                <w:sz w:val="24"/>
                <w:szCs w:val="24"/>
                <w:highlight w:val="none"/>
                <w:vertAlign w:val="baseline"/>
                <w:lang w:val="en-US" w:eastAsia="zh-CN"/>
              </w:rPr>
            </w:pPr>
            <w:r>
              <w:rPr>
                <w:rFonts w:hint="eastAsia"/>
                <w:color w:val="FF0000"/>
                <w:sz w:val="24"/>
                <w:szCs w:val="24"/>
                <w:highlight w:val="none"/>
                <w:vertAlign w:val="baseline"/>
                <w:lang w:val="en-US" w:eastAsia="zh-CN"/>
              </w:rPr>
              <w:t>K1——管网漏风附加系数，除尘系统K1=1.1~1.15，本项目取1.15；</w:t>
            </w:r>
          </w:p>
          <w:p w14:paraId="14F3D841">
            <w:pPr>
              <w:pStyle w:val="13"/>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eastAsia"/>
                <w:color w:val="FF0000"/>
                <w:sz w:val="24"/>
                <w:szCs w:val="24"/>
                <w:highlight w:val="none"/>
                <w:vertAlign w:val="baseline"/>
                <w:lang w:val="en-US" w:eastAsia="zh-CN"/>
              </w:rPr>
            </w:pPr>
            <w:r>
              <w:rPr>
                <w:rFonts w:hint="eastAsia"/>
                <w:color w:val="FF0000"/>
                <w:sz w:val="24"/>
                <w:szCs w:val="24"/>
                <w:highlight w:val="none"/>
                <w:vertAlign w:val="baseline"/>
                <w:lang w:val="en-US" w:eastAsia="zh-CN"/>
              </w:rPr>
              <w:t>K2——设备漏风附加系数，按有关设备样本选取，K2一般处于1.02~1.05范围，本项目取1.05；</w:t>
            </w:r>
          </w:p>
          <w:p w14:paraId="0019092F">
            <w:pPr>
              <w:pStyle w:val="13"/>
              <w:keepNext w:val="0"/>
              <w:keepLines w:val="0"/>
              <w:pageBreakBefore w:val="0"/>
              <w:kinsoku/>
              <w:wordWrap/>
              <w:overflowPunct/>
              <w:topLinePunct w:val="0"/>
              <w:autoSpaceDE/>
              <w:autoSpaceDN/>
              <w:bidi w:val="0"/>
              <w:adjustRightInd/>
              <w:snapToGrid/>
              <w:spacing w:line="360" w:lineRule="auto"/>
              <w:ind w:firstLine="480" w:firstLineChars="200"/>
              <w:jc w:val="both"/>
              <w:textAlignment w:val="auto"/>
              <w:rPr>
                <w:rFonts w:hint="default"/>
                <w:color w:val="FF0000"/>
                <w:sz w:val="24"/>
                <w:szCs w:val="24"/>
                <w:highlight w:val="none"/>
                <w:vertAlign w:val="baseline"/>
                <w:lang w:val="en-US" w:eastAsia="zh-CN"/>
              </w:rPr>
            </w:pPr>
            <w:r>
              <w:rPr>
                <w:rFonts w:hint="eastAsia"/>
                <w:color w:val="FF0000"/>
                <w:sz w:val="24"/>
                <w:szCs w:val="24"/>
                <w:highlight w:val="none"/>
                <w:vertAlign w:val="baseline"/>
                <w:lang w:val="en-US" w:eastAsia="zh-CN"/>
              </w:rPr>
              <w:t>经计算，</w:t>
            </w:r>
            <w:r>
              <w:rPr>
                <w:rFonts w:hint="eastAsia"/>
                <w:color w:val="FF0000"/>
                <w:sz w:val="24"/>
                <w:szCs w:val="24"/>
                <w:highlight w:val="none"/>
                <w:lang w:val="en-US" w:eastAsia="zh-CN"/>
              </w:rPr>
              <w:t>Q</w:t>
            </w:r>
            <w:r>
              <w:rPr>
                <w:rFonts w:hint="eastAsia"/>
                <w:color w:val="FF0000"/>
                <w:sz w:val="24"/>
                <w:szCs w:val="24"/>
                <w:highlight w:val="none"/>
                <w:vertAlign w:val="superscript"/>
                <w:lang w:val="en-US" w:eastAsia="zh-CN"/>
              </w:rPr>
              <w:t>，</w:t>
            </w:r>
            <w:r>
              <w:rPr>
                <w:rFonts w:hint="eastAsia"/>
                <w:color w:val="FF0000"/>
                <w:sz w:val="24"/>
                <w:szCs w:val="24"/>
                <w:highlight w:val="none"/>
                <w:vertAlign w:val="baseline"/>
                <w:lang w:val="en-US" w:eastAsia="zh-CN"/>
              </w:rPr>
              <w:t>为13025m</w:t>
            </w:r>
            <w:r>
              <w:rPr>
                <w:rFonts w:hint="eastAsia"/>
                <w:color w:val="FF0000"/>
                <w:sz w:val="24"/>
                <w:szCs w:val="24"/>
                <w:highlight w:val="none"/>
                <w:vertAlign w:val="superscript"/>
                <w:lang w:val="en-US" w:eastAsia="zh-CN"/>
              </w:rPr>
              <w:t>3</w:t>
            </w:r>
            <w:r>
              <w:rPr>
                <w:rFonts w:hint="eastAsia"/>
                <w:color w:val="FF0000"/>
                <w:sz w:val="24"/>
                <w:szCs w:val="24"/>
                <w:highlight w:val="none"/>
                <w:vertAlign w:val="baseline"/>
                <w:lang w:val="en-US" w:eastAsia="zh-CN"/>
              </w:rPr>
              <w:t>/h，本项目风机设计风量为20000m</w:t>
            </w:r>
            <w:r>
              <w:rPr>
                <w:rFonts w:hint="eastAsia"/>
                <w:color w:val="FF0000"/>
                <w:sz w:val="24"/>
                <w:szCs w:val="24"/>
                <w:highlight w:val="none"/>
                <w:vertAlign w:val="superscript"/>
                <w:lang w:val="en-US" w:eastAsia="zh-CN"/>
              </w:rPr>
              <w:t>3</w:t>
            </w:r>
            <w:r>
              <w:rPr>
                <w:rFonts w:hint="eastAsia"/>
                <w:color w:val="FF0000"/>
                <w:sz w:val="24"/>
                <w:szCs w:val="24"/>
                <w:highlight w:val="none"/>
                <w:vertAlign w:val="baseline"/>
                <w:lang w:val="en-US" w:eastAsia="zh-CN"/>
              </w:rPr>
              <w:t>/h，符合</w:t>
            </w:r>
            <w:r>
              <w:rPr>
                <w:rFonts w:hint="eastAsia"/>
                <w:color w:val="FF0000"/>
                <w:sz w:val="24"/>
                <w:szCs w:val="24"/>
                <w:highlight w:val="none"/>
                <w:lang w:val="en-US" w:eastAsia="zh-CN"/>
              </w:rPr>
              <w:t>《排风罩的分类及技术条件》（GB/T16758-2008）和</w:t>
            </w:r>
            <w:r>
              <w:rPr>
                <w:rFonts w:hint="default" w:ascii="Times New Roman" w:hAnsi="Times New Roman" w:cs="Times New Roman"/>
                <w:b w:val="0"/>
                <w:bCs w:val="0"/>
                <w:color w:val="FF0000"/>
                <w:sz w:val="24"/>
                <w:szCs w:val="24"/>
                <w:highlight w:val="none"/>
                <w:vertAlign w:val="baseline"/>
                <w:lang w:val="en-US" w:eastAsia="zh-CN"/>
              </w:rPr>
              <w:t>《袋式除尘工程通用技术规范》</w:t>
            </w:r>
            <w:r>
              <w:rPr>
                <w:rFonts w:hint="eastAsia" w:ascii="Times New Roman" w:hAnsi="Times New Roman" w:cs="Times New Roman"/>
                <w:b w:val="0"/>
                <w:bCs w:val="0"/>
                <w:color w:val="FF0000"/>
                <w:sz w:val="24"/>
                <w:szCs w:val="24"/>
                <w:highlight w:val="none"/>
                <w:vertAlign w:val="baseline"/>
                <w:lang w:val="en-US" w:eastAsia="zh-CN"/>
              </w:rPr>
              <w:t>（</w:t>
            </w:r>
            <w:r>
              <w:rPr>
                <w:rFonts w:hint="default" w:ascii="Times New Roman" w:hAnsi="Times New Roman" w:cs="Times New Roman"/>
                <w:b w:val="0"/>
                <w:bCs w:val="0"/>
                <w:color w:val="FF0000"/>
                <w:sz w:val="24"/>
                <w:szCs w:val="24"/>
                <w:highlight w:val="none"/>
                <w:vertAlign w:val="baseline"/>
                <w:lang w:val="en-US" w:eastAsia="zh-CN"/>
              </w:rPr>
              <w:t>HJ 2020-2012</w:t>
            </w:r>
            <w:r>
              <w:rPr>
                <w:rFonts w:hint="eastAsia" w:ascii="Times New Roman" w:hAnsi="Times New Roman" w:cs="Times New Roman"/>
                <w:b w:val="0"/>
                <w:bCs w:val="0"/>
                <w:color w:val="FF0000"/>
                <w:sz w:val="24"/>
                <w:szCs w:val="24"/>
                <w:highlight w:val="none"/>
                <w:vertAlign w:val="baseline"/>
                <w:lang w:val="en-US" w:eastAsia="zh-CN"/>
              </w:rPr>
              <w:t>）等文件要求。</w:t>
            </w:r>
          </w:p>
          <w:p w14:paraId="07277EA8">
            <w:pPr>
              <w:widowControl/>
              <w:numPr>
                <w:ilvl w:val="0"/>
                <w:numId w:val="0"/>
              </w:numPr>
              <w:spacing w:line="360" w:lineRule="auto"/>
              <w:ind w:firstLine="480" w:firstLineChars="200"/>
              <w:jc w:val="left"/>
              <w:rPr>
                <w:rFonts w:hint="eastAsia" w:cs="Times New Roman"/>
                <w:color w:val="FF0000"/>
                <w:kern w:val="2"/>
                <w:sz w:val="24"/>
                <w:szCs w:val="24"/>
                <w:highlight w:val="none"/>
                <w:lang w:val="en-US" w:eastAsia="zh-CN" w:bidi="ar-SA"/>
              </w:rPr>
            </w:pPr>
            <w:r>
              <w:rPr>
                <w:rFonts w:hint="eastAsia" w:cs="Times New Roman"/>
                <w:color w:val="FF0000"/>
                <w:kern w:val="2"/>
                <w:sz w:val="24"/>
                <w:szCs w:val="24"/>
                <w:highlight w:val="none"/>
                <w:lang w:val="en-US" w:eastAsia="zh-CN" w:bidi="ar-SA"/>
              </w:rPr>
              <w:t>破碎车间有组织废气产排情况一览表：</w:t>
            </w:r>
          </w:p>
          <w:p w14:paraId="4A8EA248">
            <w:pPr>
              <w:widowControl/>
              <w:jc w:val="center"/>
              <w:rPr>
                <w:b/>
                <w:bCs/>
                <w:color w:val="FF0000"/>
                <w:szCs w:val="21"/>
                <w:highlight w:val="none"/>
              </w:rPr>
            </w:pPr>
            <w:r>
              <w:rPr>
                <w:rFonts w:hint="eastAsia"/>
                <w:b/>
                <w:bCs/>
                <w:color w:val="FF0000"/>
                <w:szCs w:val="21"/>
                <w:highlight w:val="none"/>
              </w:rPr>
              <w:t>表</w:t>
            </w:r>
            <w:r>
              <w:rPr>
                <w:b/>
                <w:bCs/>
                <w:color w:val="FF0000"/>
                <w:szCs w:val="21"/>
                <w:highlight w:val="none"/>
              </w:rPr>
              <w:t>4-</w:t>
            </w:r>
            <w:r>
              <w:rPr>
                <w:rFonts w:hint="eastAsia"/>
                <w:b/>
                <w:bCs/>
                <w:color w:val="FF0000"/>
                <w:szCs w:val="21"/>
                <w:highlight w:val="none"/>
                <w:lang w:val="en-US" w:eastAsia="zh-CN"/>
              </w:rPr>
              <w:t>2</w:t>
            </w:r>
            <w:r>
              <w:rPr>
                <w:b/>
                <w:bCs/>
                <w:color w:val="FF0000"/>
                <w:szCs w:val="21"/>
                <w:highlight w:val="none"/>
              </w:rPr>
              <w:t xml:space="preserve"> </w:t>
            </w:r>
            <w:r>
              <w:rPr>
                <w:rFonts w:hint="eastAsia"/>
                <w:b/>
                <w:bCs/>
                <w:color w:val="FF0000"/>
                <w:szCs w:val="21"/>
                <w:highlight w:val="none"/>
              </w:rPr>
              <w:t>项目</w:t>
            </w:r>
            <w:r>
              <w:rPr>
                <w:rFonts w:hint="eastAsia"/>
                <w:b/>
                <w:bCs/>
                <w:color w:val="FF0000"/>
                <w:szCs w:val="21"/>
                <w:highlight w:val="none"/>
                <w:lang w:val="en-US" w:eastAsia="zh-CN"/>
              </w:rPr>
              <w:t>有组织</w:t>
            </w:r>
            <w:r>
              <w:rPr>
                <w:rFonts w:hint="eastAsia"/>
                <w:b/>
                <w:bCs/>
                <w:color w:val="FF0000"/>
                <w:szCs w:val="21"/>
                <w:highlight w:val="none"/>
              </w:rPr>
              <w:t>废气污染物产生情况一览表</w:t>
            </w:r>
          </w:p>
          <w:tbl>
            <w:tblPr>
              <w:tblStyle w:val="19"/>
              <w:tblW w:w="4945"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2"/>
              <w:gridCol w:w="930"/>
              <w:gridCol w:w="930"/>
              <w:gridCol w:w="675"/>
              <w:gridCol w:w="1125"/>
              <w:gridCol w:w="720"/>
              <w:gridCol w:w="888"/>
              <w:gridCol w:w="791"/>
              <w:gridCol w:w="928"/>
            </w:tblGrid>
            <w:tr w14:paraId="5CBE07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554" w:type="pct"/>
                  <w:vMerge w:val="restart"/>
                  <w:tcBorders>
                    <w:tl2br w:val="nil"/>
                    <w:tr2bl w:val="nil"/>
                  </w:tcBorders>
                  <w:vAlign w:val="center"/>
                </w:tcPr>
                <w:p w14:paraId="1C49734F">
                  <w:pPr>
                    <w:adjustRightInd w:val="0"/>
                    <w:snapToGrid w:val="0"/>
                    <w:jc w:val="center"/>
                    <w:rPr>
                      <w:b/>
                      <w:bCs/>
                      <w:color w:val="FF0000"/>
                      <w:szCs w:val="21"/>
                      <w:highlight w:val="none"/>
                    </w:rPr>
                  </w:pPr>
                  <w:r>
                    <w:rPr>
                      <w:b/>
                      <w:bCs/>
                      <w:color w:val="FF0000"/>
                      <w:szCs w:val="21"/>
                      <w:highlight w:val="none"/>
                    </w:rPr>
                    <w:t>废气产污环节</w:t>
                  </w:r>
                </w:p>
              </w:tc>
              <w:tc>
                <w:tcPr>
                  <w:tcW w:w="1183" w:type="pct"/>
                  <w:gridSpan w:val="2"/>
                  <w:tcBorders>
                    <w:tl2br w:val="nil"/>
                    <w:tr2bl w:val="nil"/>
                  </w:tcBorders>
                  <w:vAlign w:val="center"/>
                </w:tcPr>
                <w:p w14:paraId="4E678D95">
                  <w:pPr>
                    <w:adjustRightInd w:val="0"/>
                    <w:snapToGrid w:val="0"/>
                    <w:jc w:val="center"/>
                    <w:rPr>
                      <w:b/>
                      <w:bCs/>
                      <w:color w:val="FF0000"/>
                      <w:szCs w:val="21"/>
                      <w:highlight w:val="none"/>
                    </w:rPr>
                  </w:pPr>
                  <w:r>
                    <w:rPr>
                      <w:b/>
                      <w:bCs/>
                      <w:color w:val="FF0000"/>
                      <w:szCs w:val="21"/>
                      <w:highlight w:val="none"/>
                    </w:rPr>
                    <w:t>产生情况</w:t>
                  </w:r>
                </w:p>
              </w:tc>
              <w:tc>
                <w:tcPr>
                  <w:tcW w:w="1603" w:type="pct"/>
                  <w:gridSpan w:val="3"/>
                  <w:tcBorders>
                    <w:tl2br w:val="nil"/>
                    <w:tr2bl w:val="nil"/>
                  </w:tcBorders>
                  <w:vAlign w:val="center"/>
                </w:tcPr>
                <w:p w14:paraId="52CBDED9">
                  <w:pPr>
                    <w:adjustRightInd w:val="0"/>
                    <w:snapToGrid w:val="0"/>
                    <w:jc w:val="center"/>
                    <w:rPr>
                      <w:b/>
                      <w:bCs/>
                      <w:color w:val="FF0000"/>
                      <w:szCs w:val="21"/>
                      <w:highlight w:val="none"/>
                    </w:rPr>
                  </w:pPr>
                  <w:r>
                    <w:rPr>
                      <w:b/>
                      <w:bCs/>
                      <w:color w:val="FF0000"/>
                      <w:szCs w:val="21"/>
                      <w:highlight w:val="none"/>
                    </w:rPr>
                    <w:t>污染防治措施</w:t>
                  </w:r>
                </w:p>
              </w:tc>
              <w:tc>
                <w:tcPr>
                  <w:tcW w:w="1658" w:type="pct"/>
                  <w:gridSpan w:val="3"/>
                  <w:tcBorders>
                    <w:tl2br w:val="nil"/>
                    <w:tr2bl w:val="nil"/>
                  </w:tcBorders>
                  <w:vAlign w:val="center"/>
                </w:tcPr>
                <w:p w14:paraId="25887192">
                  <w:pPr>
                    <w:adjustRightInd w:val="0"/>
                    <w:snapToGrid w:val="0"/>
                    <w:jc w:val="center"/>
                    <w:rPr>
                      <w:b/>
                      <w:bCs/>
                      <w:color w:val="FF0000"/>
                      <w:szCs w:val="21"/>
                      <w:highlight w:val="none"/>
                    </w:rPr>
                  </w:pPr>
                  <w:r>
                    <w:rPr>
                      <w:b/>
                      <w:bCs/>
                      <w:color w:val="FF0000"/>
                      <w:szCs w:val="21"/>
                      <w:highlight w:val="none"/>
                    </w:rPr>
                    <w:t>排放情况</w:t>
                  </w:r>
                </w:p>
              </w:tc>
            </w:tr>
            <w:tr w14:paraId="0E5745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292" w:hRule="atLeast"/>
              </w:trPr>
              <w:tc>
                <w:tcPr>
                  <w:tcW w:w="554" w:type="pct"/>
                  <w:vMerge w:val="continue"/>
                  <w:tcBorders>
                    <w:tl2br w:val="nil"/>
                    <w:tr2bl w:val="nil"/>
                  </w:tcBorders>
                  <w:vAlign w:val="center"/>
                </w:tcPr>
                <w:p w14:paraId="3A6B41CD">
                  <w:pPr>
                    <w:adjustRightInd w:val="0"/>
                    <w:snapToGrid w:val="0"/>
                    <w:jc w:val="center"/>
                    <w:rPr>
                      <w:b/>
                      <w:bCs/>
                      <w:color w:val="FF0000"/>
                      <w:szCs w:val="21"/>
                      <w:highlight w:val="none"/>
                    </w:rPr>
                  </w:pPr>
                </w:p>
              </w:tc>
              <w:tc>
                <w:tcPr>
                  <w:tcW w:w="591" w:type="pct"/>
                  <w:tcBorders>
                    <w:tl2br w:val="nil"/>
                    <w:tr2bl w:val="nil"/>
                  </w:tcBorders>
                  <w:vAlign w:val="center"/>
                </w:tcPr>
                <w:p w14:paraId="16CA226A">
                  <w:pPr>
                    <w:widowControl/>
                    <w:jc w:val="center"/>
                    <w:rPr>
                      <w:b/>
                      <w:bCs/>
                      <w:color w:val="FF0000"/>
                      <w:szCs w:val="21"/>
                      <w:highlight w:val="none"/>
                    </w:rPr>
                  </w:pPr>
                  <w:r>
                    <w:rPr>
                      <w:b/>
                      <w:bCs/>
                      <w:color w:val="FF0000"/>
                      <w:szCs w:val="21"/>
                      <w:highlight w:val="none"/>
                    </w:rPr>
                    <w:t>产生量</w:t>
                  </w:r>
                </w:p>
                <w:p w14:paraId="128244D1">
                  <w:pPr>
                    <w:widowControl/>
                    <w:jc w:val="center"/>
                    <w:rPr>
                      <w:b/>
                      <w:bCs/>
                      <w:color w:val="FF0000"/>
                      <w:szCs w:val="21"/>
                      <w:highlight w:val="none"/>
                    </w:rPr>
                  </w:pPr>
                  <w:r>
                    <w:rPr>
                      <w:b/>
                      <w:bCs/>
                      <w:color w:val="FF0000"/>
                      <w:szCs w:val="21"/>
                      <w:highlight w:val="none"/>
                    </w:rPr>
                    <w:t>t/a</w:t>
                  </w:r>
                </w:p>
              </w:tc>
              <w:tc>
                <w:tcPr>
                  <w:tcW w:w="591" w:type="pct"/>
                  <w:tcBorders>
                    <w:tl2br w:val="nil"/>
                    <w:tr2bl w:val="nil"/>
                  </w:tcBorders>
                  <w:vAlign w:val="center"/>
                </w:tcPr>
                <w:p w14:paraId="2F46B6FF">
                  <w:pPr>
                    <w:widowControl/>
                    <w:jc w:val="center"/>
                    <w:rPr>
                      <w:b/>
                      <w:bCs/>
                      <w:color w:val="FF0000"/>
                      <w:szCs w:val="21"/>
                      <w:highlight w:val="none"/>
                    </w:rPr>
                  </w:pPr>
                  <w:r>
                    <w:rPr>
                      <w:b/>
                      <w:bCs/>
                      <w:color w:val="FF0000"/>
                      <w:szCs w:val="21"/>
                      <w:highlight w:val="none"/>
                    </w:rPr>
                    <w:t>产生</w:t>
                  </w:r>
                </w:p>
                <w:p w14:paraId="0BD57456">
                  <w:pPr>
                    <w:widowControl/>
                    <w:jc w:val="center"/>
                    <w:rPr>
                      <w:b/>
                      <w:bCs/>
                      <w:color w:val="FF0000"/>
                      <w:szCs w:val="21"/>
                      <w:highlight w:val="none"/>
                    </w:rPr>
                  </w:pPr>
                  <w:r>
                    <w:rPr>
                      <w:b/>
                      <w:bCs/>
                      <w:color w:val="FF0000"/>
                      <w:szCs w:val="21"/>
                      <w:highlight w:val="none"/>
                    </w:rPr>
                    <w:t>速率</w:t>
                  </w:r>
                </w:p>
                <w:p w14:paraId="27D23E29">
                  <w:pPr>
                    <w:widowControl/>
                    <w:jc w:val="center"/>
                    <w:rPr>
                      <w:b/>
                      <w:bCs/>
                      <w:color w:val="FF0000"/>
                      <w:szCs w:val="21"/>
                      <w:highlight w:val="none"/>
                    </w:rPr>
                  </w:pPr>
                  <w:r>
                    <w:rPr>
                      <w:b/>
                      <w:bCs/>
                      <w:color w:val="FF0000"/>
                      <w:szCs w:val="21"/>
                      <w:highlight w:val="none"/>
                    </w:rPr>
                    <w:t>kg/h</w:t>
                  </w:r>
                </w:p>
              </w:tc>
              <w:tc>
                <w:tcPr>
                  <w:tcW w:w="429" w:type="pct"/>
                  <w:tcBorders>
                    <w:tl2br w:val="nil"/>
                    <w:tr2bl w:val="nil"/>
                  </w:tcBorders>
                  <w:vAlign w:val="center"/>
                </w:tcPr>
                <w:p w14:paraId="579A7955">
                  <w:pPr>
                    <w:adjustRightInd w:val="0"/>
                    <w:snapToGrid w:val="0"/>
                    <w:jc w:val="center"/>
                    <w:rPr>
                      <w:b/>
                      <w:bCs/>
                      <w:color w:val="FF0000"/>
                      <w:szCs w:val="21"/>
                      <w:highlight w:val="none"/>
                    </w:rPr>
                  </w:pPr>
                  <w:r>
                    <w:rPr>
                      <w:b/>
                      <w:bCs/>
                      <w:color w:val="FF0000"/>
                      <w:szCs w:val="21"/>
                      <w:highlight w:val="none"/>
                    </w:rPr>
                    <w:t>收集</w:t>
                  </w:r>
                </w:p>
                <w:p w14:paraId="4A981926">
                  <w:pPr>
                    <w:adjustRightInd w:val="0"/>
                    <w:snapToGrid w:val="0"/>
                    <w:jc w:val="center"/>
                    <w:rPr>
                      <w:b/>
                      <w:bCs/>
                      <w:color w:val="FF0000"/>
                      <w:szCs w:val="21"/>
                      <w:highlight w:val="none"/>
                    </w:rPr>
                  </w:pPr>
                  <w:r>
                    <w:rPr>
                      <w:b/>
                      <w:bCs/>
                      <w:color w:val="FF0000"/>
                      <w:szCs w:val="21"/>
                      <w:highlight w:val="none"/>
                    </w:rPr>
                    <w:t>效率</w:t>
                  </w:r>
                </w:p>
              </w:tc>
              <w:tc>
                <w:tcPr>
                  <w:tcW w:w="715" w:type="pct"/>
                  <w:tcBorders>
                    <w:tl2br w:val="nil"/>
                    <w:tr2bl w:val="nil"/>
                  </w:tcBorders>
                  <w:vAlign w:val="center"/>
                </w:tcPr>
                <w:p w14:paraId="5105CA20">
                  <w:pPr>
                    <w:adjustRightInd w:val="0"/>
                    <w:snapToGrid w:val="0"/>
                    <w:jc w:val="center"/>
                    <w:rPr>
                      <w:color w:val="FF0000"/>
                      <w:szCs w:val="21"/>
                      <w:highlight w:val="none"/>
                    </w:rPr>
                  </w:pPr>
                  <w:r>
                    <w:rPr>
                      <w:b/>
                      <w:bCs/>
                      <w:color w:val="FF0000"/>
                      <w:szCs w:val="21"/>
                      <w:highlight w:val="none"/>
                    </w:rPr>
                    <w:t>治理设施</w:t>
                  </w:r>
                </w:p>
              </w:tc>
              <w:tc>
                <w:tcPr>
                  <w:tcW w:w="458" w:type="pct"/>
                  <w:tcBorders>
                    <w:tl2br w:val="nil"/>
                    <w:tr2bl w:val="nil"/>
                  </w:tcBorders>
                  <w:vAlign w:val="center"/>
                </w:tcPr>
                <w:p w14:paraId="3EB8CDE4">
                  <w:pPr>
                    <w:adjustRightInd w:val="0"/>
                    <w:snapToGrid w:val="0"/>
                    <w:jc w:val="center"/>
                    <w:rPr>
                      <w:b/>
                      <w:bCs/>
                      <w:color w:val="FF0000"/>
                      <w:szCs w:val="21"/>
                      <w:highlight w:val="none"/>
                    </w:rPr>
                  </w:pPr>
                  <w:r>
                    <w:rPr>
                      <w:b/>
                      <w:bCs/>
                      <w:color w:val="FF0000"/>
                      <w:szCs w:val="21"/>
                      <w:highlight w:val="none"/>
                    </w:rPr>
                    <w:t>去除效率</w:t>
                  </w:r>
                </w:p>
              </w:tc>
              <w:tc>
                <w:tcPr>
                  <w:tcW w:w="564" w:type="pct"/>
                  <w:tcBorders>
                    <w:tl2br w:val="nil"/>
                    <w:tr2bl w:val="nil"/>
                  </w:tcBorders>
                  <w:vAlign w:val="center"/>
                </w:tcPr>
                <w:p w14:paraId="43E0126B">
                  <w:pPr>
                    <w:widowControl/>
                    <w:jc w:val="center"/>
                    <w:rPr>
                      <w:b/>
                      <w:bCs/>
                      <w:color w:val="FF0000"/>
                      <w:szCs w:val="21"/>
                      <w:highlight w:val="none"/>
                    </w:rPr>
                  </w:pPr>
                  <w:r>
                    <w:rPr>
                      <w:b/>
                      <w:bCs/>
                      <w:color w:val="FF0000"/>
                      <w:szCs w:val="21"/>
                      <w:highlight w:val="none"/>
                    </w:rPr>
                    <w:t>排放量t/a</w:t>
                  </w:r>
                </w:p>
              </w:tc>
              <w:tc>
                <w:tcPr>
                  <w:tcW w:w="503" w:type="pct"/>
                  <w:tcBorders>
                    <w:tl2br w:val="nil"/>
                    <w:tr2bl w:val="nil"/>
                  </w:tcBorders>
                  <w:vAlign w:val="center"/>
                </w:tcPr>
                <w:p w14:paraId="59EE5F39">
                  <w:pPr>
                    <w:widowControl/>
                    <w:jc w:val="center"/>
                    <w:rPr>
                      <w:b/>
                      <w:bCs/>
                      <w:color w:val="FF0000"/>
                      <w:szCs w:val="21"/>
                      <w:highlight w:val="none"/>
                    </w:rPr>
                  </w:pPr>
                  <w:r>
                    <w:rPr>
                      <w:b/>
                      <w:bCs/>
                      <w:color w:val="FF0000"/>
                      <w:szCs w:val="21"/>
                      <w:highlight w:val="none"/>
                    </w:rPr>
                    <w:t>速率kg/h</w:t>
                  </w:r>
                </w:p>
              </w:tc>
              <w:tc>
                <w:tcPr>
                  <w:tcW w:w="590" w:type="pct"/>
                  <w:tcBorders>
                    <w:tl2br w:val="nil"/>
                    <w:tr2bl w:val="nil"/>
                  </w:tcBorders>
                  <w:vAlign w:val="center"/>
                </w:tcPr>
                <w:p w14:paraId="43D78A1E">
                  <w:pPr>
                    <w:widowControl/>
                    <w:jc w:val="center"/>
                    <w:rPr>
                      <w:b/>
                      <w:bCs/>
                      <w:color w:val="FF0000"/>
                      <w:szCs w:val="21"/>
                      <w:highlight w:val="none"/>
                    </w:rPr>
                  </w:pPr>
                  <w:r>
                    <w:rPr>
                      <w:b/>
                      <w:bCs/>
                      <w:color w:val="FF0000"/>
                      <w:szCs w:val="21"/>
                      <w:highlight w:val="none"/>
                    </w:rPr>
                    <w:t>排放</w:t>
                  </w:r>
                </w:p>
                <w:p w14:paraId="183EA912">
                  <w:pPr>
                    <w:widowControl/>
                    <w:jc w:val="center"/>
                    <w:rPr>
                      <w:b/>
                      <w:bCs/>
                      <w:color w:val="FF0000"/>
                      <w:szCs w:val="21"/>
                      <w:highlight w:val="none"/>
                    </w:rPr>
                  </w:pPr>
                  <w:r>
                    <w:rPr>
                      <w:b/>
                      <w:bCs/>
                      <w:color w:val="FF0000"/>
                      <w:szCs w:val="21"/>
                      <w:highlight w:val="none"/>
                    </w:rPr>
                    <w:t>浓度mg/m</w:t>
                  </w:r>
                  <w:r>
                    <w:rPr>
                      <w:b/>
                      <w:bCs/>
                      <w:color w:val="FF0000"/>
                      <w:szCs w:val="21"/>
                      <w:highlight w:val="none"/>
                      <w:vertAlign w:val="superscript"/>
                    </w:rPr>
                    <w:t>3</w:t>
                  </w:r>
                </w:p>
              </w:tc>
            </w:tr>
            <w:tr w14:paraId="499210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6" w:hRule="atLeast"/>
              </w:trPr>
              <w:tc>
                <w:tcPr>
                  <w:tcW w:w="554" w:type="pct"/>
                  <w:tcBorders>
                    <w:tl2br w:val="nil"/>
                    <w:tr2bl w:val="nil"/>
                  </w:tcBorders>
                  <w:vAlign w:val="center"/>
                </w:tcPr>
                <w:p w14:paraId="3522AF56">
                  <w:pPr>
                    <w:adjustRightInd w:val="0"/>
                    <w:snapToGrid w:val="0"/>
                    <w:jc w:val="center"/>
                    <w:rPr>
                      <w:rFonts w:hint="eastAsia" w:eastAsia="宋体"/>
                      <w:color w:val="FF0000"/>
                      <w:szCs w:val="21"/>
                      <w:highlight w:val="none"/>
                      <w:lang w:eastAsia="zh-CN"/>
                    </w:rPr>
                  </w:pPr>
                  <w:r>
                    <w:rPr>
                      <w:rFonts w:hint="eastAsia"/>
                      <w:color w:val="FF0000"/>
                      <w:szCs w:val="21"/>
                      <w:highlight w:val="none"/>
                      <w:lang w:val="en-US" w:eastAsia="zh-CN"/>
                    </w:rPr>
                    <w:t>给料机上料</w:t>
                  </w:r>
                </w:p>
              </w:tc>
              <w:tc>
                <w:tcPr>
                  <w:tcW w:w="591" w:type="pct"/>
                  <w:tcBorders>
                    <w:tl2br w:val="nil"/>
                    <w:tr2bl w:val="nil"/>
                  </w:tcBorders>
                  <w:vAlign w:val="center"/>
                </w:tcPr>
                <w:p w14:paraId="57CA0189">
                  <w:pPr>
                    <w:widowControl/>
                    <w:jc w:val="center"/>
                    <w:textAlignment w:val="center"/>
                    <w:rPr>
                      <w:rFonts w:ascii="Times New Roman" w:hAnsi="Times New Roman" w:eastAsia="宋体" w:cs="Times New Roman"/>
                      <w:color w:val="FF0000"/>
                      <w:kern w:val="0"/>
                      <w:szCs w:val="21"/>
                      <w:highlight w:val="none"/>
                      <w:lang w:bidi="ar"/>
                    </w:rPr>
                  </w:pPr>
                  <w:r>
                    <w:rPr>
                      <w:rFonts w:hint="eastAsia" w:ascii="Times New Roman" w:hAnsi="Times New Roman" w:eastAsia="宋体" w:cs="Times New Roman"/>
                      <w:color w:val="FF0000"/>
                      <w:kern w:val="0"/>
                      <w:szCs w:val="21"/>
                      <w:highlight w:val="none"/>
                      <w:lang w:val="en-US" w:eastAsia="zh-CN" w:bidi="ar"/>
                    </w:rPr>
                    <w:t xml:space="preserve">5.210 </w:t>
                  </w:r>
                </w:p>
              </w:tc>
              <w:tc>
                <w:tcPr>
                  <w:tcW w:w="591" w:type="pct"/>
                  <w:tcBorders>
                    <w:tl2br w:val="nil"/>
                    <w:tr2bl w:val="nil"/>
                  </w:tcBorders>
                  <w:vAlign w:val="center"/>
                </w:tcPr>
                <w:p w14:paraId="5C8C7BC3">
                  <w:pPr>
                    <w:widowControl/>
                    <w:jc w:val="center"/>
                    <w:textAlignment w:val="center"/>
                    <w:rPr>
                      <w:rFonts w:ascii="Times New Roman" w:hAnsi="Times New Roman" w:eastAsia="宋体" w:cs="Times New Roman"/>
                      <w:color w:val="FF0000"/>
                      <w:kern w:val="0"/>
                      <w:szCs w:val="21"/>
                      <w:highlight w:val="none"/>
                      <w:lang w:bidi="ar"/>
                    </w:rPr>
                  </w:pPr>
                  <w:r>
                    <w:rPr>
                      <w:rFonts w:hint="eastAsia" w:ascii="Times New Roman" w:hAnsi="Times New Roman" w:eastAsia="宋体" w:cs="Times New Roman"/>
                      <w:color w:val="FF0000"/>
                      <w:kern w:val="0"/>
                      <w:szCs w:val="21"/>
                      <w:highlight w:val="none"/>
                      <w:lang w:val="en-US" w:eastAsia="zh-CN" w:bidi="ar"/>
                    </w:rPr>
                    <w:t xml:space="preserve">2.714 </w:t>
                  </w:r>
                </w:p>
              </w:tc>
              <w:tc>
                <w:tcPr>
                  <w:tcW w:w="429" w:type="pct"/>
                  <w:tcBorders>
                    <w:tl2br w:val="nil"/>
                    <w:tr2bl w:val="nil"/>
                  </w:tcBorders>
                  <w:vAlign w:val="center"/>
                </w:tcPr>
                <w:p w14:paraId="7303FAD4">
                  <w:pPr>
                    <w:adjustRightInd w:val="0"/>
                    <w:snapToGrid w:val="0"/>
                    <w:jc w:val="center"/>
                    <w:rPr>
                      <w:rFonts w:hint="default" w:eastAsia="宋体"/>
                      <w:color w:val="FF0000"/>
                      <w:szCs w:val="21"/>
                      <w:highlight w:val="none"/>
                      <w:lang w:val="en-US" w:eastAsia="zh-CN"/>
                    </w:rPr>
                  </w:pPr>
                  <w:r>
                    <w:rPr>
                      <w:rFonts w:hint="eastAsia"/>
                      <w:color w:val="FF0000"/>
                      <w:szCs w:val="21"/>
                      <w:highlight w:val="none"/>
                      <w:lang w:val="en-US" w:eastAsia="zh-CN"/>
                    </w:rPr>
                    <w:t>90%</w:t>
                  </w:r>
                </w:p>
              </w:tc>
              <w:tc>
                <w:tcPr>
                  <w:tcW w:w="715" w:type="pct"/>
                  <w:vMerge w:val="restart"/>
                  <w:tcBorders>
                    <w:tl2br w:val="nil"/>
                    <w:tr2bl w:val="nil"/>
                  </w:tcBorders>
                  <w:vAlign w:val="center"/>
                </w:tcPr>
                <w:p w14:paraId="556AEEF9">
                  <w:pPr>
                    <w:widowControl/>
                    <w:jc w:val="center"/>
                    <w:rPr>
                      <w:color w:val="FF0000"/>
                      <w:szCs w:val="21"/>
                      <w:highlight w:val="none"/>
                    </w:rPr>
                  </w:pPr>
                  <w:r>
                    <w:rPr>
                      <w:color w:val="FF0000"/>
                      <w:szCs w:val="21"/>
                      <w:highlight w:val="none"/>
                    </w:rPr>
                    <w:t>集气罩+袋式除尘器+15米高排气筒DA001</w:t>
                  </w:r>
                </w:p>
              </w:tc>
              <w:tc>
                <w:tcPr>
                  <w:tcW w:w="458" w:type="pct"/>
                  <w:tcBorders>
                    <w:tl2br w:val="nil"/>
                    <w:tr2bl w:val="nil"/>
                  </w:tcBorders>
                  <w:vAlign w:val="center"/>
                </w:tcPr>
                <w:p w14:paraId="6B764624">
                  <w:pPr>
                    <w:adjustRightInd w:val="0"/>
                    <w:snapToGrid w:val="0"/>
                    <w:jc w:val="center"/>
                    <w:rPr>
                      <w:rFonts w:hint="eastAsia" w:eastAsia="宋体"/>
                      <w:color w:val="FF0000"/>
                      <w:szCs w:val="21"/>
                      <w:highlight w:val="none"/>
                      <w:lang w:val="en-US" w:eastAsia="zh-CN"/>
                    </w:rPr>
                  </w:pPr>
                  <w:r>
                    <w:rPr>
                      <w:color w:val="FF0000"/>
                      <w:szCs w:val="21"/>
                      <w:highlight w:val="none"/>
                    </w:rPr>
                    <w:t>99</w:t>
                  </w:r>
                  <w:r>
                    <w:rPr>
                      <w:rFonts w:hint="eastAsia"/>
                      <w:color w:val="FF0000"/>
                      <w:szCs w:val="21"/>
                      <w:highlight w:val="none"/>
                      <w:lang w:val="en-US" w:eastAsia="zh-CN"/>
                    </w:rPr>
                    <w:t>%</w:t>
                  </w:r>
                </w:p>
              </w:tc>
              <w:tc>
                <w:tcPr>
                  <w:tcW w:w="564" w:type="pct"/>
                  <w:tcBorders>
                    <w:tl2br w:val="nil"/>
                    <w:tr2bl w:val="nil"/>
                  </w:tcBorders>
                  <w:vAlign w:val="center"/>
                </w:tcPr>
                <w:p w14:paraId="3290A56B">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0.047 </w:t>
                  </w:r>
                </w:p>
              </w:tc>
              <w:tc>
                <w:tcPr>
                  <w:tcW w:w="503" w:type="pct"/>
                  <w:tcBorders>
                    <w:tl2br w:val="nil"/>
                    <w:tr2bl w:val="nil"/>
                  </w:tcBorders>
                  <w:vAlign w:val="center"/>
                </w:tcPr>
                <w:p w14:paraId="75C432B1">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0.024 </w:t>
                  </w:r>
                </w:p>
              </w:tc>
              <w:tc>
                <w:tcPr>
                  <w:tcW w:w="590" w:type="pct"/>
                  <w:tcBorders>
                    <w:tl2br w:val="nil"/>
                    <w:tr2bl w:val="nil"/>
                  </w:tcBorders>
                  <w:vAlign w:val="center"/>
                </w:tcPr>
                <w:p w14:paraId="7078245E">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1.2 </w:t>
                  </w:r>
                </w:p>
              </w:tc>
            </w:tr>
            <w:tr w14:paraId="3826D7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7" w:hRule="atLeast"/>
              </w:trPr>
              <w:tc>
                <w:tcPr>
                  <w:tcW w:w="554" w:type="pct"/>
                  <w:tcBorders>
                    <w:tl2br w:val="nil"/>
                    <w:tr2bl w:val="nil"/>
                  </w:tcBorders>
                  <w:vAlign w:val="center"/>
                </w:tcPr>
                <w:p w14:paraId="5EF0A7D5">
                  <w:pPr>
                    <w:widowControl/>
                    <w:jc w:val="center"/>
                    <w:rPr>
                      <w:color w:val="FF0000"/>
                      <w:szCs w:val="21"/>
                      <w:highlight w:val="none"/>
                    </w:rPr>
                  </w:pPr>
                  <w:r>
                    <w:rPr>
                      <w:rFonts w:hint="eastAsia"/>
                      <w:color w:val="FF0000"/>
                      <w:szCs w:val="21"/>
                      <w:highlight w:val="none"/>
                      <w:lang w:val="en-US" w:eastAsia="zh-CN"/>
                    </w:rPr>
                    <w:t>碎石</w:t>
                  </w:r>
                  <w:r>
                    <w:rPr>
                      <w:rFonts w:hint="eastAsia"/>
                      <w:color w:val="FF0000"/>
                      <w:szCs w:val="21"/>
                      <w:highlight w:val="none"/>
                    </w:rPr>
                    <w:t>加工及转运</w:t>
                  </w:r>
                </w:p>
              </w:tc>
              <w:tc>
                <w:tcPr>
                  <w:tcW w:w="591" w:type="pct"/>
                  <w:tcBorders>
                    <w:tl2br w:val="nil"/>
                    <w:tr2bl w:val="nil"/>
                  </w:tcBorders>
                  <w:vAlign w:val="center"/>
                </w:tcPr>
                <w:p w14:paraId="782F8579">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491.400 </w:t>
                  </w:r>
                </w:p>
              </w:tc>
              <w:tc>
                <w:tcPr>
                  <w:tcW w:w="591" w:type="pct"/>
                  <w:tcBorders>
                    <w:tl2br w:val="nil"/>
                    <w:tr2bl w:val="nil"/>
                  </w:tcBorders>
                  <w:vAlign w:val="center"/>
                </w:tcPr>
                <w:p w14:paraId="2BFC5A8B">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255.938 </w:t>
                  </w:r>
                </w:p>
              </w:tc>
              <w:tc>
                <w:tcPr>
                  <w:tcW w:w="429" w:type="pct"/>
                  <w:tcBorders>
                    <w:tl2br w:val="nil"/>
                    <w:tr2bl w:val="nil"/>
                  </w:tcBorders>
                  <w:vAlign w:val="center"/>
                </w:tcPr>
                <w:p w14:paraId="1C04054B">
                  <w:pPr>
                    <w:adjustRightInd w:val="0"/>
                    <w:snapToGrid w:val="0"/>
                    <w:jc w:val="center"/>
                    <w:rPr>
                      <w:color w:val="FF0000"/>
                      <w:szCs w:val="21"/>
                      <w:highlight w:val="none"/>
                    </w:rPr>
                  </w:pPr>
                  <w:r>
                    <w:rPr>
                      <w:rFonts w:hint="eastAsia"/>
                      <w:color w:val="FF0000"/>
                      <w:szCs w:val="21"/>
                      <w:highlight w:val="none"/>
                      <w:lang w:val="en-US" w:eastAsia="zh-CN"/>
                    </w:rPr>
                    <w:t>90%</w:t>
                  </w:r>
                </w:p>
              </w:tc>
              <w:tc>
                <w:tcPr>
                  <w:tcW w:w="715" w:type="pct"/>
                  <w:vMerge w:val="continue"/>
                  <w:tcBorders>
                    <w:tl2br w:val="nil"/>
                    <w:tr2bl w:val="nil"/>
                  </w:tcBorders>
                  <w:vAlign w:val="center"/>
                </w:tcPr>
                <w:p w14:paraId="1BFDF82D">
                  <w:pPr>
                    <w:widowControl/>
                    <w:jc w:val="center"/>
                    <w:rPr>
                      <w:color w:val="FF0000"/>
                      <w:szCs w:val="21"/>
                      <w:highlight w:val="none"/>
                    </w:rPr>
                  </w:pPr>
                </w:p>
              </w:tc>
              <w:tc>
                <w:tcPr>
                  <w:tcW w:w="458" w:type="pct"/>
                  <w:tcBorders>
                    <w:tl2br w:val="nil"/>
                    <w:tr2bl w:val="nil"/>
                  </w:tcBorders>
                  <w:vAlign w:val="center"/>
                </w:tcPr>
                <w:p w14:paraId="1CDB91A7">
                  <w:pPr>
                    <w:adjustRightInd w:val="0"/>
                    <w:snapToGrid w:val="0"/>
                    <w:jc w:val="center"/>
                    <w:rPr>
                      <w:color w:val="FF0000"/>
                      <w:szCs w:val="21"/>
                      <w:highlight w:val="none"/>
                    </w:rPr>
                  </w:pPr>
                  <w:r>
                    <w:rPr>
                      <w:color w:val="FF0000"/>
                      <w:szCs w:val="21"/>
                      <w:highlight w:val="none"/>
                    </w:rPr>
                    <w:t>99</w:t>
                  </w:r>
                  <w:r>
                    <w:rPr>
                      <w:rFonts w:hint="eastAsia"/>
                      <w:color w:val="FF0000"/>
                      <w:szCs w:val="21"/>
                      <w:highlight w:val="none"/>
                      <w:lang w:val="en-US" w:eastAsia="zh-CN"/>
                    </w:rPr>
                    <w:t>%</w:t>
                  </w:r>
                </w:p>
              </w:tc>
              <w:tc>
                <w:tcPr>
                  <w:tcW w:w="564" w:type="pct"/>
                  <w:tcBorders>
                    <w:tl2br w:val="nil"/>
                    <w:tr2bl w:val="nil"/>
                  </w:tcBorders>
                  <w:vAlign w:val="center"/>
                </w:tcPr>
                <w:p w14:paraId="4D9E297B">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4.423 </w:t>
                  </w:r>
                </w:p>
              </w:tc>
              <w:tc>
                <w:tcPr>
                  <w:tcW w:w="503" w:type="pct"/>
                  <w:tcBorders>
                    <w:tl2br w:val="nil"/>
                    <w:tr2bl w:val="nil"/>
                  </w:tcBorders>
                  <w:vAlign w:val="center"/>
                </w:tcPr>
                <w:p w14:paraId="464118C6">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2.303 </w:t>
                  </w:r>
                </w:p>
              </w:tc>
              <w:tc>
                <w:tcPr>
                  <w:tcW w:w="590" w:type="pct"/>
                  <w:tcBorders>
                    <w:tl2br w:val="nil"/>
                    <w:tr2bl w:val="nil"/>
                  </w:tcBorders>
                  <w:vAlign w:val="center"/>
                </w:tcPr>
                <w:p w14:paraId="386B563D">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115.15 </w:t>
                  </w:r>
                </w:p>
              </w:tc>
            </w:tr>
            <w:tr w14:paraId="70FFE3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7" w:hRule="atLeast"/>
              </w:trPr>
              <w:tc>
                <w:tcPr>
                  <w:tcW w:w="3341" w:type="pct"/>
                  <w:gridSpan w:val="6"/>
                  <w:tcBorders>
                    <w:tl2br w:val="nil"/>
                    <w:tr2bl w:val="nil"/>
                  </w:tcBorders>
                  <w:vAlign w:val="center"/>
                </w:tcPr>
                <w:p w14:paraId="04311BCB">
                  <w:pPr>
                    <w:adjustRightInd w:val="0"/>
                    <w:snapToGrid w:val="0"/>
                    <w:jc w:val="center"/>
                    <w:rPr>
                      <w:rFonts w:hint="default" w:eastAsia="宋体"/>
                      <w:color w:val="FF0000"/>
                      <w:szCs w:val="21"/>
                      <w:highlight w:val="none"/>
                      <w:lang w:val="en-US" w:eastAsia="zh-CN"/>
                    </w:rPr>
                  </w:pPr>
                  <w:r>
                    <w:rPr>
                      <w:rFonts w:hint="eastAsia"/>
                      <w:color w:val="FF0000"/>
                      <w:szCs w:val="21"/>
                      <w:highlight w:val="none"/>
                      <w:lang w:val="en-US" w:eastAsia="zh-CN"/>
                    </w:rPr>
                    <w:t>DA001</w:t>
                  </w:r>
                </w:p>
              </w:tc>
              <w:tc>
                <w:tcPr>
                  <w:tcW w:w="564" w:type="pct"/>
                  <w:tcBorders>
                    <w:tl2br w:val="nil"/>
                    <w:tr2bl w:val="nil"/>
                  </w:tcBorders>
                  <w:vAlign w:val="center"/>
                </w:tcPr>
                <w:p w14:paraId="798C9AB0">
                  <w:pPr>
                    <w:adjustRightInd w:val="0"/>
                    <w:snapToGrid w:val="0"/>
                    <w:jc w:val="center"/>
                    <w:rPr>
                      <w:rFonts w:hint="default"/>
                      <w:color w:val="FF0000"/>
                      <w:szCs w:val="21"/>
                      <w:highlight w:val="none"/>
                      <w:lang w:val="en-US" w:eastAsia="zh-CN"/>
                    </w:rPr>
                  </w:pPr>
                  <w:r>
                    <w:rPr>
                      <w:rFonts w:hint="eastAsia"/>
                      <w:color w:val="FF0000"/>
                      <w:szCs w:val="21"/>
                      <w:highlight w:val="none"/>
                      <w:lang w:val="en-US" w:eastAsia="zh-CN"/>
                    </w:rPr>
                    <w:t>4.47</w:t>
                  </w:r>
                </w:p>
              </w:tc>
              <w:tc>
                <w:tcPr>
                  <w:tcW w:w="503" w:type="pct"/>
                  <w:tcBorders>
                    <w:tl2br w:val="nil"/>
                    <w:tr2bl w:val="nil"/>
                  </w:tcBorders>
                  <w:vAlign w:val="center"/>
                </w:tcPr>
                <w:p w14:paraId="1063C10E">
                  <w:pPr>
                    <w:adjustRightInd w:val="0"/>
                    <w:snapToGrid w:val="0"/>
                    <w:jc w:val="center"/>
                    <w:rPr>
                      <w:rFonts w:hint="default"/>
                      <w:color w:val="FF0000"/>
                      <w:szCs w:val="21"/>
                      <w:highlight w:val="none"/>
                      <w:lang w:val="en-US" w:eastAsia="zh-CN"/>
                    </w:rPr>
                  </w:pPr>
                  <w:r>
                    <w:rPr>
                      <w:rFonts w:hint="eastAsia"/>
                      <w:color w:val="FF0000"/>
                      <w:szCs w:val="21"/>
                      <w:highlight w:val="none"/>
                      <w:lang w:val="en-US" w:eastAsia="zh-CN"/>
                    </w:rPr>
                    <w:t>2.327</w:t>
                  </w:r>
                </w:p>
              </w:tc>
              <w:tc>
                <w:tcPr>
                  <w:tcW w:w="590" w:type="pct"/>
                  <w:tcBorders>
                    <w:tl2br w:val="nil"/>
                    <w:tr2bl w:val="nil"/>
                  </w:tcBorders>
                  <w:vAlign w:val="center"/>
                </w:tcPr>
                <w:p w14:paraId="37E5160A">
                  <w:pPr>
                    <w:adjustRightInd w:val="0"/>
                    <w:snapToGrid w:val="0"/>
                    <w:jc w:val="center"/>
                    <w:rPr>
                      <w:rFonts w:hint="default"/>
                      <w:color w:val="FF0000"/>
                      <w:szCs w:val="21"/>
                      <w:highlight w:val="none"/>
                      <w:lang w:val="en-US" w:eastAsia="zh-CN"/>
                    </w:rPr>
                  </w:pPr>
                  <w:r>
                    <w:rPr>
                      <w:rFonts w:hint="eastAsia"/>
                      <w:color w:val="FF0000"/>
                      <w:szCs w:val="21"/>
                      <w:highlight w:val="none"/>
                      <w:lang w:val="en-US" w:eastAsia="zh-CN"/>
                    </w:rPr>
                    <w:t>116.35</w:t>
                  </w:r>
                </w:p>
              </w:tc>
            </w:tr>
          </w:tbl>
          <w:p w14:paraId="4BA164E3">
            <w:pPr>
              <w:widowControl/>
              <w:numPr>
                <w:ilvl w:val="0"/>
                <w:numId w:val="0"/>
              </w:numPr>
              <w:spacing w:line="360" w:lineRule="auto"/>
              <w:ind w:firstLine="480" w:firstLineChars="200"/>
              <w:jc w:val="left"/>
              <w:rPr>
                <w:color w:val="auto"/>
                <w:sz w:val="24"/>
                <w:highlight w:val="none"/>
              </w:rPr>
            </w:pPr>
            <w:r>
              <w:rPr>
                <w:rFonts w:hint="default" w:ascii="Times New Roman" w:hAnsi="Times New Roman" w:eastAsia="宋体" w:cs="Times New Roman"/>
                <w:color w:val="auto"/>
                <w:kern w:val="2"/>
                <w:sz w:val="24"/>
                <w:szCs w:val="24"/>
                <w:highlight w:val="none"/>
                <w:lang w:val="en-US" w:eastAsia="zh-CN" w:bidi="ar-SA"/>
              </w:rPr>
              <w:t>（</w:t>
            </w:r>
            <w:r>
              <w:rPr>
                <w:rFonts w:hint="eastAsia" w:cs="Times New Roman"/>
                <w:color w:val="auto"/>
                <w:kern w:val="2"/>
                <w:sz w:val="24"/>
                <w:szCs w:val="24"/>
                <w:highlight w:val="none"/>
                <w:lang w:val="en-US" w:eastAsia="zh-CN" w:bidi="ar-SA"/>
              </w:rPr>
              <w:t>6</w:t>
            </w:r>
            <w:r>
              <w:rPr>
                <w:rFonts w:hint="default" w:ascii="Times New Roman" w:hAnsi="Times New Roman" w:eastAsia="宋体" w:cs="Times New Roman"/>
                <w:color w:val="auto"/>
                <w:kern w:val="2"/>
                <w:sz w:val="24"/>
                <w:szCs w:val="24"/>
                <w:highlight w:val="none"/>
                <w:lang w:val="en-US" w:eastAsia="zh-CN" w:bidi="ar-SA"/>
              </w:rPr>
              <w:t>）</w:t>
            </w:r>
            <w:r>
              <w:rPr>
                <w:rFonts w:hint="eastAsia" w:ascii="Times New Roman" w:hAnsi="Times New Roman" w:cs="Times New Roman"/>
                <w:color w:val="auto"/>
                <w:sz w:val="24"/>
                <w:highlight w:val="none"/>
                <w:lang w:val="en-US"/>
              </w:rPr>
              <w:t>成品库落料、暂存粉尘和装货粉尘</w:t>
            </w:r>
          </w:p>
          <w:p w14:paraId="4949B606">
            <w:pPr>
              <w:widowControl/>
              <w:spacing w:line="360" w:lineRule="auto"/>
              <w:ind w:firstLine="480" w:firstLineChars="200"/>
              <w:jc w:val="both"/>
              <w:rPr>
                <w:color w:val="auto"/>
                <w:sz w:val="24"/>
                <w:highlight w:val="none"/>
              </w:rPr>
            </w:pPr>
            <w:r>
              <w:rPr>
                <w:rFonts w:hint="eastAsia"/>
                <w:color w:val="auto"/>
                <w:sz w:val="24"/>
                <w:highlight w:val="none"/>
              </w:rPr>
              <w:t>成品采用</w:t>
            </w:r>
            <w:r>
              <w:rPr>
                <w:rFonts w:hint="eastAsia" w:cs="Times New Roman"/>
                <w:color w:val="auto"/>
                <w:kern w:val="0"/>
                <w:sz w:val="24"/>
                <w:szCs w:val="24"/>
                <w:highlight w:val="none"/>
                <w:lang w:val="en-US" w:eastAsia="zh-CN" w:bidi="ar"/>
              </w:rPr>
              <w:t>全封闭</w:t>
            </w:r>
            <w:r>
              <w:rPr>
                <w:color w:val="auto"/>
                <w:sz w:val="24"/>
                <w:highlight w:val="none"/>
              </w:rPr>
              <w:t>皮带廊</w:t>
            </w:r>
            <w:r>
              <w:rPr>
                <w:rFonts w:hint="eastAsia"/>
                <w:color w:val="auto"/>
                <w:sz w:val="24"/>
                <w:highlight w:val="none"/>
              </w:rPr>
              <w:t>运输至</w:t>
            </w:r>
            <w:r>
              <w:rPr>
                <w:rFonts w:hint="eastAsia"/>
                <w:color w:val="auto"/>
                <w:sz w:val="24"/>
                <w:highlight w:val="none"/>
                <w:lang w:val="en-US" w:eastAsia="zh-CN"/>
              </w:rPr>
              <w:t>全</w:t>
            </w:r>
            <w:r>
              <w:rPr>
                <w:color w:val="auto"/>
                <w:sz w:val="24"/>
                <w:highlight w:val="none"/>
              </w:rPr>
              <w:t>封闭式</w:t>
            </w:r>
            <w:r>
              <w:rPr>
                <w:rFonts w:hint="eastAsia"/>
                <w:color w:val="auto"/>
                <w:sz w:val="24"/>
                <w:highlight w:val="none"/>
              </w:rPr>
              <w:t>成品库</w:t>
            </w:r>
            <w:r>
              <w:rPr>
                <w:color w:val="auto"/>
                <w:sz w:val="24"/>
                <w:highlight w:val="none"/>
              </w:rPr>
              <w:t>贮存，外运车辆库内装车，并配置</w:t>
            </w:r>
            <w:r>
              <w:rPr>
                <w:rFonts w:hint="eastAsia"/>
                <w:color w:val="auto"/>
                <w:sz w:val="24"/>
                <w:highlight w:val="none"/>
              </w:rPr>
              <w:t>雾炮机</w:t>
            </w:r>
            <w:r>
              <w:rPr>
                <w:color w:val="auto"/>
                <w:sz w:val="24"/>
                <w:highlight w:val="none"/>
              </w:rPr>
              <w:t>在</w:t>
            </w:r>
            <w:r>
              <w:rPr>
                <w:rFonts w:hint="eastAsia"/>
                <w:color w:val="auto"/>
                <w:sz w:val="24"/>
                <w:highlight w:val="none"/>
              </w:rPr>
              <w:t>成品库</w:t>
            </w:r>
            <w:r>
              <w:rPr>
                <w:color w:val="auto"/>
                <w:sz w:val="24"/>
                <w:highlight w:val="none"/>
              </w:rPr>
              <w:t>进行洒水抑尘，另要求运输车辆加盖苫布运输。</w:t>
            </w:r>
          </w:p>
          <w:p w14:paraId="053D809B">
            <w:pPr>
              <w:widowControl/>
              <w:spacing w:line="360" w:lineRule="auto"/>
              <w:ind w:firstLine="480" w:firstLineChars="200"/>
              <w:jc w:val="both"/>
              <w:rPr>
                <w:color w:val="auto"/>
                <w:sz w:val="24"/>
                <w:highlight w:val="none"/>
              </w:rPr>
            </w:pPr>
            <w:r>
              <w:rPr>
                <w:color w:val="auto"/>
                <w:sz w:val="24"/>
                <w:highlight w:val="none"/>
              </w:rPr>
              <w:t>根据《逸散性工业粉尘控制技术》（中国环境科学出版社，1989）第十八章粒料加工厂章节的介绍，</w:t>
            </w:r>
            <w:r>
              <w:rPr>
                <w:rFonts w:hint="eastAsia"/>
                <w:color w:val="auto"/>
                <w:sz w:val="24"/>
                <w:highlight w:val="none"/>
              </w:rPr>
              <w:t>砂和砾石</w:t>
            </w:r>
            <w:r>
              <w:rPr>
                <w:color w:val="auto"/>
                <w:sz w:val="24"/>
                <w:highlight w:val="none"/>
              </w:rPr>
              <w:t>贮存环</w:t>
            </w:r>
            <w:r>
              <w:rPr>
                <w:rFonts w:hint="eastAsia"/>
                <w:color w:val="auto"/>
                <w:sz w:val="24"/>
                <w:highlight w:val="none"/>
              </w:rPr>
              <w:t>节</w:t>
            </w:r>
            <w:r>
              <w:rPr>
                <w:color w:val="auto"/>
                <w:sz w:val="24"/>
                <w:highlight w:val="none"/>
              </w:rPr>
              <w:t>颗粒物产污系数为0.000</w:t>
            </w:r>
            <w:r>
              <w:rPr>
                <w:rFonts w:hint="eastAsia"/>
                <w:color w:val="auto"/>
                <w:sz w:val="24"/>
                <w:highlight w:val="none"/>
              </w:rPr>
              <w:t>6</w:t>
            </w:r>
            <w:r>
              <w:rPr>
                <w:color w:val="auto"/>
                <w:sz w:val="24"/>
                <w:highlight w:val="none"/>
              </w:rPr>
              <w:t>kg/t，装料系数为0.0</w:t>
            </w:r>
            <w:r>
              <w:rPr>
                <w:rFonts w:hint="eastAsia"/>
                <w:color w:val="auto"/>
                <w:sz w:val="24"/>
                <w:highlight w:val="none"/>
              </w:rPr>
              <w:t>1</w:t>
            </w:r>
            <w:r>
              <w:rPr>
                <w:color w:val="auto"/>
                <w:sz w:val="24"/>
                <w:highlight w:val="none"/>
              </w:rPr>
              <w:t>kg/t，</w:t>
            </w:r>
            <w:r>
              <w:rPr>
                <w:rFonts w:hint="eastAsia"/>
                <w:color w:val="auto"/>
                <w:sz w:val="24"/>
                <w:highlight w:val="none"/>
              </w:rPr>
              <w:t>本项目产品共计</w:t>
            </w:r>
            <w:r>
              <w:rPr>
                <w:rFonts w:hint="eastAsia"/>
                <w:color w:val="auto"/>
                <w:sz w:val="24"/>
                <w:highlight w:val="none"/>
                <w:lang w:val="en-US" w:eastAsia="zh-CN"/>
              </w:rPr>
              <w:t>260</w:t>
            </w:r>
            <w:r>
              <w:rPr>
                <w:rFonts w:hint="eastAsia"/>
                <w:color w:val="auto"/>
                <w:sz w:val="24"/>
                <w:highlight w:val="none"/>
              </w:rPr>
              <w:t>000t，</w:t>
            </w:r>
            <w:r>
              <w:rPr>
                <w:color w:val="auto"/>
                <w:sz w:val="24"/>
                <w:highlight w:val="none"/>
              </w:rPr>
              <w:t>则</w:t>
            </w:r>
            <w:r>
              <w:rPr>
                <w:rFonts w:hint="eastAsia"/>
                <w:color w:val="auto"/>
                <w:sz w:val="24"/>
                <w:highlight w:val="none"/>
              </w:rPr>
              <w:t>成品库</w:t>
            </w:r>
            <w:r>
              <w:rPr>
                <w:color w:val="auto"/>
                <w:sz w:val="24"/>
                <w:highlight w:val="none"/>
              </w:rPr>
              <w:t>落料</w:t>
            </w:r>
            <w:r>
              <w:rPr>
                <w:rFonts w:hint="eastAsia"/>
                <w:color w:val="auto"/>
                <w:sz w:val="24"/>
                <w:highlight w:val="none"/>
              </w:rPr>
              <w:t>、</w:t>
            </w:r>
            <w:r>
              <w:rPr>
                <w:color w:val="auto"/>
                <w:sz w:val="24"/>
                <w:highlight w:val="none"/>
              </w:rPr>
              <w:t>暂存粉尘的</w:t>
            </w:r>
            <w:r>
              <w:rPr>
                <w:rFonts w:hint="eastAsia"/>
                <w:color w:val="auto"/>
                <w:sz w:val="24"/>
                <w:highlight w:val="none"/>
              </w:rPr>
              <w:t>产生量为0.1</w:t>
            </w:r>
            <w:r>
              <w:rPr>
                <w:rFonts w:hint="eastAsia"/>
                <w:color w:val="auto"/>
                <w:sz w:val="24"/>
                <w:highlight w:val="none"/>
                <w:lang w:val="en-US" w:eastAsia="zh-CN"/>
              </w:rPr>
              <w:t>56</w:t>
            </w:r>
            <w:r>
              <w:rPr>
                <w:rFonts w:hint="eastAsia"/>
                <w:color w:val="auto"/>
                <w:sz w:val="24"/>
                <w:highlight w:val="none"/>
              </w:rPr>
              <w:t>t/a；装车粉尘的产生量为</w:t>
            </w:r>
            <w:r>
              <w:rPr>
                <w:rFonts w:hint="eastAsia"/>
                <w:color w:val="auto"/>
                <w:sz w:val="24"/>
                <w:highlight w:val="none"/>
                <w:lang w:val="en-US" w:eastAsia="zh-CN"/>
              </w:rPr>
              <w:t>2.600</w:t>
            </w:r>
            <w:r>
              <w:rPr>
                <w:color w:val="auto"/>
                <w:sz w:val="24"/>
                <w:highlight w:val="none"/>
              </w:rPr>
              <w:t>t/a</w:t>
            </w:r>
            <w:r>
              <w:rPr>
                <w:rFonts w:hint="eastAsia"/>
                <w:color w:val="auto"/>
                <w:sz w:val="24"/>
                <w:highlight w:val="none"/>
              </w:rPr>
              <w:t>。</w:t>
            </w:r>
          </w:p>
          <w:p w14:paraId="40E28D52">
            <w:pPr>
              <w:widowControl/>
              <w:spacing w:line="360" w:lineRule="auto"/>
              <w:ind w:firstLine="482" w:firstLineChars="200"/>
              <w:jc w:val="both"/>
              <w:rPr>
                <w:rFonts w:hint="eastAsia"/>
                <w:color w:val="000000" w:themeColor="text1"/>
                <w:sz w:val="24"/>
                <w:highlight w:val="none"/>
                <w14:textFill>
                  <w14:solidFill>
                    <w14:schemeClr w14:val="tx1"/>
                  </w14:solidFill>
                </w14:textFill>
              </w:rPr>
            </w:pPr>
            <w:r>
              <w:rPr>
                <w:rFonts w:hint="eastAsia"/>
                <w:b/>
                <w:bCs/>
                <w:color w:val="auto"/>
                <w:kern w:val="0"/>
                <w:sz w:val="24"/>
                <w:highlight w:val="none"/>
                <w:lang w:bidi="ar"/>
              </w:rPr>
              <w:t>拟采取的措施：</w:t>
            </w:r>
            <w:r>
              <w:rPr>
                <w:color w:val="auto"/>
                <w:sz w:val="24"/>
                <w:highlight w:val="none"/>
              </w:rPr>
              <w:t>项目在</w:t>
            </w:r>
            <w:r>
              <w:rPr>
                <w:rFonts w:hint="eastAsia"/>
                <w:color w:val="auto"/>
                <w:sz w:val="24"/>
                <w:highlight w:val="none"/>
                <w:lang w:val="en-US" w:eastAsia="zh-CN"/>
              </w:rPr>
              <w:t>全</w:t>
            </w:r>
            <w:r>
              <w:rPr>
                <w:color w:val="auto"/>
                <w:sz w:val="24"/>
                <w:highlight w:val="none"/>
              </w:rPr>
              <w:t>封闭</w:t>
            </w:r>
            <w:r>
              <w:rPr>
                <w:rFonts w:hint="eastAsia"/>
                <w:color w:val="auto"/>
                <w:sz w:val="24"/>
                <w:highlight w:val="none"/>
              </w:rPr>
              <w:t>成品库</w:t>
            </w:r>
            <w:r>
              <w:rPr>
                <w:color w:val="auto"/>
                <w:sz w:val="24"/>
                <w:highlight w:val="none"/>
              </w:rPr>
              <w:t>内进行贮存和装车，本项目送料入库的</w:t>
            </w:r>
            <w:r>
              <w:rPr>
                <w:rFonts w:hint="eastAsia" w:cs="Times New Roman"/>
                <w:color w:val="auto"/>
                <w:kern w:val="0"/>
                <w:sz w:val="24"/>
                <w:szCs w:val="24"/>
                <w:highlight w:val="none"/>
                <w:lang w:val="en-US" w:eastAsia="zh-CN" w:bidi="ar"/>
              </w:rPr>
              <w:t>全封闭</w:t>
            </w:r>
            <w:r>
              <w:rPr>
                <w:color w:val="auto"/>
                <w:sz w:val="24"/>
                <w:highlight w:val="none"/>
              </w:rPr>
              <w:t>皮带为可调节高度设计，落料高度控制在≤0.5m。由于粉尘物质密度较大，粉尘一段距离内即可沉降，并配置</w:t>
            </w:r>
            <w:r>
              <w:rPr>
                <w:rFonts w:hint="eastAsia"/>
                <w:color w:val="auto"/>
                <w:sz w:val="24"/>
                <w:highlight w:val="none"/>
              </w:rPr>
              <w:t>雾炮机</w:t>
            </w:r>
            <w:r>
              <w:rPr>
                <w:color w:val="auto"/>
                <w:sz w:val="24"/>
                <w:highlight w:val="none"/>
              </w:rPr>
              <w:t>洒水</w:t>
            </w:r>
            <w:r>
              <w:rPr>
                <w:rFonts w:hint="eastAsia"/>
                <w:color w:val="auto"/>
                <w:sz w:val="24"/>
                <w:highlight w:val="none"/>
              </w:rPr>
              <w:t>抑尘，</w:t>
            </w:r>
            <w:r>
              <w:rPr>
                <w:color w:val="auto"/>
                <w:sz w:val="24"/>
                <w:highlight w:val="none"/>
              </w:rPr>
              <w:t>项目无组织粉尘沉降效率可达到80%，</w:t>
            </w:r>
            <w:r>
              <w:rPr>
                <w:rFonts w:hint="eastAsia"/>
                <w:color w:val="auto"/>
                <w:sz w:val="24"/>
                <w:highlight w:val="none"/>
              </w:rPr>
              <w:t>故成品库落料、暂存粉尘</w:t>
            </w:r>
            <w:r>
              <w:rPr>
                <w:color w:val="auto"/>
                <w:sz w:val="24"/>
                <w:highlight w:val="none"/>
              </w:rPr>
              <w:t>最终排放量为0.</w:t>
            </w:r>
            <w:r>
              <w:rPr>
                <w:rFonts w:hint="eastAsia"/>
                <w:color w:val="auto"/>
                <w:sz w:val="24"/>
                <w:highlight w:val="none"/>
              </w:rPr>
              <w:t>0</w:t>
            </w:r>
            <w:r>
              <w:rPr>
                <w:rFonts w:hint="eastAsia"/>
                <w:color w:val="auto"/>
                <w:sz w:val="24"/>
                <w:highlight w:val="none"/>
                <w:lang w:val="en-US" w:eastAsia="zh-CN"/>
              </w:rPr>
              <w:t>31</w:t>
            </w:r>
            <w:r>
              <w:rPr>
                <w:color w:val="auto"/>
                <w:sz w:val="24"/>
                <w:highlight w:val="none"/>
              </w:rPr>
              <w:t>t/a，</w:t>
            </w:r>
            <w:r>
              <w:rPr>
                <w:rFonts w:hint="eastAsia"/>
                <w:color w:val="auto"/>
                <w:kern w:val="0"/>
                <w:sz w:val="24"/>
                <w:highlight w:val="none"/>
                <w:lang w:bidi="ar"/>
              </w:rPr>
              <w:t>排放速率为</w:t>
            </w:r>
            <w:r>
              <w:rPr>
                <w:rFonts w:hint="eastAsia"/>
                <w:color w:val="auto"/>
                <w:sz w:val="24"/>
                <w:highlight w:val="none"/>
              </w:rPr>
              <w:t>0.</w:t>
            </w:r>
            <w:r>
              <w:rPr>
                <w:rFonts w:hint="eastAsia"/>
                <w:color w:val="auto"/>
                <w:sz w:val="24"/>
                <w:highlight w:val="none"/>
                <w:lang w:val="en-US" w:eastAsia="zh-CN"/>
              </w:rPr>
              <w:t>004</w:t>
            </w:r>
            <w:r>
              <w:rPr>
                <w:color w:val="auto"/>
                <w:sz w:val="24"/>
                <w:highlight w:val="none"/>
              </w:rPr>
              <w:t>kg/h；</w:t>
            </w:r>
            <w:r>
              <w:rPr>
                <w:rFonts w:hint="eastAsia"/>
                <w:color w:val="auto"/>
                <w:sz w:val="24"/>
                <w:highlight w:val="none"/>
              </w:rPr>
              <w:t>装货粉尘</w:t>
            </w:r>
            <w:r>
              <w:rPr>
                <w:color w:val="auto"/>
                <w:sz w:val="24"/>
                <w:highlight w:val="none"/>
              </w:rPr>
              <w:t>的最终排放量为</w:t>
            </w:r>
            <w:r>
              <w:rPr>
                <w:rFonts w:hint="eastAsia"/>
                <w:color w:val="auto"/>
                <w:sz w:val="24"/>
                <w:highlight w:val="none"/>
              </w:rPr>
              <w:t>0.</w:t>
            </w:r>
            <w:r>
              <w:rPr>
                <w:rFonts w:hint="eastAsia"/>
                <w:color w:val="auto"/>
                <w:sz w:val="24"/>
                <w:highlight w:val="none"/>
                <w:lang w:val="en-US" w:eastAsia="zh-CN"/>
              </w:rPr>
              <w:t>520</w:t>
            </w:r>
            <w:r>
              <w:rPr>
                <w:color w:val="auto"/>
                <w:sz w:val="24"/>
                <w:highlight w:val="none"/>
              </w:rPr>
              <w:t>t/a，</w:t>
            </w:r>
            <w:r>
              <w:rPr>
                <w:rFonts w:hint="eastAsia"/>
                <w:color w:val="auto"/>
                <w:kern w:val="0"/>
                <w:sz w:val="24"/>
                <w:highlight w:val="none"/>
                <w:lang w:bidi="ar"/>
              </w:rPr>
              <w:t>排放速率为</w:t>
            </w:r>
            <w:r>
              <w:rPr>
                <w:rFonts w:hint="eastAsia"/>
                <w:color w:val="auto"/>
                <w:sz w:val="24"/>
                <w:highlight w:val="none"/>
              </w:rPr>
              <w:t>0.</w:t>
            </w:r>
            <w:r>
              <w:rPr>
                <w:rFonts w:hint="eastAsia"/>
                <w:color w:val="auto"/>
                <w:sz w:val="24"/>
                <w:highlight w:val="none"/>
                <w:lang w:val="en-US" w:eastAsia="zh-CN"/>
              </w:rPr>
              <w:t>271</w:t>
            </w:r>
            <w:r>
              <w:rPr>
                <w:color w:val="auto"/>
                <w:sz w:val="24"/>
                <w:highlight w:val="none"/>
              </w:rPr>
              <w:t>kg/h。</w:t>
            </w:r>
            <w:r>
              <w:rPr>
                <w:rFonts w:hint="eastAsia"/>
                <w:color w:val="auto"/>
                <w:sz w:val="24"/>
                <w:highlight w:val="none"/>
              </w:rPr>
              <w:t>该工序产生的粉尘</w:t>
            </w:r>
            <w:r>
              <w:rPr>
                <w:color w:val="auto"/>
                <w:sz w:val="24"/>
                <w:highlight w:val="none"/>
              </w:rPr>
              <w:t>以无组织形式逸散</w:t>
            </w:r>
            <w:r>
              <w:rPr>
                <w:rFonts w:hint="eastAsia"/>
                <w:color w:val="auto"/>
                <w:sz w:val="24"/>
                <w:highlight w:val="none"/>
              </w:rPr>
              <w:t>。</w:t>
            </w:r>
          </w:p>
          <w:p w14:paraId="36D9FEFE">
            <w:pPr>
              <w:widowControl/>
              <w:spacing w:line="360" w:lineRule="auto"/>
              <w:ind w:firstLine="480" w:firstLineChars="200"/>
              <w:rPr>
                <w:rFonts w:hint="eastAsia" w:eastAsia="宋体"/>
                <w:color w:val="000000" w:themeColor="text1"/>
                <w:highlight w:val="none"/>
                <w:lang w:val="en-US" w:eastAsia="zh-CN"/>
                <w14:textFill>
                  <w14:solidFill>
                    <w14:schemeClr w14:val="tx1"/>
                  </w14:solidFill>
                </w14:textFill>
              </w:rPr>
            </w:pPr>
            <w:r>
              <w:rPr>
                <w:rFonts w:hint="eastAsia"/>
                <w:color w:val="000000" w:themeColor="text1"/>
                <w:sz w:val="24"/>
                <w:highlight w:val="none"/>
                <w14:textFill>
                  <w14:solidFill>
                    <w14:schemeClr w14:val="tx1"/>
                  </w14:solidFill>
                </w14:textFill>
              </w:rPr>
              <w:t>本项目产排污情况见下表4-</w:t>
            </w:r>
            <w:r>
              <w:rPr>
                <w:rFonts w:hint="eastAsia"/>
                <w:color w:val="000000" w:themeColor="text1"/>
                <w:sz w:val="24"/>
                <w:highlight w:val="none"/>
                <w:lang w:val="en-US" w:eastAsia="zh-CN"/>
                <w14:textFill>
                  <w14:solidFill>
                    <w14:schemeClr w14:val="tx1"/>
                  </w14:solidFill>
                </w14:textFill>
              </w:rPr>
              <w:t>2</w:t>
            </w:r>
            <w:r>
              <w:rPr>
                <w:rFonts w:hint="eastAsia"/>
                <w:color w:val="000000" w:themeColor="text1"/>
                <w:sz w:val="24"/>
                <w:highlight w:val="none"/>
                <w14:textFill>
                  <w14:solidFill>
                    <w14:schemeClr w14:val="tx1"/>
                  </w14:solidFill>
                </w14:textFill>
              </w:rPr>
              <w:t>。</w:t>
            </w:r>
          </w:p>
        </w:tc>
      </w:tr>
    </w:tbl>
    <w:p w14:paraId="4468EFAA">
      <w:pPr>
        <w:rPr>
          <w:color w:val="000000" w:themeColor="text1"/>
          <w:highlight w:val="none"/>
          <w14:textFill>
            <w14:solidFill>
              <w14:schemeClr w14:val="tx1"/>
            </w14:solidFill>
          </w14:textFill>
        </w:rPr>
        <w:sectPr>
          <w:pgSz w:w="11907" w:h="16840"/>
          <w:pgMar w:top="1701" w:right="1531" w:bottom="2127" w:left="1531" w:header="851" w:footer="851" w:gutter="0"/>
          <w:pgNumType w:fmt="decimal"/>
          <w:cols w:space="720" w:num="1"/>
          <w:docGrid w:linePitch="312" w:charSpace="0"/>
        </w:sectPr>
      </w:pPr>
    </w:p>
    <w:p w14:paraId="33B0ADCD">
      <w:pPr>
        <w:rPr>
          <w:color w:val="000000" w:themeColor="text1"/>
          <w:highlight w:val="none"/>
          <w14:textFill>
            <w14:solidFill>
              <w14:schemeClr w14:val="tx1"/>
            </w14:solidFill>
          </w14:textFill>
        </w:rPr>
      </w:pPr>
    </w:p>
    <w:tbl>
      <w:tblPr>
        <w:tblStyle w:val="18"/>
        <w:tblW w:w="505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708"/>
        <w:gridCol w:w="12595"/>
      </w:tblGrid>
      <w:tr w14:paraId="42402B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66" w:type="pct"/>
            <w:tcMar>
              <w:left w:w="28" w:type="dxa"/>
              <w:right w:w="28" w:type="dxa"/>
            </w:tcMar>
            <w:vAlign w:val="center"/>
          </w:tcPr>
          <w:p w14:paraId="24FA6386">
            <w:pPr>
              <w:adjustRightInd w:val="0"/>
              <w:snapToGrid w:val="0"/>
              <w:jc w:val="center"/>
              <w:rPr>
                <w:rFonts w:ascii="宋体" w:hAnsi="宋体" w:cs="宋体"/>
                <w:bCs/>
                <w:color w:val="000000" w:themeColor="text1"/>
                <w:szCs w:val="21"/>
                <w:highlight w:val="none"/>
                <w14:textFill>
                  <w14:solidFill>
                    <w14:schemeClr w14:val="tx1"/>
                  </w14:solidFill>
                </w14:textFill>
              </w:rPr>
            </w:pPr>
          </w:p>
        </w:tc>
        <w:tc>
          <w:tcPr>
            <w:tcW w:w="4733" w:type="pct"/>
            <w:vAlign w:val="center"/>
          </w:tcPr>
          <w:p w14:paraId="0C6A5720">
            <w:pPr>
              <w:widowControl/>
              <w:jc w:val="center"/>
              <w:rPr>
                <w:rFonts w:hint="eastAsia"/>
                <w:b/>
                <w:bCs/>
                <w:color w:val="000000" w:themeColor="text1"/>
                <w:szCs w:val="21"/>
                <w:highlight w:val="none"/>
                <w14:textFill>
                  <w14:solidFill>
                    <w14:schemeClr w14:val="tx1"/>
                  </w14:solidFill>
                </w14:textFill>
              </w:rPr>
            </w:pPr>
          </w:p>
          <w:p w14:paraId="04714EAA">
            <w:pPr>
              <w:widowControl/>
              <w:jc w:val="center"/>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表</w:t>
            </w:r>
            <w:r>
              <w:rPr>
                <w:b/>
                <w:bCs/>
                <w:color w:val="000000" w:themeColor="text1"/>
                <w:szCs w:val="21"/>
                <w:highlight w:val="none"/>
                <w14:textFill>
                  <w14:solidFill>
                    <w14:schemeClr w14:val="tx1"/>
                  </w14:solidFill>
                </w14:textFill>
              </w:rPr>
              <w:t>4-</w:t>
            </w:r>
            <w:r>
              <w:rPr>
                <w:rFonts w:hint="eastAsia"/>
                <w:b/>
                <w:bCs/>
                <w:color w:val="000000" w:themeColor="text1"/>
                <w:szCs w:val="21"/>
                <w:highlight w:val="none"/>
                <w:lang w:val="en-US" w:eastAsia="zh-CN"/>
                <w14:textFill>
                  <w14:solidFill>
                    <w14:schemeClr w14:val="tx1"/>
                  </w14:solidFill>
                </w14:textFill>
              </w:rPr>
              <w:t>2</w:t>
            </w:r>
            <w:r>
              <w:rPr>
                <w:b/>
                <w:bCs/>
                <w:color w:val="000000" w:themeColor="text1"/>
                <w:szCs w:val="21"/>
                <w:highlight w:val="none"/>
                <w14:textFill>
                  <w14:solidFill>
                    <w14:schemeClr w14:val="tx1"/>
                  </w14:solidFill>
                </w14:textFill>
              </w:rPr>
              <w:t xml:space="preserve"> </w:t>
            </w:r>
            <w:r>
              <w:rPr>
                <w:rFonts w:hint="eastAsia"/>
                <w:b/>
                <w:bCs/>
                <w:color w:val="000000" w:themeColor="text1"/>
                <w:szCs w:val="21"/>
                <w:highlight w:val="none"/>
                <w14:textFill>
                  <w14:solidFill>
                    <w14:schemeClr w14:val="tx1"/>
                  </w14:solidFill>
                </w14:textFill>
              </w:rPr>
              <w:t>项目废气污染物产生情况一览表</w:t>
            </w:r>
          </w:p>
          <w:tbl>
            <w:tblPr>
              <w:tblStyle w:val="1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37"/>
              <w:gridCol w:w="824"/>
              <w:gridCol w:w="909"/>
              <w:gridCol w:w="899"/>
              <w:gridCol w:w="909"/>
              <w:gridCol w:w="728"/>
              <w:gridCol w:w="3778"/>
              <w:gridCol w:w="703"/>
              <w:gridCol w:w="800"/>
              <w:gridCol w:w="787"/>
              <w:gridCol w:w="798"/>
            </w:tblGrid>
            <w:tr w14:paraId="49B7A4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vMerge w:val="restart"/>
                  <w:tcBorders>
                    <w:tl2br w:val="nil"/>
                    <w:tr2bl w:val="nil"/>
                  </w:tcBorders>
                  <w:vAlign w:val="center"/>
                </w:tcPr>
                <w:p w14:paraId="033E9AFC">
                  <w:pPr>
                    <w:adjustRightInd w:val="0"/>
                    <w:snapToGrid w:val="0"/>
                    <w:jc w:val="center"/>
                    <w:rPr>
                      <w:b/>
                      <w:bCs/>
                      <w:color w:val="auto"/>
                      <w:szCs w:val="21"/>
                      <w:highlight w:val="none"/>
                    </w:rPr>
                  </w:pPr>
                  <w:r>
                    <w:rPr>
                      <w:b/>
                      <w:bCs/>
                      <w:color w:val="auto"/>
                      <w:szCs w:val="21"/>
                      <w:highlight w:val="none"/>
                    </w:rPr>
                    <w:t>废气产污环节</w:t>
                  </w:r>
                </w:p>
              </w:tc>
              <w:tc>
                <w:tcPr>
                  <w:tcW w:w="337" w:type="pct"/>
                  <w:vMerge w:val="restart"/>
                  <w:tcBorders>
                    <w:tl2br w:val="nil"/>
                    <w:tr2bl w:val="nil"/>
                  </w:tcBorders>
                  <w:vAlign w:val="center"/>
                </w:tcPr>
                <w:p w14:paraId="56F8CBC7">
                  <w:pPr>
                    <w:adjustRightInd w:val="0"/>
                    <w:snapToGrid w:val="0"/>
                    <w:jc w:val="center"/>
                    <w:rPr>
                      <w:b/>
                      <w:bCs/>
                      <w:color w:val="auto"/>
                      <w:szCs w:val="21"/>
                      <w:highlight w:val="none"/>
                    </w:rPr>
                  </w:pPr>
                  <w:r>
                    <w:rPr>
                      <w:b/>
                      <w:bCs/>
                      <w:color w:val="auto"/>
                      <w:szCs w:val="21"/>
                      <w:highlight w:val="none"/>
                    </w:rPr>
                    <w:t>污染物种类</w:t>
                  </w:r>
                </w:p>
              </w:tc>
              <w:tc>
                <w:tcPr>
                  <w:tcW w:w="695" w:type="pct"/>
                  <w:gridSpan w:val="2"/>
                  <w:tcBorders>
                    <w:tl2br w:val="nil"/>
                    <w:tr2bl w:val="nil"/>
                  </w:tcBorders>
                  <w:vAlign w:val="center"/>
                </w:tcPr>
                <w:p w14:paraId="5D96CD66">
                  <w:pPr>
                    <w:adjustRightInd w:val="0"/>
                    <w:snapToGrid w:val="0"/>
                    <w:jc w:val="center"/>
                    <w:rPr>
                      <w:b/>
                      <w:bCs/>
                      <w:color w:val="auto"/>
                      <w:szCs w:val="21"/>
                      <w:highlight w:val="none"/>
                    </w:rPr>
                  </w:pPr>
                  <w:r>
                    <w:rPr>
                      <w:b/>
                      <w:bCs/>
                      <w:color w:val="auto"/>
                      <w:szCs w:val="21"/>
                      <w:highlight w:val="none"/>
                    </w:rPr>
                    <w:t>产生情况</w:t>
                  </w:r>
                </w:p>
              </w:tc>
              <w:tc>
                <w:tcPr>
                  <w:tcW w:w="371" w:type="pct"/>
                  <w:vMerge w:val="restart"/>
                  <w:tcBorders>
                    <w:tl2br w:val="nil"/>
                    <w:tr2bl w:val="nil"/>
                  </w:tcBorders>
                  <w:vAlign w:val="center"/>
                </w:tcPr>
                <w:p w14:paraId="2FD2ACD3">
                  <w:pPr>
                    <w:adjustRightInd w:val="0"/>
                    <w:snapToGrid w:val="0"/>
                    <w:jc w:val="center"/>
                    <w:rPr>
                      <w:b/>
                      <w:bCs/>
                      <w:color w:val="auto"/>
                      <w:szCs w:val="21"/>
                      <w:highlight w:val="none"/>
                    </w:rPr>
                  </w:pPr>
                  <w:r>
                    <w:rPr>
                      <w:b/>
                      <w:bCs/>
                      <w:color w:val="auto"/>
                      <w:szCs w:val="21"/>
                      <w:highlight w:val="none"/>
                    </w:rPr>
                    <w:t>排放</w:t>
                  </w:r>
                </w:p>
                <w:p w14:paraId="1DEF9553">
                  <w:pPr>
                    <w:adjustRightInd w:val="0"/>
                    <w:snapToGrid w:val="0"/>
                    <w:jc w:val="center"/>
                    <w:rPr>
                      <w:b/>
                      <w:bCs/>
                      <w:color w:val="auto"/>
                      <w:szCs w:val="21"/>
                      <w:highlight w:val="none"/>
                    </w:rPr>
                  </w:pPr>
                  <w:r>
                    <w:rPr>
                      <w:b/>
                      <w:bCs/>
                      <w:color w:val="auto"/>
                      <w:szCs w:val="21"/>
                      <w:highlight w:val="none"/>
                    </w:rPr>
                    <w:t>形式</w:t>
                  </w:r>
                </w:p>
              </w:tc>
              <w:tc>
                <w:tcPr>
                  <w:tcW w:w="2116" w:type="pct"/>
                  <w:gridSpan w:val="3"/>
                  <w:tcBorders>
                    <w:tl2br w:val="nil"/>
                    <w:tr2bl w:val="nil"/>
                  </w:tcBorders>
                  <w:vAlign w:val="center"/>
                </w:tcPr>
                <w:p w14:paraId="2B951CA7">
                  <w:pPr>
                    <w:adjustRightInd w:val="0"/>
                    <w:snapToGrid w:val="0"/>
                    <w:jc w:val="center"/>
                    <w:rPr>
                      <w:b/>
                      <w:bCs/>
                      <w:color w:val="auto"/>
                      <w:szCs w:val="21"/>
                      <w:highlight w:val="none"/>
                    </w:rPr>
                  </w:pPr>
                  <w:r>
                    <w:rPr>
                      <w:b/>
                      <w:bCs/>
                      <w:color w:val="auto"/>
                      <w:szCs w:val="21"/>
                      <w:highlight w:val="none"/>
                    </w:rPr>
                    <w:t>污染防治措施</w:t>
                  </w:r>
                </w:p>
              </w:tc>
              <w:tc>
                <w:tcPr>
                  <w:tcW w:w="974" w:type="pct"/>
                  <w:gridSpan w:val="3"/>
                  <w:tcBorders>
                    <w:tl2br w:val="nil"/>
                    <w:tr2bl w:val="nil"/>
                  </w:tcBorders>
                  <w:vAlign w:val="center"/>
                </w:tcPr>
                <w:p w14:paraId="429235AE">
                  <w:pPr>
                    <w:adjustRightInd w:val="0"/>
                    <w:snapToGrid w:val="0"/>
                    <w:jc w:val="center"/>
                    <w:rPr>
                      <w:b/>
                      <w:bCs/>
                      <w:color w:val="auto"/>
                      <w:szCs w:val="21"/>
                      <w:highlight w:val="none"/>
                    </w:rPr>
                  </w:pPr>
                  <w:r>
                    <w:rPr>
                      <w:b/>
                      <w:bCs/>
                      <w:color w:val="auto"/>
                      <w:szCs w:val="21"/>
                      <w:highlight w:val="none"/>
                    </w:rPr>
                    <w:t>排放情况</w:t>
                  </w:r>
                </w:p>
              </w:tc>
            </w:tr>
            <w:tr w14:paraId="3A00F8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vMerge w:val="continue"/>
                  <w:tcBorders>
                    <w:tl2br w:val="nil"/>
                    <w:tr2bl w:val="nil"/>
                  </w:tcBorders>
                  <w:vAlign w:val="center"/>
                </w:tcPr>
                <w:p w14:paraId="6D731FA7">
                  <w:pPr>
                    <w:adjustRightInd w:val="0"/>
                    <w:snapToGrid w:val="0"/>
                    <w:jc w:val="center"/>
                    <w:rPr>
                      <w:b/>
                      <w:bCs/>
                      <w:color w:val="auto"/>
                      <w:szCs w:val="21"/>
                      <w:highlight w:val="none"/>
                    </w:rPr>
                  </w:pPr>
                </w:p>
              </w:tc>
              <w:tc>
                <w:tcPr>
                  <w:tcW w:w="337" w:type="pct"/>
                  <w:vMerge w:val="continue"/>
                  <w:tcBorders>
                    <w:tl2br w:val="nil"/>
                    <w:tr2bl w:val="nil"/>
                  </w:tcBorders>
                  <w:vAlign w:val="center"/>
                </w:tcPr>
                <w:p w14:paraId="37007185">
                  <w:pPr>
                    <w:adjustRightInd w:val="0"/>
                    <w:snapToGrid w:val="0"/>
                    <w:jc w:val="center"/>
                    <w:rPr>
                      <w:b/>
                      <w:bCs/>
                      <w:color w:val="auto"/>
                      <w:szCs w:val="21"/>
                      <w:highlight w:val="none"/>
                    </w:rPr>
                  </w:pPr>
                </w:p>
              </w:tc>
              <w:tc>
                <w:tcPr>
                  <w:tcW w:w="371" w:type="pct"/>
                  <w:tcBorders>
                    <w:tl2br w:val="nil"/>
                    <w:tr2bl w:val="nil"/>
                  </w:tcBorders>
                  <w:vAlign w:val="center"/>
                </w:tcPr>
                <w:p w14:paraId="5ACCCB2C">
                  <w:pPr>
                    <w:widowControl/>
                    <w:jc w:val="center"/>
                    <w:rPr>
                      <w:b/>
                      <w:bCs/>
                      <w:color w:val="auto"/>
                      <w:szCs w:val="21"/>
                      <w:highlight w:val="none"/>
                    </w:rPr>
                  </w:pPr>
                  <w:r>
                    <w:rPr>
                      <w:b/>
                      <w:bCs/>
                      <w:color w:val="auto"/>
                      <w:szCs w:val="21"/>
                      <w:highlight w:val="none"/>
                    </w:rPr>
                    <w:t>产生量</w:t>
                  </w:r>
                </w:p>
                <w:p w14:paraId="76C28992">
                  <w:pPr>
                    <w:widowControl/>
                    <w:jc w:val="center"/>
                    <w:rPr>
                      <w:b/>
                      <w:bCs/>
                      <w:color w:val="auto"/>
                      <w:szCs w:val="21"/>
                      <w:highlight w:val="none"/>
                    </w:rPr>
                  </w:pPr>
                  <w:r>
                    <w:rPr>
                      <w:b/>
                      <w:bCs/>
                      <w:color w:val="auto"/>
                      <w:szCs w:val="21"/>
                      <w:highlight w:val="none"/>
                    </w:rPr>
                    <w:t>t/a</w:t>
                  </w:r>
                </w:p>
              </w:tc>
              <w:tc>
                <w:tcPr>
                  <w:tcW w:w="324" w:type="pct"/>
                  <w:tcBorders>
                    <w:tl2br w:val="nil"/>
                    <w:tr2bl w:val="nil"/>
                  </w:tcBorders>
                  <w:vAlign w:val="center"/>
                </w:tcPr>
                <w:p w14:paraId="5928D067">
                  <w:pPr>
                    <w:widowControl/>
                    <w:jc w:val="center"/>
                    <w:rPr>
                      <w:b/>
                      <w:bCs/>
                      <w:color w:val="auto"/>
                      <w:szCs w:val="21"/>
                      <w:highlight w:val="none"/>
                    </w:rPr>
                  </w:pPr>
                  <w:r>
                    <w:rPr>
                      <w:b/>
                      <w:bCs/>
                      <w:color w:val="auto"/>
                      <w:szCs w:val="21"/>
                      <w:highlight w:val="none"/>
                    </w:rPr>
                    <w:t>产生</w:t>
                  </w:r>
                </w:p>
                <w:p w14:paraId="742D0D1F">
                  <w:pPr>
                    <w:widowControl/>
                    <w:jc w:val="center"/>
                    <w:rPr>
                      <w:b/>
                      <w:bCs/>
                      <w:color w:val="auto"/>
                      <w:szCs w:val="21"/>
                      <w:highlight w:val="none"/>
                    </w:rPr>
                  </w:pPr>
                  <w:r>
                    <w:rPr>
                      <w:b/>
                      <w:bCs/>
                      <w:color w:val="auto"/>
                      <w:szCs w:val="21"/>
                      <w:highlight w:val="none"/>
                    </w:rPr>
                    <w:t>速率</w:t>
                  </w:r>
                </w:p>
                <w:p w14:paraId="6E8BDC6A">
                  <w:pPr>
                    <w:widowControl/>
                    <w:jc w:val="center"/>
                    <w:rPr>
                      <w:b/>
                      <w:bCs/>
                      <w:color w:val="auto"/>
                      <w:szCs w:val="21"/>
                      <w:highlight w:val="none"/>
                    </w:rPr>
                  </w:pPr>
                  <w:r>
                    <w:rPr>
                      <w:b/>
                      <w:bCs/>
                      <w:color w:val="auto"/>
                      <w:szCs w:val="21"/>
                      <w:highlight w:val="none"/>
                    </w:rPr>
                    <w:t>kg/h</w:t>
                  </w:r>
                </w:p>
              </w:tc>
              <w:tc>
                <w:tcPr>
                  <w:tcW w:w="371" w:type="pct"/>
                  <w:vMerge w:val="continue"/>
                  <w:tcBorders>
                    <w:tl2br w:val="nil"/>
                    <w:tr2bl w:val="nil"/>
                  </w:tcBorders>
                  <w:vAlign w:val="center"/>
                </w:tcPr>
                <w:p w14:paraId="13939DB0">
                  <w:pPr>
                    <w:adjustRightInd w:val="0"/>
                    <w:snapToGrid w:val="0"/>
                    <w:jc w:val="center"/>
                    <w:rPr>
                      <w:b/>
                      <w:bCs/>
                      <w:color w:val="auto"/>
                      <w:szCs w:val="21"/>
                      <w:highlight w:val="none"/>
                    </w:rPr>
                  </w:pPr>
                </w:p>
              </w:tc>
              <w:tc>
                <w:tcPr>
                  <w:tcW w:w="298" w:type="pct"/>
                  <w:tcBorders>
                    <w:tl2br w:val="nil"/>
                    <w:tr2bl w:val="nil"/>
                  </w:tcBorders>
                  <w:vAlign w:val="center"/>
                </w:tcPr>
                <w:p w14:paraId="0D50E6CD">
                  <w:pPr>
                    <w:adjustRightInd w:val="0"/>
                    <w:snapToGrid w:val="0"/>
                    <w:jc w:val="center"/>
                    <w:rPr>
                      <w:b/>
                      <w:bCs/>
                      <w:color w:val="auto"/>
                      <w:szCs w:val="21"/>
                      <w:highlight w:val="none"/>
                    </w:rPr>
                  </w:pPr>
                  <w:r>
                    <w:rPr>
                      <w:b/>
                      <w:bCs/>
                      <w:color w:val="auto"/>
                      <w:szCs w:val="21"/>
                      <w:highlight w:val="none"/>
                    </w:rPr>
                    <w:t>收集效率</w:t>
                  </w:r>
                </w:p>
                <w:p w14:paraId="0F37CECA">
                  <w:pPr>
                    <w:adjustRightInd w:val="0"/>
                    <w:snapToGrid w:val="0"/>
                    <w:jc w:val="center"/>
                    <w:rPr>
                      <w:b/>
                      <w:bCs/>
                      <w:color w:val="auto"/>
                      <w:szCs w:val="21"/>
                      <w:highlight w:val="none"/>
                    </w:rPr>
                  </w:pPr>
                  <w:r>
                    <w:rPr>
                      <w:b/>
                      <w:bCs/>
                      <w:color w:val="auto"/>
                      <w:szCs w:val="21"/>
                      <w:highlight w:val="none"/>
                    </w:rPr>
                    <w:t>%</w:t>
                  </w:r>
                </w:p>
              </w:tc>
              <w:tc>
                <w:tcPr>
                  <w:tcW w:w="1530" w:type="pct"/>
                  <w:tcBorders>
                    <w:tl2br w:val="nil"/>
                    <w:tr2bl w:val="nil"/>
                  </w:tcBorders>
                  <w:vAlign w:val="center"/>
                </w:tcPr>
                <w:p w14:paraId="3C446233">
                  <w:pPr>
                    <w:adjustRightInd w:val="0"/>
                    <w:snapToGrid w:val="0"/>
                    <w:jc w:val="center"/>
                    <w:rPr>
                      <w:color w:val="auto"/>
                      <w:szCs w:val="21"/>
                      <w:highlight w:val="none"/>
                    </w:rPr>
                  </w:pPr>
                  <w:r>
                    <w:rPr>
                      <w:b/>
                      <w:bCs/>
                      <w:color w:val="auto"/>
                      <w:szCs w:val="21"/>
                      <w:highlight w:val="none"/>
                    </w:rPr>
                    <w:t>治理设施</w:t>
                  </w:r>
                </w:p>
              </w:tc>
              <w:tc>
                <w:tcPr>
                  <w:tcW w:w="287" w:type="pct"/>
                  <w:tcBorders>
                    <w:tl2br w:val="nil"/>
                    <w:tr2bl w:val="nil"/>
                  </w:tcBorders>
                  <w:vAlign w:val="center"/>
                </w:tcPr>
                <w:p w14:paraId="55A35EBE">
                  <w:pPr>
                    <w:adjustRightInd w:val="0"/>
                    <w:snapToGrid w:val="0"/>
                    <w:jc w:val="center"/>
                    <w:rPr>
                      <w:b/>
                      <w:bCs/>
                      <w:color w:val="auto"/>
                      <w:szCs w:val="21"/>
                      <w:highlight w:val="none"/>
                    </w:rPr>
                  </w:pPr>
                  <w:r>
                    <w:rPr>
                      <w:b/>
                      <w:bCs/>
                      <w:color w:val="auto"/>
                      <w:szCs w:val="21"/>
                      <w:highlight w:val="none"/>
                    </w:rPr>
                    <w:t>去除效率</w:t>
                  </w:r>
                </w:p>
                <w:p w14:paraId="4418C74A">
                  <w:pPr>
                    <w:adjustRightInd w:val="0"/>
                    <w:snapToGrid w:val="0"/>
                    <w:jc w:val="center"/>
                    <w:rPr>
                      <w:b/>
                      <w:bCs/>
                      <w:color w:val="auto"/>
                      <w:szCs w:val="21"/>
                      <w:highlight w:val="none"/>
                    </w:rPr>
                  </w:pPr>
                  <w:r>
                    <w:rPr>
                      <w:b/>
                      <w:bCs/>
                      <w:color w:val="auto"/>
                      <w:szCs w:val="21"/>
                      <w:highlight w:val="none"/>
                    </w:rPr>
                    <w:t>%</w:t>
                  </w:r>
                </w:p>
              </w:tc>
              <w:tc>
                <w:tcPr>
                  <w:tcW w:w="327" w:type="pct"/>
                  <w:tcBorders>
                    <w:tl2br w:val="nil"/>
                    <w:tr2bl w:val="nil"/>
                  </w:tcBorders>
                  <w:vAlign w:val="center"/>
                </w:tcPr>
                <w:p w14:paraId="3D49495B">
                  <w:pPr>
                    <w:widowControl/>
                    <w:jc w:val="center"/>
                    <w:rPr>
                      <w:b/>
                      <w:bCs/>
                      <w:color w:val="auto"/>
                      <w:szCs w:val="21"/>
                      <w:highlight w:val="none"/>
                    </w:rPr>
                  </w:pPr>
                  <w:r>
                    <w:rPr>
                      <w:b/>
                      <w:bCs/>
                      <w:color w:val="auto"/>
                      <w:szCs w:val="21"/>
                      <w:highlight w:val="none"/>
                    </w:rPr>
                    <w:t>排放量t/a</w:t>
                  </w:r>
                </w:p>
              </w:tc>
              <w:tc>
                <w:tcPr>
                  <w:tcW w:w="322" w:type="pct"/>
                  <w:tcBorders>
                    <w:tl2br w:val="nil"/>
                    <w:tr2bl w:val="nil"/>
                  </w:tcBorders>
                  <w:vAlign w:val="center"/>
                </w:tcPr>
                <w:p w14:paraId="3D5D5801">
                  <w:pPr>
                    <w:widowControl/>
                    <w:jc w:val="center"/>
                    <w:rPr>
                      <w:b/>
                      <w:bCs/>
                      <w:color w:val="auto"/>
                      <w:szCs w:val="21"/>
                      <w:highlight w:val="none"/>
                    </w:rPr>
                  </w:pPr>
                  <w:r>
                    <w:rPr>
                      <w:b/>
                      <w:bCs/>
                      <w:color w:val="auto"/>
                      <w:szCs w:val="21"/>
                      <w:highlight w:val="none"/>
                    </w:rPr>
                    <w:t>速率kg/h</w:t>
                  </w:r>
                </w:p>
              </w:tc>
              <w:tc>
                <w:tcPr>
                  <w:tcW w:w="325" w:type="pct"/>
                  <w:tcBorders>
                    <w:tl2br w:val="nil"/>
                    <w:tr2bl w:val="nil"/>
                  </w:tcBorders>
                  <w:vAlign w:val="center"/>
                </w:tcPr>
                <w:p w14:paraId="216BC3DA">
                  <w:pPr>
                    <w:widowControl/>
                    <w:jc w:val="center"/>
                    <w:rPr>
                      <w:b/>
                      <w:bCs/>
                      <w:color w:val="auto"/>
                      <w:szCs w:val="21"/>
                      <w:highlight w:val="none"/>
                    </w:rPr>
                  </w:pPr>
                  <w:r>
                    <w:rPr>
                      <w:b/>
                      <w:bCs/>
                      <w:color w:val="auto"/>
                      <w:szCs w:val="21"/>
                      <w:highlight w:val="none"/>
                    </w:rPr>
                    <w:t>排放</w:t>
                  </w:r>
                </w:p>
                <w:p w14:paraId="279ABAF4">
                  <w:pPr>
                    <w:widowControl/>
                    <w:jc w:val="center"/>
                    <w:rPr>
                      <w:b/>
                      <w:bCs/>
                      <w:color w:val="auto"/>
                      <w:szCs w:val="21"/>
                      <w:highlight w:val="none"/>
                    </w:rPr>
                  </w:pPr>
                  <w:r>
                    <w:rPr>
                      <w:b/>
                      <w:bCs/>
                      <w:color w:val="auto"/>
                      <w:szCs w:val="21"/>
                      <w:highlight w:val="none"/>
                    </w:rPr>
                    <w:t>浓度mg/m</w:t>
                  </w:r>
                  <w:r>
                    <w:rPr>
                      <w:b/>
                      <w:bCs/>
                      <w:color w:val="auto"/>
                      <w:szCs w:val="21"/>
                      <w:highlight w:val="none"/>
                      <w:vertAlign w:val="superscript"/>
                    </w:rPr>
                    <w:t>3</w:t>
                  </w:r>
                </w:p>
              </w:tc>
            </w:tr>
            <w:tr w14:paraId="628095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tcBorders>
                    <w:tl2br w:val="nil"/>
                    <w:tr2bl w:val="nil"/>
                  </w:tcBorders>
                  <w:vAlign w:val="center"/>
                </w:tcPr>
                <w:p w14:paraId="3801BE26">
                  <w:pPr>
                    <w:adjustRightInd w:val="0"/>
                    <w:snapToGrid w:val="0"/>
                    <w:jc w:val="center"/>
                    <w:rPr>
                      <w:color w:val="auto"/>
                      <w:szCs w:val="21"/>
                      <w:highlight w:val="none"/>
                    </w:rPr>
                  </w:pPr>
                  <w:r>
                    <w:rPr>
                      <w:color w:val="auto"/>
                      <w:szCs w:val="21"/>
                      <w:highlight w:val="none"/>
                    </w:rPr>
                    <w:t>厂内车辆运输</w:t>
                  </w:r>
                </w:p>
              </w:tc>
              <w:tc>
                <w:tcPr>
                  <w:tcW w:w="337" w:type="pct"/>
                  <w:vMerge w:val="restart"/>
                  <w:tcBorders>
                    <w:tl2br w:val="nil"/>
                    <w:tr2bl w:val="nil"/>
                  </w:tcBorders>
                  <w:vAlign w:val="center"/>
                </w:tcPr>
                <w:p w14:paraId="359F5B2A">
                  <w:pPr>
                    <w:adjustRightInd w:val="0"/>
                    <w:snapToGrid w:val="0"/>
                    <w:jc w:val="center"/>
                    <w:rPr>
                      <w:color w:val="auto"/>
                      <w:szCs w:val="21"/>
                      <w:highlight w:val="none"/>
                    </w:rPr>
                  </w:pPr>
                  <w:r>
                    <w:rPr>
                      <w:color w:val="auto"/>
                      <w:szCs w:val="21"/>
                      <w:highlight w:val="none"/>
                    </w:rPr>
                    <w:t>颗粒物</w:t>
                  </w:r>
                </w:p>
              </w:tc>
              <w:tc>
                <w:tcPr>
                  <w:tcW w:w="371" w:type="pct"/>
                  <w:tcBorders>
                    <w:tl2br w:val="nil"/>
                    <w:tr2bl w:val="nil"/>
                  </w:tcBorders>
                  <w:vAlign w:val="center"/>
                </w:tcPr>
                <w:p w14:paraId="76AE99E9">
                  <w:pPr>
                    <w:widowControl/>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 xml:space="preserve">0.542 </w:t>
                  </w:r>
                </w:p>
              </w:tc>
              <w:tc>
                <w:tcPr>
                  <w:tcW w:w="324" w:type="pct"/>
                  <w:tcBorders>
                    <w:tl2br w:val="nil"/>
                    <w:tr2bl w:val="nil"/>
                  </w:tcBorders>
                  <w:vAlign w:val="center"/>
                </w:tcPr>
                <w:p w14:paraId="2549CD46">
                  <w:pPr>
                    <w:widowControl/>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 xml:space="preserve">0.282 </w:t>
                  </w:r>
                </w:p>
              </w:tc>
              <w:tc>
                <w:tcPr>
                  <w:tcW w:w="371" w:type="pct"/>
                  <w:tcBorders>
                    <w:tl2br w:val="nil"/>
                    <w:tr2bl w:val="nil"/>
                  </w:tcBorders>
                  <w:vAlign w:val="center"/>
                </w:tcPr>
                <w:p w14:paraId="6A0DD320">
                  <w:pPr>
                    <w:adjustRightInd w:val="0"/>
                    <w:snapToGrid w:val="0"/>
                    <w:jc w:val="center"/>
                    <w:rPr>
                      <w:color w:val="auto"/>
                      <w:szCs w:val="21"/>
                      <w:highlight w:val="none"/>
                    </w:rPr>
                  </w:pPr>
                  <w:r>
                    <w:rPr>
                      <w:color w:val="auto"/>
                      <w:szCs w:val="21"/>
                      <w:highlight w:val="none"/>
                    </w:rPr>
                    <w:t>无组织</w:t>
                  </w:r>
                </w:p>
              </w:tc>
              <w:tc>
                <w:tcPr>
                  <w:tcW w:w="298" w:type="pct"/>
                  <w:tcBorders>
                    <w:tl2br w:val="nil"/>
                    <w:tr2bl w:val="nil"/>
                  </w:tcBorders>
                  <w:vAlign w:val="center"/>
                </w:tcPr>
                <w:p w14:paraId="40044F72">
                  <w:pPr>
                    <w:adjustRightInd w:val="0"/>
                    <w:snapToGrid w:val="0"/>
                    <w:jc w:val="center"/>
                    <w:rPr>
                      <w:color w:val="auto"/>
                      <w:szCs w:val="21"/>
                      <w:highlight w:val="none"/>
                    </w:rPr>
                  </w:pPr>
                  <w:r>
                    <w:rPr>
                      <w:color w:val="auto"/>
                      <w:szCs w:val="21"/>
                      <w:highlight w:val="none"/>
                    </w:rPr>
                    <w:t>/</w:t>
                  </w:r>
                </w:p>
              </w:tc>
              <w:tc>
                <w:tcPr>
                  <w:tcW w:w="1530" w:type="pct"/>
                  <w:tcBorders>
                    <w:tl2br w:val="nil"/>
                    <w:tr2bl w:val="nil"/>
                  </w:tcBorders>
                  <w:vAlign w:val="center"/>
                </w:tcPr>
                <w:p w14:paraId="1181B483">
                  <w:pPr>
                    <w:widowControl/>
                    <w:jc w:val="center"/>
                    <w:rPr>
                      <w:color w:val="auto"/>
                      <w:szCs w:val="21"/>
                      <w:highlight w:val="none"/>
                    </w:rPr>
                  </w:pPr>
                  <w:r>
                    <w:rPr>
                      <w:color w:val="auto"/>
                      <w:kern w:val="0"/>
                      <w:szCs w:val="21"/>
                      <w:highlight w:val="none"/>
                      <w:lang w:bidi="ar"/>
                    </w:rPr>
                    <w:t>厂区内运输道路</w:t>
                  </w:r>
                  <w:r>
                    <w:rPr>
                      <w:rFonts w:hint="eastAsia"/>
                      <w:color w:val="auto"/>
                      <w:kern w:val="0"/>
                      <w:szCs w:val="21"/>
                      <w:highlight w:val="none"/>
                      <w:lang w:val="en-US" w:eastAsia="zh-CN" w:bidi="ar"/>
                    </w:rPr>
                    <w:t>全部</w:t>
                  </w:r>
                  <w:r>
                    <w:rPr>
                      <w:color w:val="auto"/>
                      <w:kern w:val="0"/>
                      <w:szCs w:val="21"/>
                      <w:highlight w:val="none"/>
                      <w:lang w:bidi="ar"/>
                    </w:rPr>
                    <w:t>硬化，清扫路面、定期洒水、限制车速等措施</w:t>
                  </w:r>
                </w:p>
              </w:tc>
              <w:tc>
                <w:tcPr>
                  <w:tcW w:w="287" w:type="pct"/>
                  <w:tcBorders>
                    <w:tl2br w:val="nil"/>
                    <w:tr2bl w:val="nil"/>
                  </w:tcBorders>
                  <w:vAlign w:val="center"/>
                </w:tcPr>
                <w:p w14:paraId="6134F5F1">
                  <w:pPr>
                    <w:adjustRightInd w:val="0"/>
                    <w:snapToGrid w:val="0"/>
                    <w:jc w:val="center"/>
                    <w:rPr>
                      <w:color w:val="auto"/>
                      <w:szCs w:val="21"/>
                      <w:highlight w:val="none"/>
                    </w:rPr>
                  </w:pPr>
                  <w:r>
                    <w:rPr>
                      <w:color w:val="auto"/>
                      <w:szCs w:val="21"/>
                      <w:highlight w:val="none"/>
                    </w:rPr>
                    <w:t>70</w:t>
                  </w:r>
                </w:p>
              </w:tc>
              <w:tc>
                <w:tcPr>
                  <w:tcW w:w="810" w:type="dxa"/>
                  <w:tcBorders>
                    <w:tl2br w:val="nil"/>
                    <w:tr2bl w:val="nil"/>
                  </w:tcBorders>
                  <w:vAlign w:val="center"/>
                </w:tcPr>
                <w:p w14:paraId="73841B68">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0.163 </w:t>
                  </w:r>
                </w:p>
              </w:tc>
              <w:tc>
                <w:tcPr>
                  <w:tcW w:w="797" w:type="dxa"/>
                  <w:tcBorders>
                    <w:tl2br w:val="nil"/>
                    <w:tr2bl w:val="nil"/>
                  </w:tcBorders>
                  <w:vAlign w:val="center"/>
                </w:tcPr>
                <w:p w14:paraId="4756CD5F">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0.085 </w:t>
                  </w:r>
                </w:p>
              </w:tc>
              <w:tc>
                <w:tcPr>
                  <w:tcW w:w="325" w:type="pct"/>
                  <w:tcBorders>
                    <w:tl2br w:val="nil"/>
                    <w:tr2bl w:val="nil"/>
                  </w:tcBorders>
                  <w:vAlign w:val="center"/>
                </w:tcPr>
                <w:p w14:paraId="621F4D1E">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w:t>
                  </w:r>
                </w:p>
              </w:tc>
            </w:tr>
            <w:tr w14:paraId="0E09DE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tcBorders>
                    <w:tl2br w:val="nil"/>
                    <w:tr2bl w:val="nil"/>
                  </w:tcBorders>
                  <w:vAlign w:val="center"/>
                </w:tcPr>
                <w:p w14:paraId="1B7FA4E9">
                  <w:pPr>
                    <w:adjustRightInd w:val="0"/>
                    <w:snapToGrid w:val="0"/>
                    <w:jc w:val="center"/>
                    <w:rPr>
                      <w:color w:val="auto"/>
                      <w:szCs w:val="21"/>
                      <w:highlight w:val="none"/>
                    </w:rPr>
                  </w:pPr>
                  <w:r>
                    <w:rPr>
                      <w:color w:val="auto"/>
                      <w:szCs w:val="21"/>
                      <w:highlight w:val="none"/>
                    </w:rPr>
                    <w:t>原料装卸</w:t>
                  </w:r>
                </w:p>
              </w:tc>
              <w:tc>
                <w:tcPr>
                  <w:tcW w:w="337" w:type="pct"/>
                  <w:vMerge w:val="continue"/>
                  <w:tcBorders>
                    <w:tl2br w:val="nil"/>
                    <w:tr2bl w:val="nil"/>
                  </w:tcBorders>
                  <w:vAlign w:val="center"/>
                </w:tcPr>
                <w:p w14:paraId="179D8E12">
                  <w:pPr>
                    <w:adjustRightInd w:val="0"/>
                    <w:snapToGrid w:val="0"/>
                    <w:jc w:val="center"/>
                    <w:rPr>
                      <w:color w:val="auto"/>
                      <w:szCs w:val="21"/>
                      <w:highlight w:val="none"/>
                    </w:rPr>
                  </w:pPr>
                </w:p>
              </w:tc>
              <w:tc>
                <w:tcPr>
                  <w:tcW w:w="371" w:type="pct"/>
                  <w:tcBorders>
                    <w:tl2br w:val="nil"/>
                    <w:tr2bl w:val="nil"/>
                  </w:tcBorders>
                  <w:vAlign w:val="center"/>
                </w:tcPr>
                <w:p w14:paraId="6FEA0345">
                  <w:pPr>
                    <w:widowControl/>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 xml:space="preserve">5.210 </w:t>
                  </w:r>
                </w:p>
              </w:tc>
              <w:tc>
                <w:tcPr>
                  <w:tcW w:w="324" w:type="pct"/>
                  <w:tcBorders>
                    <w:tl2br w:val="nil"/>
                    <w:tr2bl w:val="nil"/>
                  </w:tcBorders>
                  <w:vAlign w:val="center"/>
                </w:tcPr>
                <w:p w14:paraId="5091E0F4">
                  <w:pPr>
                    <w:widowControl/>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 xml:space="preserve">2.714 </w:t>
                  </w:r>
                </w:p>
              </w:tc>
              <w:tc>
                <w:tcPr>
                  <w:tcW w:w="371" w:type="pct"/>
                  <w:tcBorders>
                    <w:tl2br w:val="nil"/>
                    <w:tr2bl w:val="nil"/>
                  </w:tcBorders>
                  <w:vAlign w:val="center"/>
                </w:tcPr>
                <w:p w14:paraId="47E7C86A">
                  <w:pPr>
                    <w:adjustRightInd w:val="0"/>
                    <w:snapToGrid w:val="0"/>
                    <w:jc w:val="center"/>
                    <w:rPr>
                      <w:color w:val="auto"/>
                      <w:szCs w:val="21"/>
                      <w:highlight w:val="none"/>
                    </w:rPr>
                  </w:pPr>
                  <w:r>
                    <w:rPr>
                      <w:color w:val="auto"/>
                      <w:szCs w:val="21"/>
                      <w:highlight w:val="none"/>
                    </w:rPr>
                    <w:t>无组织</w:t>
                  </w:r>
                </w:p>
              </w:tc>
              <w:tc>
                <w:tcPr>
                  <w:tcW w:w="298" w:type="pct"/>
                  <w:tcBorders>
                    <w:tl2br w:val="nil"/>
                    <w:tr2bl w:val="nil"/>
                  </w:tcBorders>
                  <w:vAlign w:val="center"/>
                </w:tcPr>
                <w:p w14:paraId="7B759809">
                  <w:pPr>
                    <w:adjustRightInd w:val="0"/>
                    <w:snapToGrid w:val="0"/>
                    <w:jc w:val="center"/>
                    <w:rPr>
                      <w:color w:val="auto"/>
                      <w:szCs w:val="21"/>
                      <w:highlight w:val="none"/>
                    </w:rPr>
                  </w:pPr>
                  <w:r>
                    <w:rPr>
                      <w:color w:val="auto"/>
                      <w:szCs w:val="21"/>
                      <w:highlight w:val="none"/>
                    </w:rPr>
                    <w:t>/</w:t>
                  </w:r>
                </w:p>
              </w:tc>
              <w:tc>
                <w:tcPr>
                  <w:tcW w:w="1530" w:type="pct"/>
                  <w:tcBorders>
                    <w:tl2br w:val="nil"/>
                    <w:tr2bl w:val="nil"/>
                  </w:tcBorders>
                  <w:vAlign w:val="center"/>
                </w:tcPr>
                <w:p w14:paraId="60846595">
                  <w:pPr>
                    <w:widowControl/>
                    <w:jc w:val="center"/>
                    <w:rPr>
                      <w:color w:val="auto"/>
                      <w:szCs w:val="21"/>
                      <w:highlight w:val="none"/>
                    </w:rPr>
                  </w:pPr>
                  <w:r>
                    <w:rPr>
                      <w:rFonts w:hint="eastAsia"/>
                      <w:color w:val="auto"/>
                      <w:kern w:val="0"/>
                      <w:szCs w:val="21"/>
                      <w:highlight w:val="none"/>
                      <w:lang w:val="en-US" w:eastAsia="zh-CN" w:bidi="ar"/>
                    </w:rPr>
                    <w:t>定期</w:t>
                  </w:r>
                  <w:r>
                    <w:rPr>
                      <w:color w:val="auto"/>
                      <w:kern w:val="0"/>
                      <w:szCs w:val="21"/>
                      <w:highlight w:val="none"/>
                      <w:lang w:bidi="ar"/>
                    </w:rPr>
                    <w:t>洒水抑尘，降低卸料高度</w:t>
                  </w:r>
                </w:p>
              </w:tc>
              <w:tc>
                <w:tcPr>
                  <w:tcW w:w="287" w:type="pct"/>
                  <w:tcBorders>
                    <w:tl2br w:val="nil"/>
                    <w:tr2bl w:val="nil"/>
                  </w:tcBorders>
                  <w:vAlign w:val="center"/>
                </w:tcPr>
                <w:p w14:paraId="7B6C08C2">
                  <w:pPr>
                    <w:adjustRightInd w:val="0"/>
                    <w:snapToGrid w:val="0"/>
                    <w:jc w:val="center"/>
                    <w:rPr>
                      <w:rFonts w:hint="eastAsia" w:eastAsia="宋体"/>
                      <w:color w:val="auto"/>
                      <w:szCs w:val="21"/>
                      <w:highlight w:val="none"/>
                      <w:lang w:eastAsia="zh-CN"/>
                    </w:rPr>
                  </w:pPr>
                  <w:r>
                    <w:rPr>
                      <w:color w:val="auto"/>
                      <w:szCs w:val="21"/>
                      <w:highlight w:val="none"/>
                    </w:rPr>
                    <w:t>7</w:t>
                  </w:r>
                  <w:r>
                    <w:rPr>
                      <w:rFonts w:hint="eastAsia"/>
                      <w:color w:val="auto"/>
                      <w:szCs w:val="21"/>
                      <w:highlight w:val="none"/>
                      <w:lang w:val="en-US" w:eastAsia="zh-CN"/>
                    </w:rPr>
                    <w:t>4</w:t>
                  </w:r>
                </w:p>
              </w:tc>
              <w:tc>
                <w:tcPr>
                  <w:tcW w:w="810" w:type="dxa"/>
                  <w:tcBorders>
                    <w:tl2br w:val="nil"/>
                    <w:tr2bl w:val="nil"/>
                  </w:tcBorders>
                  <w:vAlign w:val="center"/>
                </w:tcPr>
                <w:p w14:paraId="37293ECF">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1.355 </w:t>
                  </w:r>
                </w:p>
              </w:tc>
              <w:tc>
                <w:tcPr>
                  <w:tcW w:w="797" w:type="dxa"/>
                  <w:tcBorders>
                    <w:tl2br w:val="nil"/>
                    <w:tr2bl w:val="nil"/>
                  </w:tcBorders>
                  <w:vAlign w:val="center"/>
                </w:tcPr>
                <w:p w14:paraId="40DD4D31">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0.706 </w:t>
                  </w:r>
                </w:p>
              </w:tc>
              <w:tc>
                <w:tcPr>
                  <w:tcW w:w="325" w:type="pct"/>
                  <w:tcBorders>
                    <w:tl2br w:val="nil"/>
                    <w:tr2bl w:val="nil"/>
                  </w:tcBorders>
                  <w:vAlign w:val="center"/>
                </w:tcPr>
                <w:p w14:paraId="04EA8FF9">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w:t>
                  </w:r>
                </w:p>
              </w:tc>
            </w:tr>
            <w:tr w14:paraId="5353F5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tcBorders>
                    <w:tl2br w:val="nil"/>
                    <w:tr2bl w:val="nil"/>
                  </w:tcBorders>
                  <w:vAlign w:val="center"/>
                </w:tcPr>
                <w:p w14:paraId="6FCEDDAA">
                  <w:pPr>
                    <w:adjustRightInd w:val="0"/>
                    <w:snapToGrid w:val="0"/>
                    <w:jc w:val="center"/>
                    <w:rPr>
                      <w:color w:val="auto"/>
                      <w:szCs w:val="21"/>
                      <w:highlight w:val="none"/>
                    </w:rPr>
                  </w:pPr>
                  <w:r>
                    <w:rPr>
                      <w:color w:val="auto"/>
                      <w:szCs w:val="21"/>
                      <w:highlight w:val="none"/>
                    </w:rPr>
                    <w:t>原料区堆存</w:t>
                  </w:r>
                </w:p>
              </w:tc>
              <w:tc>
                <w:tcPr>
                  <w:tcW w:w="337" w:type="pct"/>
                  <w:vMerge w:val="continue"/>
                  <w:tcBorders>
                    <w:tl2br w:val="nil"/>
                    <w:tr2bl w:val="nil"/>
                  </w:tcBorders>
                  <w:vAlign w:val="center"/>
                </w:tcPr>
                <w:p w14:paraId="164294DC">
                  <w:pPr>
                    <w:adjustRightInd w:val="0"/>
                    <w:snapToGrid w:val="0"/>
                    <w:jc w:val="center"/>
                    <w:rPr>
                      <w:color w:val="auto"/>
                      <w:szCs w:val="21"/>
                      <w:highlight w:val="none"/>
                    </w:rPr>
                  </w:pPr>
                </w:p>
              </w:tc>
              <w:tc>
                <w:tcPr>
                  <w:tcW w:w="371" w:type="pct"/>
                  <w:tcBorders>
                    <w:tl2br w:val="nil"/>
                    <w:tr2bl w:val="nil"/>
                  </w:tcBorders>
                  <w:vAlign w:val="center"/>
                </w:tcPr>
                <w:p w14:paraId="21DCD902">
                  <w:pPr>
                    <w:widowControl/>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 xml:space="preserve">0.182 </w:t>
                  </w:r>
                </w:p>
              </w:tc>
              <w:tc>
                <w:tcPr>
                  <w:tcW w:w="324" w:type="pct"/>
                  <w:tcBorders>
                    <w:tl2br w:val="nil"/>
                    <w:tr2bl w:val="nil"/>
                  </w:tcBorders>
                  <w:vAlign w:val="center"/>
                </w:tcPr>
                <w:p w14:paraId="0CCD5171">
                  <w:pPr>
                    <w:widowControl/>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 xml:space="preserve">0.021 </w:t>
                  </w:r>
                </w:p>
              </w:tc>
              <w:tc>
                <w:tcPr>
                  <w:tcW w:w="371" w:type="pct"/>
                  <w:tcBorders>
                    <w:tl2br w:val="nil"/>
                    <w:tr2bl w:val="nil"/>
                  </w:tcBorders>
                  <w:vAlign w:val="center"/>
                </w:tcPr>
                <w:p w14:paraId="543028DC">
                  <w:pPr>
                    <w:adjustRightInd w:val="0"/>
                    <w:snapToGrid w:val="0"/>
                    <w:jc w:val="center"/>
                    <w:rPr>
                      <w:color w:val="auto"/>
                      <w:szCs w:val="21"/>
                      <w:highlight w:val="none"/>
                    </w:rPr>
                  </w:pPr>
                  <w:r>
                    <w:rPr>
                      <w:color w:val="auto"/>
                      <w:szCs w:val="21"/>
                      <w:highlight w:val="none"/>
                    </w:rPr>
                    <w:t>无组织</w:t>
                  </w:r>
                </w:p>
              </w:tc>
              <w:tc>
                <w:tcPr>
                  <w:tcW w:w="298" w:type="pct"/>
                  <w:tcBorders>
                    <w:tl2br w:val="nil"/>
                    <w:tr2bl w:val="nil"/>
                  </w:tcBorders>
                  <w:vAlign w:val="center"/>
                </w:tcPr>
                <w:p w14:paraId="606A3FC9">
                  <w:pPr>
                    <w:adjustRightInd w:val="0"/>
                    <w:snapToGrid w:val="0"/>
                    <w:jc w:val="center"/>
                    <w:rPr>
                      <w:color w:val="auto"/>
                      <w:szCs w:val="21"/>
                      <w:highlight w:val="none"/>
                    </w:rPr>
                  </w:pPr>
                  <w:r>
                    <w:rPr>
                      <w:color w:val="auto"/>
                      <w:szCs w:val="21"/>
                      <w:highlight w:val="none"/>
                    </w:rPr>
                    <w:t>/</w:t>
                  </w:r>
                </w:p>
              </w:tc>
              <w:tc>
                <w:tcPr>
                  <w:tcW w:w="1530" w:type="pct"/>
                  <w:tcBorders>
                    <w:tl2br w:val="nil"/>
                    <w:tr2bl w:val="nil"/>
                  </w:tcBorders>
                  <w:vAlign w:val="center"/>
                </w:tcPr>
                <w:p w14:paraId="32FE1AA6">
                  <w:pPr>
                    <w:widowControl/>
                    <w:jc w:val="center"/>
                    <w:rPr>
                      <w:color w:val="auto"/>
                      <w:szCs w:val="21"/>
                      <w:highlight w:val="none"/>
                    </w:rPr>
                  </w:pPr>
                  <w:r>
                    <w:rPr>
                      <w:rFonts w:hint="eastAsia"/>
                      <w:color w:val="auto"/>
                      <w:kern w:val="0"/>
                      <w:szCs w:val="21"/>
                      <w:highlight w:val="none"/>
                      <w:lang w:bidi="ar"/>
                    </w:rPr>
                    <w:t>原料区为半敞开式，通过设置顶棚</w:t>
                  </w:r>
                  <w:r>
                    <w:rPr>
                      <w:rFonts w:hint="eastAsia"/>
                      <w:color w:val="auto"/>
                      <w:kern w:val="0"/>
                      <w:szCs w:val="21"/>
                      <w:highlight w:val="none"/>
                      <w:lang w:eastAsia="zh-CN" w:bidi="ar"/>
                    </w:rPr>
                    <w:t>、</w:t>
                  </w:r>
                  <w:r>
                    <w:rPr>
                      <w:rFonts w:hint="eastAsia"/>
                      <w:color w:val="auto"/>
                      <w:kern w:val="0"/>
                      <w:szCs w:val="21"/>
                      <w:highlight w:val="none"/>
                      <w:lang w:bidi="ar"/>
                    </w:rPr>
                    <w:t>四周设置5m高围挡、</w:t>
                  </w:r>
                  <w:r>
                    <w:rPr>
                      <w:rFonts w:hint="eastAsia"/>
                      <w:color w:val="auto"/>
                      <w:szCs w:val="21"/>
                      <w:highlight w:val="none"/>
                      <w:lang w:val="en-US" w:eastAsia="zh-CN"/>
                    </w:rPr>
                    <w:t>围挡与顶棚连接采取防尘网、</w:t>
                  </w:r>
                  <w:r>
                    <w:rPr>
                      <w:rFonts w:hint="eastAsia"/>
                      <w:color w:val="auto"/>
                      <w:kern w:val="0"/>
                      <w:szCs w:val="21"/>
                      <w:highlight w:val="none"/>
                      <w:lang w:bidi="ar"/>
                    </w:rPr>
                    <w:t>加强管理等措施</w:t>
                  </w:r>
                </w:p>
              </w:tc>
              <w:tc>
                <w:tcPr>
                  <w:tcW w:w="287" w:type="pct"/>
                  <w:tcBorders>
                    <w:tl2br w:val="nil"/>
                    <w:tr2bl w:val="nil"/>
                  </w:tcBorders>
                  <w:vAlign w:val="center"/>
                </w:tcPr>
                <w:p w14:paraId="3919D4D3">
                  <w:pPr>
                    <w:adjustRightInd w:val="0"/>
                    <w:snapToGrid w:val="0"/>
                    <w:jc w:val="center"/>
                    <w:rPr>
                      <w:color w:val="auto"/>
                      <w:szCs w:val="21"/>
                      <w:highlight w:val="none"/>
                    </w:rPr>
                  </w:pPr>
                  <w:r>
                    <w:rPr>
                      <w:color w:val="auto"/>
                      <w:szCs w:val="21"/>
                      <w:highlight w:val="none"/>
                    </w:rPr>
                    <w:t>70</w:t>
                  </w:r>
                </w:p>
              </w:tc>
              <w:tc>
                <w:tcPr>
                  <w:tcW w:w="810" w:type="dxa"/>
                  <w:tcBorders>
                    <w:tl2br w:val="nil"/>
                    <w:tr2bl w:val="nil"/>
                  </w:tcBorders>
                  <w:vAlign w:val="center"/>
                </w:tcPr>
                <w:p w14:paraId="08BA8A2B">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0.055 </w:t>
                  </w:r>
                </w:p>
              </w:tc>
              <w:tc>
                <w:tcPr>
                  <w:tcW w:w="797" w:type="dxa"/>
                  <w:tcBorders>
                    <w:tl2br w:val="nil"/>
                    <w:tr2bl w:val="nil"/>
                  </w:tcBorders>
                  <w:vAlign w:val="center"/>
                </w:tcPr>
                <w:p w14:paraId="7364C62E">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0.006 </w:t>
                  </w:r>
                </w:p>
              </w:tc>
              <w:tc>
                <w:tcPr>
                  <w:tcW w:w="325" w:type="pct"/>
                  <w:tcBorders>
                    <w:tl2br w:val="nil"/>
                    <w:tr2bl w:val="nil"/>
                  </w:tcBorders>
                  <w:vAlign w:val="center"/>
                </w:tcPr>
                <w:p w14:paraId="2E311731">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w:t>
                  </w:r>
                </w:p>
              </w:tc>
            </w:tr>
            <w:tr w14:paraId="4624D2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vMerge w:val="restart"/>
                  <w:tcBorders>
                    <w:tl2br w:val="nil"/>
                    <w:tr2bl w:val="nil"/>
                  </w:tcBorders>
                  <w:vAlign w:val="center"/>
                </w:tcPr>
                <w:p w14:paraId="149BA584">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给料机上料</w:t>
                  </w:r>
                </w:p>
              </w:tc>
              <w:tc>
                <w:tcPr>
                  <w:tcW w:w="337" w:type="pct"/>
                  <w:vMerge w:val="continue"/>
                  <w:tcBorders>
                    <w:tl2br w:val="nil"/>
                    <w:tr2bl w:val="nil"/>
                  </w:tcBorders>
                  <w:vAlign w:val="center"/>
                </w:tcPr>
                <w:p w14:paraId="0F4A740B">
                  <w:pPr>
                    <w:adjustRightInd w:val="0"/>
                    <w:snapToGrid w:val="0"/>
                    <w:jc w:val="center"/>
                    <w:rPr>
                      <w:color w:val="auto"/>
                      <w:szCs w:val="21"/>
                      <w:highlight w:val="none"/>
                    </w:rPr>
                  </w:pPr>
                </w:p>
              </w:tc>
              <w:tc>
                <w:tcPr>
                  <w:tcW w:w="371" w:type="pct"/>
                  <w:vMerge w:val="restart"/>
                  <w:tcBorders>
                    <w:tl2br w:val="nil"/>
                    <w:tr2bl w:val="nil"/>
                  </w:tcBorders>
                  <w:vAlign w:val="center"/>
                </w:tcPr>
                <w:p w14:paraId="48F3FE95">
                  <w:pPr>
                    <w:widowControl/>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 xml:space="preserve">5.210 </w:t>
                  </w:r>
                </w:p>
              </w:tc>
              <w:tc>
                <w:tcPr>
                  <w:tcW w:w="324" w:type="pct"/>
                  <w:vMerge w:val="restart"/>
                  <w:tcBorders>
                    <w:tl2br w:val="nil"/>
                    <w:tr2bl w:val="nil"/>
                  </w:tcBorders>
                  <w:vAlign w:val="center"/>
                </w:tcPr>
                <w:p w14:paraId="290826D1">
                  <w:pPr>
                    <w:widowControl/>
                    <w:jc w:val="center"/>
                    <w:textAlignment w:val="center"/>
                    <w:rPr>
                      <w:rFonts w:ascii="Times New Roman" w:hAnsi="Times New Roman" w:eastAsia="宋体" w:cs="Times New Roman"/>
                      <w:color w:val="auto"/>
                      <w:kern w:val="0"/>
                      <w:szCs w:val="21"/>
                      <w:highlight w:val="none"/>
                      <w:lang w:bidi="ar"/>
                    </w:rPr>
                  </w:pPr>
                  <w:r>
                    <w:rPr>
                      <w:rFonts w:hint="eastAsia" w:ascii="Times New Roman" w:hAnsi="Times New Roman" w:eastAsia="宋体" w:cs="Times New Roman"/>
                      <w:color w:val="auto"/>
                      <w:kern w:val="0"/>
                      <w:szCs w:val="21"/>
                      <w:highlight w:val="none"/>
                      <w:lang w:val="en-US" w:eastAsia="zh-CN" w:bidi="ar"/>
                    </w:rPr>
                    <w:t xml:space="preserve">2.714 </w:t>
                  </w:r>
                </w:p>
              </w:tc>
              <w:tc>
                <w:tcPr>
                  <w:tcW w:w="371" w:type="pct"/>
                  <w:tcBorders>
                    <w:tl2br w:val="nil"/>
                    <w:tr2bl w:val="nil"/>
                  </w:tcBorders>
                  <w:vAlign w:val="center"/>
                </w:tcPr>
                <w:p w14:paraId="08F38478">
                  <w:pPr>
                    <w:adjustRightInd w:val="0"/>
                    <w:snapToGrid w:val="0"/>
                    <w:jc w:val="center"/>
                    <w:rPr>
                      <w:color w:val="auto"/>
                      <w:szCs w:val="21"/>
                      <w:highlight w:val="none"/>
                    </w:rPr>
                  </w:pPr>
                  <w:r>
                    <w:rPr>
                      <w:color w:val="auto"/>
                      <w:szCs w:val="21"/>
                      <w:highlight w:val="none"/>
                    </w:rPr>
                    <w:t>有组织</w:t>
                  </w:r>
                </w:p>
              </w:tc>
              <w:tc>
                <w:tcPr>
                  <w:tcW w:w="298" w:type="pct"/>
                  <w:tcBorders>
                    <w:tl2br w:val="nil"/>
                    <w:tr2bl w:val="nil"/>
                  </w:tcBorders>
                  <w:vAlign w:val="center"/>
                </w:tcPr>
                <w:p w14:paraId="704067AD">
                  <w:pPr>
                    <w:adjustRightInd w:val="0"/>
                    <w:snapToGrid w:val="0"/>
                    <w:jc w:val="center"/>
                    <w:rPr>
                      <w:rFonts w:hint="default" w:eastAsia="宋体"/>
                      <w:color w:val="auto"/>
                      <w:szCs w:val="21"/>
                      <w:highlight w:val="none"/>
                      <w:lang w:val="en-US" w:eastAsia="zh-CN"/>
                    </w:rPr>
                  </w:pPr>
                  <w:r>
                    <w:rPr>
                      <w:rFonts w:hint="eastAsia"/>
                      <w:color w:val="auto"/>
                      <w:szCs w:val="21"/>
                      <w:highlight w:val="none"/>
                      <w:lang w:val="en-US" w:eastAsia="zh-CN"/>
                    </w:rPr>
                    <w:t>90</w:t>
                  </w:r>
                </w:p>
              </w:tc>
              <w:tc>
                <w:tcPr>
                  <w:tcW w:w="1530" w:type="pct"/>
                  <w:tcBorders>
                    <w:tl2br w:val="nil"/>
                    <w:tr2bl w:val="nil"/>
                  </w:tcBorders>
                  <w:vAlign w:val="center"/>
                </w:tcPr>
                <w:p w14:paraId="72E146C6">
                  <w:pPr>
                    <w:widowControl/>
                    <w:jc w:val="center"/>
                    <w:rPr>
                      <w:color w:val="auto"/>
                      <w:szCs w:val="21"/>
                      <w:highlight w:val="none"/>
                    </w:rPr>
                  </w:pPr>
                  <w:r>
                    <w:rPr>
                      <w:color w:val="auto"/>
                      <w:szCs w:val="21"/>
                      <w:highlight w:val="none"/>
                    </w:rPr>
                    <w:t>集气罩+袋式除尘器+15米高排气筒DA001</w:t>
                  </w:r>
                </w:p>
              </w:tc>
              <w:tc>
                <w:tcPr>
                  <w:tcW w:w="287" w:type="pct"/>
                  <w:tcBorders>
                    <w:tl2br w:val="nil"/>
                    <w:tr2bl w:val="nil"/>
                  </w:tcBorders>
                  <w:vAlign w:val="center"/>
                </w:tcPr>
                <w:p w14:paraId="79984DB1">
                  <w:pPr>
                    <w:adjustRightInd w:val="0"/>
                    <w:snapToGrid w:val="0"/>
                    <w:jc w:val="center"/>
                    <w:rPr>
                      <w:color w:val="auto"/>
                      <w:szCs w:val="21"/>
                      <w:highlight w:val="none"/>
                    </w:rPr>
                  </w:pPr>
                  <w:r>
                    <w:rPr>
                      <w:color w:val="auto"/>
                      <w:szCs w:val="21"/>
                      <w:highlight w:val="none"/>
                    </w:rPr>
                    <w:t>99</w:t>
                  </w:r>
                </w:p>
              </w:tc>
              <w:tc>
                <w:tcPr>
                  <w:tcW w:w="810" w:type="dxa"/>
                  <w:tcBorders>
                    <w:tl2br w:val="nil"/>
                    <w:tr2bl w:val="nil"/>
                  </w:tcBorders>
                  <w:vAlign w:val="center"/>
                </w:tcPr>
                <w:p w14:paraId="594CCEDF">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0.047 </w:t>
                  </w:r>
                </w:p>
              </w:tc>
              <w:tc>
                <w:tcPr>
                  <w:tcW w:w="797" w:type="dxa"/>
                  <w:tcBorders>
                    <w:tl2br w:val="nil"/>
                    <w:tr2bl w:val="nil"/>
                  </w:tcBorders>
                  <w:vAlign w:val="center"/>
                </w:tcPr>
                <w:p w14:paraId="6A1BFD0F">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0.024 </w:t>
                  </w:r>
                </w:p>
              </w:tc>
              <w:tc>
                <w:tcPr>
                  <w:tcW w:w="805" w:type="dxa"/>
                  <w:tcBorders>
                    <w:tl2br w:val="nil"/>
                    <w:tr2bl w:val="nil"/>
                  </w:tcBorders>
                  <w:vAlign w:val="center"/>
                </w:tcPr>
                <w:p w14:paraId="5B32AC65">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1.2 </w:t>
                  </w:r>
                </w:p>
              </w:tc>
            </w:tr>
            <w:tr w14:paraId="1D676D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04" w:type="pct"/>
                  <w:vMerge w:val="continue"/>
                  <w:tcBorders>
                    <w:tl2br w:val="nil"/>
                    <w:tr2bl w:val="nil"/>
                  </w:tcBorders>
                  <w:vAlign w:val="center"/>
                </w:tcPr>
                <w:p w14:paraId="78814FAD">
                  <w:pPr>
                    <w:adjustRightInd w:val="0"/>
                    <w:snapToGrid w:val="0"/>
                    <w:jc w:val="center"/>
                    <w:rPr>
                      <w:color w:val="auto"/>
                      <w:szCs w:val="21"/>
                      <w:highlight w:val="none"/>
                    </w:rPr>
                  </w:pPr>
                </w:p>
              </w:tc>
              <w:tc>
                <w:tcPr>
                  <w:tcW w:w="337" w:type="pct"/>
                  <w:vMerge w:val="continue"/>
                  <w:tcBorders>
                    <w:tl2br w:val="nil"/>
                    <w:tr2bl w:val="nil"/>
                  </w:tcBorders>
                  <w:vAlign w:val="center"/>
                </w:tcPr>
                <w:p w14:paraId="1F169502">
                  <w:pPr>
                    <w:adjustRightInd w:val="0"/>
                    <w:snapToGrid w:val="0"/>
                    <w:jc w:val="center"/>
                    <w:rPr>
                      <w:color w:val="auto"/>
                      <w:szCs w:val="21"/>
                      <w:highlight w:val="none"/>
                    </w:rPr>
                  </w:pPr>
                </w:p>
              </w:tc>
              <w:tc>
                <w:tcPr>
                  <w:tcW w:w="371" w:type="pct"/>
                  <w:vMerge w:val="continue"/>
                  <w:tcBorders>
                    <w:tl2br w:val="nil"/>
                    <w:tr2bl w:val="nil"/>
                  </w:tcBorders>
                  <w:vAlign w:val="center"/>
                </w:tcPr>
                <w:p w14:paraId="0EB5ACC3">
                  <w:pPr>
                    <w:widowControl/>
                    <w:jc w:val="center"/>
                    <w:textAlignment w:val="center"/>
                    <w:rPr>
                      <w:rFonts w:ascii="Times New Roman" w:hAnsi="Times New Roman" w:eastAsia="宋体" w:cs="Times New Roman"/>
                      <w:color w:val="auto"/>
                      <w:kern w:val="0"/>
                      <w:szCs w:val="21"/>
                      <w:highlight w:val="none"/>
                      <w:lang w:bidi="ar"/>
                    </w:rPr>
                  </w:pPr>
                </w:p>
              </w:tc>
              <w:tc>
                <w:tcPr>
                  <w:tcW w:w="324" w:type="pct"/>
                  <w:vMerge w:val="continue"/>
                  <w:tcBorders>
                    <w:tl2br w:val="nil"/>
                    <w:tr2bl w:val="nil"/>
                  </w:tcBorders>
                  <w:vAlign w:val="center"/>
                </w:tcPr>
                <w:p w14:paraId="262A9448">
                  <w:pPr>
                    <w:widowControl/>
                    <w:jc w:val="center"/>
                    <w:textAlignment w:val="center"/>
                    <w:rPr>
                      <w:rFonts w:ascii="Times New Roman" w:hAnsi="Times New Roman" w:eastAsia="宋体" w:cs="Times New Roman"/>
                      <w:color w:val="auto"/>
                      <w:kern w:val="0"/>
                      <w:szCs w:val="21"/>
                      <w:highlight w:val="none"/>
                      <w:lang w:bidi="ar"/>
                    </w:rPr>
                  </w:pPr>
                </w:p>
              </w:tc>
              <w:tc>
                <w:tcPr>
                  <w:tcW w:w="371" w:type="pct"/>
                  <w:tcBorders>
                    <w:tl2br w:val="nil"/>
                    <w:tr2bl w:val="nil"/>
                  </w:tcBorders>
                  <w:vAlign w:val="center"/>
                </w:tcPr>
                <w:p w14:paraId="26C21D29">
                  <w:pPr>
                    <w:adjustRightInd w:val="0"/>
                    <w:snapToGrid w:val="0"/>
                    <w:jc w:val="center"/>
                    <w:rPr>
                      <w:color w:val="auto"/>
                      <w:szCs w:val="21"/>
                      <w:highlight w:val="none"/>
                    </w:rPr>
                  </w:pPr>
                  <w:r>
                    <w:rPr>
                      <w:color w:val="auto"/>
                      <w:szCs w:val="21"/>
                      <w:highlight w:val="none"/>
                    </w:rPr>
                    <w:t>无组织</w:t>
                  </w:r>
                </w:p>
              </w:tc>
              <w:tc>
                <w:tcPr>
                  <w:tcW w:w="298" w:type="pct"/>
                  <w:tcBorders>
                    <w:tl2br w:val="nil"/>
                    <w:tr2bl w:val="nil"/>
                  </w:tcBorders>
                  <w:vAlign w:val="center"/>
                </w:tcPr>
                <w:p w14:paraId="4A690B35">
                  <w:pPr>
                    <w:adjustRightInd w:val="0"/>
                    <w:snapToGrid w:val="0"/>
                    <w:jc w:val="center"/>
                    <w:rPr>
                      <w:color w:val="auto"/>
                      <w:szCs w:val="21"/>
                      <w:highlight w:val="none"/>
                    </w:rPr>
                  </w:pPr>
                  <w:r>
                    <w:rPr>
                      <w:color w:val="auto"/>
                      <w:szCs w:val="21"/>
                      <w:highlight w:val="none"/>
                    </w:rPr>
                    <w:t>/</w:t>
                  </w:r>
                </w:p>
              </w:tc>
              <w:tc>
                <w:tcPr>
                  <w:tcW w:w="1530" w:type="pct"/>
                  <w:tcBorders>
                    <w:tl2br w:val="nil"/>
                    <w:tr2bl w:val="nil"/>
                  </w:tcBorders>
                  <w:vAlign w:val="center"/>
                </w:tcPr>
                <w:p w14:paraId="44104B21">
                  <w:pPr>
                    <w:widowControl/>
                    <w:jc w:val="center"/>
                    <w:rPr>
                      <w:rFonts w:hint="default" w:eastAsia="宋体"/>
                      <w:color w:val="auto"/>
                      <w:szCs w:val="21"/>
                      <w:highlight w:val="none"/>
                      <w:lang w:val="en-US" w:eastAsia="zh-CN"/>
                    </w:rPr>
                  </w:pPr>
                  <w:r>
                    <w:rPr>
                      <w:color w:val="FF0000"/>
                      <w:szCs w:val="21"/>
                      <w:highlight w:val="none"/>
                    </w:rPr>
                    <w:t>车间</w:t>
                  </w:r>
                  <w:r>
                    <w:rPr>
                      <w:rFonts w:hint="eastAsia"/>
                      <w:color w:val="FF0000"/>
                      <w:szCs w:val="21"/>
                      <w:highlight w:val="none"/>
                      <w:lang w:val="en-US" w:eastAsia="zh-CN"/>
                    </w:rPr>
                    <w:t>全</w:t>
                  </w:r>
                  <w:r>
                    <w:rPr>
                      <w:color w:val="FF0000"/>
                      <w:szCs w:val="21"/>
                      <w:highlight w:val="none"/>
                    </w:rPr>
                    <w:t>封闭，配置雾炮机降尘</w:t>
                  </w:r>
                  <w:r>
                    <w:rPr>
                      <w:rFonts w:hint="eastAsia"/>
                      <w:color w:val="FF0000"/>
                      <w:szCs w:val="21"/>
                      <w:highlight w:val="none"/>
                      <w:lang w:eastAsia="zh-CN"/>
                    </w:rPr>
                    <w:t>，</w:t>
                  </w:r>
                  <w:r>
                    <w:rPr>
                      <w:rFonts w:hint="eastAsia"/>
                      <w:color w:val="FF0000"/>
                      <w:szCs w:val="21"/>
                      <w:highlight w:val="none"/>
                      <w:lang w:val="en-US" w:eastAsia="zh-CN"/>
                    </w:rPr>
                    <w:t>给料机上方设置喷淋抑尘</w:t>
                  </w:r>
                </w:p>
              </w:tc>
              <w:tc>
                <w:tcPr>
                  <w:tcW w:w="287" w:type="pct"/>
                  <w:tcBorders>
                    <w:tl2br w:val="nil"/>
                    <w:tr2bl w:val="nil"/>
                  </w:tcBorders>
                  <w:vAlign w:val="center"/>
                </w:tcPr>
                <w:p w14:paraId="2F92A751">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w:t>
                  </w:r>
                </w:p>
              </w:tc>
              <w:tc>
                <w:tcPr>
                  <w:tcW w:w="810" w:type="dxa"/>
                  <w:tcBorders>
                    <w:tl2br w:val="nil"/>
                    <w:tr2bl w:val="nil"/>
                  </w:tcBorders>
                  <w:vAlign w:val="center"/>
                </w:tcPr>
                <w:p w14:paraId="7C165F9F">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0.014 </w:t>
                  </w:r>
                </w:p>
              </w:tc>
              <w:tc>
                <w:tcPr>
                  <w:tcW w:w="797" w:type="dxa"/>
                  <w:tcBorders>
                    <w:tl2br w:val="nil"/>
                    <w:tr2bl w:val="nil"/>
                  </w:tcBorders>
                  <w:vAlign w:val="center"/>
                </w:tcPr>
                <w:p w14:paraId="608F00F7">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0.007 </w:t>
                  </w:r>
                </w:p>
              </w:tc>
              <w:tc>
                <w:tcPr>
                  <w:tcW w:w="805" w:type="dxa"/>
                  <w:tcBorders>
                    <w:tl2br w:val="nil"/>
                    <w:tr2bl w:val="nil"/>
                  </w:tcBorders>
                  <w:vAlign w:val="center"/>
                </w:tcPr>
                <w:p w14:paraId="28013DB6">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w:t>
                  </w:r>
                </w:p>
              </w:tc>
            </w:tr>
            <w:tr w14:paraId="51E2F4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vMerge w:val="restart"/>
                  <w:tcBorders>
                    <w:tl2br w:val="nil"/>
                    <w:tr2bl w:val="nil"/>
                  </w:tcBorders>
                  <w:vAlign w:val="center"/>
                </w:tcPr>
                <w:p w14:paraId="12402823">
                  <w:pPr>
                    <w:widowControl/>
                    <w:jc w:val="center"/>
                    <w:rPr>
                      <w:color w:val="auto"/>
                      <w:szCs w:val="21"/>
                      <w:highlight w:val="none"/>
                    </w:rPr>
                  </w:pPr>
                  <w:r>
                    <w:rPr>
                      <w:rFonts w:hint="eastAsia"/>
                      <w:color w:val="auto"/>
                      <w:szCs w:val="21"/>
                      <w:highlight w:val="none"/>
                      <w:lang w:val="en-US" w:eastAsia="zh-CN"/>
                    </w:rPr>
                    <w:t>碎石</w:t>
                  </w:r>
                  <w:r>
                    <w:rPr>
                      <w:rFonts w:hint="eastAsia"/>
                      <w:color w:val="auto"/>
                      <w:szCs w:val="21"/>
                      <w:highlight w:val="none"/>
                    </w:rPr>
                    <w:t>加工及转运</w:t>
                  </w:r>
                </w:p>
              </w:tc>
              <w:tc>
                <w:tcPr>
                  <w:tcW w:w="337" w:type="pct"/>
                  <w:vMerge w:val="continue"/>
                  <w:tcBorders>
                    <w:tl2br w:val="nil"/>
                    <w:tr2bl w:val="nil"/>
                  </w:tcBorders>
                  <w:vAlign w:val="center"/>
                </w:tcPr>
                <w:p w14:paraId="7DEF72FE">
                  <w:pPr>
                    <w:adjustRightInd w:val="0"/>
                    <w:snapToGrid w:val="0"/>
                    <w:jc w:val="center"/>
                    <w:rPr>
                      <w:color w:val="auto"/>
                      <w:szCs w:val="21"/>
                      <w:highlight w:val="none"/>
                    </w:rPr>
                  </w:pPr>
                </w:p>
              </w:tc>
              <w:tc>
                <w:tcPr>
                  <w:tcW w:w="919" w:type="dxa"/>
                  <w:vMerge w:val="restart"/>
                  <w:tcBorders>
                    <w:tl2br w:val="nil"/>
                    <w:tr2bl w:val="nil"/>
                  </w:tcBorders>
                  <w:vAlign w:val="center"/>
                </w:tcPr>
                <w:p w14:paraId="0BB8869D">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491.400 </w:t>
                  </w:r>
                </w:p>
              </w:tc>
              <w:tc>
                <w:tcPr>
                  <w:tcW w:w="802" w:type="dxa"/>
                  <w:vMerge w:val="restart"/>
                  <w:tcBorders>
                    <w:tl2br w:val="nil"/>
                    <w:tr2bl w:val="nil"/>
                  </w:tcBorders>
                  <w:vAlign w:val="center"/>
                </w:tcPr>
                <w:p w14:paraId="0FC8C428">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255.938 </w:t>
                  </w:r>
                </w:p>
              </w:tc>
              <w:tc>
                <w:tcPr>
                  <w:tcW w:w="371" w:type="pct"/>
                  <w:tcBorders>
                    <w:tl2br w:val="nil"/>
                    <w:tr2bl w:val="nil"/>
                  </w:tcBorders>
                  <w:vAlign w:val="center"/>
                </w:tcPr>
                <w:p w14:paraId="5623B64A">
                  <w:pPr>
                    <w:adjustRightInd w:val="0"/>
                    <w:snapToGrid w:val="0"/>
                    <w:jc w:val="center"/>
                    <w:rPr>
                      <w:color w:val="auto"/>
                      <w:szCs w:val="21"/>
                      <w:highlight w:val="none"/>
                    </w:rPr>
                  </w:pPr>
                  <w:r>
                    <w:rPr>
                      <w:color w:val="auto"/>
                      <w:szCs w:val="21"/>
                      <w:highlight w:val="none"/>
                    </w:rPr>
                    <w:t>有组织</w:t>
                  </w:r>
                </w:p>
              </w:tc>
              <w:tc>
                <w:tcPr>
                  <w:tcW w:w="298" w:type="pct"/>
                  <w:tcBorders>
                    <w:tl2br w:val="nil"/>
                    <w:tr2bl w:val="nil"/>
                  </w:tcBorders>
                  <w:vAlign w:val="center"/>
                </w:tcPr>
                <w:p w14:paraId="23D663C8">
                  <w:pPr>
                    <w:adjustRightInd w:val="0"/>
                    <w:snapToGrid w:val="0"/>
                    <w:jc w:val="center"/>
                    <w:rPr>
                      <w:color w:val="auto"/>
                      <w:szCs w:val="21"/>
                      <w:highlight w:val="none"/>
                    </w:rPr>
                  </w:pPr>
                  <w:r>
                    <w:rPr>
                      <w:rFonts w:hint="eastAsia"/>
                      <w:color w:val="auto"/>
                      <w:szCs w:val="21"/>
                      <w:highlight w:val="none"/>
                      <w:lang w:val="en-US" w:eastAsia="zh-CN"/>
                    </w:rPr>
                    <w:t>90</w:t>
                  </w:r>
                </w:p>
              </w:tc>
              <w:tc>
                <w:tcPr>
                  <w:tcW w:w="1530" w:type="pct"/>
                  <w:tcBorders>
                    <w:tl2br w:val="nil"/>
                    <w:tr2bl w:val="nil"/>
                  </w:tcBorders>
                  <w:vAlign w:val="center"/>
                </w:tcPr>
                <w:p w14:paraId="61E9961D">
                  <w:pPr>
                    <w:widowControl/>
                    <w:jc w:val="center"/>
                    <w:rPr>
                      <w:color w:val="auto"/>
                      <w:szCs w:val="21"/>
                      <w:highlight w:val="none"/>
                    </w:rPr>
                  </w:pPr>
                  <w:r>
                    <w:rPr>
                      <w:color w:val="auto"/>
                      <w:szCs w:val="21"/>
                      <w:highlight w:val="none"/>
                    </w:rPr>
                    <w:t>集气罩+袋式除尘器+15米高排气筒DA001</w:t>
                  </w:r>
                </w:p>
              </w:tc>
              <w:tc>
                <w:tcPr>
                  <w:tcW w:w="287" w:type="pct"/>
                  <w:tcBorders>
                    <w:tl2br w:val="nil"/>
                    <w:tr2bl w:val="nil"/>
                  </w:tcBorders>
                  <w:vAlign w:val="center"/>
                </w:tcPr>
                <w:p w14:paraId="21B01165">
                  <w:pPr>
                    <w:adjustRightInd w:val="0"/>
                    <w:snapToGrid w:val="0"/>
                    <w:jc w:val="center"/>
                    <w:rPr>
                      <w:color w:val="auto"/>
                      <w:szCs w:val="21"/>
                      <w:highlight w:val="none"/>
                    </w:rPr>
                  </w:pPr>
                  <w:r>
                    <w:rPr>
                      <w:color w:val="auto"/>
                      <w:szCs w:val="21"/>
                      <w:highlight w:val="none"/>
                    </w:rPr>
                    <w:t>99</w:t>
                  </w:r>
                </w:p>
              </w:tc>
              <w:tc>
                <w:tcPr>
                  <w:tcW w:w="810" w:type="dxa"/>
                  <w:tcBorders>
                    <w:tl2br w:val="nil"/>
                    <w:tr2bl w:val="nil"/>
                  </w:tcBorders>
                  <w:vAlign w:val="center"/>
                </w:tcPr>
                <w:p w14:paraId="514EAA6D">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4.423 </w:t>
                  </w:r>
                </w:p>
              </w:tc>
              <w:tc>
                <w:tcPr>
                  <w:tcW w:w="797" w:type="dxa"/>
                  <w:tcBorders>
                    <w:tl2br w:val="nil"/>
                    <w:tr2bl w:val="nil"/>
                  </w:tcBorders>
                  <w:vAlign w:val="center"/>
                </w:tcPr>
                <w:p w14:paraId="1F42CE0A">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2.303 </w:t>
                  </w:r>
                </w:p>
              </w:tc>
              <w:tc>
                <w:tcPr>
                  <w:tcW w:w="805" w:type="dxa"/>
                  <w:tcBorders>
                    <w:tl2br w:val="nil"/>
                    <w:tr2bl w:val="nil"/>
                  </w:tcBorders>
                  <w:vAlign w:val="center"/>
                </w:tcPr>
                <w:p w14:paraId="5B28FB1B">
                  <w:pPr>
                    <w:adjustRightInd w:val="0"/>
                    <w:snapToGrid w:val="0"/>
                    <w:jc w:val="center"/>
                    <w:rPr>
                      <w:rFonts w:hint="eastAsia"/>
                      <w:color w:val="FF0000"/>
                      <w:szCs w:val="21"/>
                      <w:highlight w:val="none"/>
                      <w:lang w:val="en-US" w:eastAsia="zh-CN"/>
                    </w:rPr>
                  </w:pPr>
                  <w:r>
                    <w:rPr>
                      <w:rFonts w:hint="eastAsia"/>
                      <w:color w:val="FF0000"/>
                      <w:szCs w:val="21"/>
                      <w:highlight w:val="none"/>
                      <w:lang w:val="en-US" w:eastAsia="zh-CN"/>
                    </w:rPr>
                    <w:t xml:space="preserve">115.15 </w:t>
                  </w:r>
                </w:p>
              </w:tc>
            </w:tr>
            <w:tr w14:paraId="223EC9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vMerge w:val="continue"/>
                  <w:tcBorders>
                    <w:tl2br w:val="nil"/>
                    <w:tr2bl w:val="nil"/>
                  </w:tcBorders>
                  <w:vAlign w:val="center"/>
                </w:tcPr>
                <w:p w14:paraId="1B64F30E">
                  <w:pPr>
                    <w:widowControl/>
                    <w:jc w:val="center"/>
                    <w:rPr>
                      <w:color w:val="auto"/>
                      <w:szCs w:val="21"/>
                      <w:highlight w:val="none"/>
                    </w:rPr>
                  </w:pPr>
                </w:p>
              </w:tc>
              <w:tc>
                <w:tcPr>
                  <w:tcW w:w="337" w:type="pct"/>
                  <w:vMerge w:val="continue"/>
                  <w:tcBorders>
                    <w:tl2br w:val="nil"/>
                    <w:tr2bl w:val="nil"/>
                  </w:tcBorders>
                  <w:vAlign w:val="center"/>
                </w:tcPr>
                <w:p w14:paraId="1B3C8016">
                  <w:pPr>
                    <w:adjustRightInd w:val="0"/>
                    <w:snapToGrid w:val="0"/>
                    <w:jc w:val="center"/>
                    <w:rPr>
                      <w:color w:val="auto"/>
                      <w:szCs w:val="21"/>
                      <w:highlight w:val="none"/>
                    </w:rPr>
                  </w:pPr>
                </w:p>
              </w:tc>
              <w:tc>
                <w:tcPr>
                  <w:tcW w:w="371" w:type="pct"/>
                  <w:vMerge w:val="continue"/>
                  <w:tcBorders>
                    <w:tl2br w:val="nil"/>
                    <w:tr2bl w:val="nil"/>
                  </w:tcBorders>
                  <w:vAlign w:val="center"/>
                </w:tcPr>
                <w:p w14:paraId="1BAA44BC">
                  <w:pPr>
                    <w:adjustRightInd w:val="0"/>
                    <w:snapToGrid w:val="0"/>
                    <w:jc w:val="center"/>
                    <w:rPr>
                      <w:rFonts w:hint="eastAsia"/>
                      <w:color w:val="auto"/>
                      <w:szCs w:val="21"/>
                      <w:highlight w:val="none"/>
                      <w:lang w:val="en-US" w:eastAsia="zh-CN"/>
                    </w:rPr>
                  </w:pPr>
                </w:p>
              </w:tc>
              <w:tc>
                <w:tcPr>
                  <w:tcW w:w="324" w:type="pct"/>
                  <w:vMerge w:val="continue"/>
                  <w:tcBorders>
                    <w:tl2br w:val="nil"/>
                    <w:tr2bl w:val="nil"/>
                  </w:tcBorders>
                  <w:vAlign w:val="center"/>
                </w:tcPr>
                <w:p w14:paraId="5E13B280">
                  <w:pPr>
                    <w:adjustRightInd w:val="0"/>
                    <w:snapToGrid w:val="0"/>
                    <w:jc w:val="center"/>
                    <w:rPr>
                      <w:rFonts w:hint="eastAsia"/>
                      <w:color w:val="auto"/>
                      <w:szCs w:val="21"/>
                      <w:highlight w:val="none"/>
                      <w:lang w:val="en-US" w:eastAsia="zh-CN"/>
                    </w:rPr>
                  </w:pPr>
                </w:p>
              </w:tc>
              <w:tc>
                <w:tcPr>
                  <w:tcW w:w="371" w:type="pct"/>
                  <w:tcBorders>
                    <w:tl2br w:val="nil"/>
                    <w:tr2bl w:val="nil"/>
                  </w:tcBorders>
                  <w:vAlign w:val="center"/>
                </w:tcPr>
                <w:p w14:paraId="4E08DD25">
                  <w:pPr>
                    <w:adjustRightInd w:val="0"/>
                    <w:snapToGrid w:val="0"/>
                    <w:jc w:val="center"/>
                    <w:rPr>
                      <w:color w:val="auto"/>
                      <w:szCs w:val="21"/>
                      <w:highlight w:val="none"/>
                    </w:rPr>
                  </w:pPr>
                  <w:r>
                    <w:rPr>
                      <w:color w:val="auto"/>
                      <w:szCs w:val="21"/>
                      <w:highlight w:val="none"/>
                    </w:rPr>
                    <w:t>无组织</w:t>
                  </w:r>
                </w:p>
              </w:tc>
              <w:tc>
                <w:tcPr>
                  <w:tcW w:w="298" w:type="pct"/>
                  <w:tcBorders>
                    <w:tl2br w:val="nil"/>
                    <w:tr2bl w:val="nil"/>
                  </w:tcBorders>
                  <w:vAlign w:val="center"/>
                </w:tcPr>
                <w:p w14:paraId="4C9D5E24">
                  <w:pPr>
                    <w:adjustRightInd w:val="0"/>
                    <w:snapToGrid w:val="0"/>
                    <w:jc w:val="center"/>
                    <w:rPr>
                      <w:color w:val="auto"/>
                      <w:szCs w:val="21"/>
                      <w:highlight w:val="none"/>
                    </w:rPr>
                  </w:pPr>
                  <w:r>
                    <w:rPr>
                      <w:color w:val="auto"/>
                      <w:szCs w:val="21"/>
                      <w:highlight w:val="none"/>
                    </w:rPr>
                    <w:t>/</w:t>
                  </w:r>
                </w:p>
              </w:tc>
              <w:tc>
                <w:tcPr>
                  <w:tcW w:w="1530" w:type="pct"/>
                  <w:tcBorders>
                    <w:tl2br w:val="nil"/>
                    <w:tr2bl w:val="nil"/>
                  </w:tcBorders>
                  <w:vAlign w:val="center"/>
                </w:tcPr>
                <w:p w14:paraId="17E0CB46">
                  <w:pPr>
                    <w:widowControl/>
                    <w:jc w:val="center"/>
                    <w:rPr>
                      <w:color w:val="auto"/>
                      <w:szCs w:val="21"/>
                      <w:highlight w:val="none"/>
                    </w:rPr>
                  </w:pPr>
                  <w:r>
                    <w:rPr>
                      <w:color w:val="auto"/>
                      <w:szCs w:val="21"/>
                      <w:highlight w:val="none"/>
                    </w:rPr>
                    <w:t>车间</w:t>
                  </w:r>
                  <w:r>
                    <w:rPr>
                      <w:rFonts w:hint="eastAsia"/>
                      <w:color w:val="auto"/>
                      <w:szCs w:val="21"/>
                      <w:highlight w:val="none"/>
                      <w:lang w:val="en-US" w:eastAsia="zh-CN"/>
                    </w:rPr>
                    <w:t>全</w:t>
                  </w:r>
                  <w:r>
                    <w:rPr>
                      <w:color w:val="auto"/>
                      <w:szCs w:val="21"/>
                      <w:highlight w:val="none"/>
                    </w:rPr>
                    <w:t>封闭，配置雾炮机洒水降尘等</w:t>
                  </w:r>
                </w:p>
              </w:tc>
              <w:tc>
                <w:tcPr>
                  <w:tcW w:w="287" w:type="pct"/>
                  <w:tcBorders>
                    <w:tl2br w:val="nil"/>
                    <w:tr2bl w:val="nil"/>
                  </w:tcBorders>
                  <w:vAlign w:val="center"/>
                </w:tcPr>
                <w:p w14:paraId="19A55844">
                  <w:pPr>
                    <w:adjustRightInd w:val="0"/>
                    <w:snapToGrid w:val="0"/>
                    <w:jc w:val="center"/>
                    <w:rPr>
                      <w:rFonts w:hint="eastAsia" w:eastAsia="宋体"/>
                      <w:color w:val="auto"/>
                      <w:szCs w:val="21"/>
                      <w:highlight w:val="none"/>
                      <w:lang w:eastAsia="zh-CN"/>
                    </w:rPr>
                  </w:pPr>
                  <w:r>
                    <w:rPr>
                      <w:rFonts w:hint="eastAsia"/>
                      <w:color w:val="auto"/>
                      <w:szCs w:val="21"/>
                      <w:highlight w:val="none"/>
                      <w:lang w:val="en-US" w:eastAsia="zh-CN"/>
                    </w:rPr>
                    <w:t>/</w:t>
                  </w:r>
                </w:p>
              </w:tc>
              <w:tc>
                <w:tcPr>
                  <w:tcW w:w="810" w:type="dxa"/>
                  <w:tcBorders>
                    <w:tl2br w:val="nil"/>
                    <w:tr2bl w:val="nil"/>
                  </w:tcBorders>
                  <w:vAlign w:val="center"/>
                </w:tcPr>
                <w:p w14:paraId="48DFB642">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1.278 </w:t>
                  </w:r>
                </w:p>
              </w:tc>
              <w:tc>
                <w:tcPr>
                  <w:tcW w:w="797" w:type="dxa"/>
                  <w:tcBorders>
                    <w:tl2br w:val="nil"/>
                    <w:tr2bl w:val="nil"/>
                  </w:tcBorders>
                  <w:vAlign w:val="center"/>
                </w:tcPr>
                <w:p w14:paraId="32B4E387">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0.665 </w:t>
                  </w:r>
                </w:p>
              </w:tc>
              <w:tc>
                <w:tcPr>
                  <w:tcW w:w="805" w:type="dxa"/>
                  <w:tcBorders>
                    <w:tl2br w:val="nil"/>
                    <w:tr2bl w:val="nil"/>
                  </w:tcBorders>
                  <w:vAlign w:val="center"/>
                </w:tcPr>
                <w:p w14:paraId="51243170">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w:t>
                  </w:r>
                </w:p>
              </w:tc>
            </w:tr>
            <w:tr w14:paraId="30502D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tcBorders>
                    <w:tl2br w:val="nil"/>
                    <w:tr2bl w:val="nil"/>
                  </w:tcBorders>
                  <w:vAlign w:val="center"/>
                </w:tcPr>
                <w:p w14:paraId="0BF974D9">
                  <w:pPr>
                    <w:adjustRightInd w:val="0"/>
                    <w:snapToGrid w:val="0"/>
                    <w:jc w:val="center"/>
                    <w:rPr>
                      <w:color w:val="auto"/>
                      <w:szCs w:val="21"/>
                      <w:highlight w:val="none"/>
                    </w:rPr>
                  </w:pPr>
                  <w:r>
                    <w:rPr>
                      <w:color w:val="auto"/>
                      <w:szCs w:val="21"/>
                      <w:highlight w:val="none"/>
                    </w:rPr>
                    <w:t>成品库落料、暂存</w:t>
                  </w:r>
                </w:p>
              </w:tc>
              <w:tc>
                <w:tcPr>
                  <w:tcW w:w="337" w:type="pct"/>
                  <w:vMerge w:val="continue"/>
                  <w:tcBorders>
                    <w:tl2br w:val="nil"/>
                    <w:tr2bl w:val="nil"/>
                  </w:tcBorders>
                  <w:vAlign w:val="center"/>
                </w:tcPr>
                <w:p w14:paraId="4C519BA4">
                  <w:pPr>
                    <w:adjustRightInd w:val="0"/>
                    <w:snapToGrid w:val="0"/>
                    <w:jc w:val="center"/>
                    <w:rPr>
                      <w:color w:val="auto"/>
                      <w:szCs w:val="21"/>
                      <w:highlight w:val="none"/>
                    </w:rPr>
                  </w:pPr>
                </w:p>
              </w:tc>
              <w:tc>
                <w:tcPr>
                  <w:tcW w:w="919" w:type="dxa"/>
                  <w:tcBorders>
                    <w:tl2br w:val="nil"/>
                    <w:tr2bl w:val="nil"/>
                  </w:tcBorders>
                  <w:vAlign w:val="center"/>
                </w:tcPr>
                <w:p w14:paraId="7F970826">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0.156 </w:t>
                  </w:r>
                </w:p>
              </w:tc>
              <w:tc>
                <w:tcPr>
                  <w:tcW w:w="802" w:type="dxa"/>
                  <w:tcBorders>
                    <w:tl2br w:val="nil"/>
                    <w:tr2bl w:val="nil"/>
                  </w:tcBorders>
                  <w:vAlign w:val="center"/>
                </w:tcPr>
                <w:p w14:paraId="7148B5D1">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0.018 </w:t>
                  </w:r>
                </w:p>
              </w:tc>
              <w:tc>
                <w:tcPr>
                  <w:tcW w:w="371" w:type="pct"/>
                  <w:tcBorders>
                    <w:tl2br w:val="nil"/>
                    <w:tr2bl w:val="nil"/>
                  </w:tcBorders>
                  <w:vAlign w:val="center"/>
                </w:tcPr>
                <w:p w14:paraId="059BF3CD">
                  <w:pPr>
                    <w:adjustRightInd w:val="0"/>
                    <w:snapToGrid w:val="0"/>
                    <w:jc w:val="center"/>
                    <w:rPr>
                      <w:color w:val="auto"/>
                      <w:szCs w:val="21"/>
                      <w:highlight w:val="none"/>
                    </w:rPr>
                  </w:pPr>
                  <w:r>
                    <w:rPr>
                      <w:color w:val="auto"/>
                      <w:szCs w:val="21"/>
                      <w:highlight w:val="none"/>
                    </w:rPr>
                    <w:t>无组织</w:t>
                  </w:r>
                </w:p>
              </w:tc>
              <w:tc>
                <w:tcPr>
                  <w:tcW w:w="298" w:type="pct"/>
                  <w:tcBorders>
                    <w:tl2br w:val="nil"/>
                    <w:tr2bl w:val="nil"/>
                  </w:tcBorders>
                  <w:vAlign w:val="center"/>
                </w:tcPr>
                <w:p w14:paraId="380077AA">
                  <w:pPr>
                    <w:adjustRightInd w:val="0"/>
                    <w:snapToGrid w:val="0"/>
                    <w:jc w:val="center"/>
                    <w:rPr>
                      <w:color w:val="auto"/>
                      <w:szCs w:val="21"/>
                      <w:highlight w:val="none"/>
                    </w:rPr>
                  </w:pPr>
                  <w:r>
                    <w:rPr>
                      <w:color w:val="auto"/>
                      <w:szCs w:val="21"/>
                      <w:highlight w:val="none"/>
                    </w:rPr>
                    <w:t>/</w:t>
                  </w:r>
                </w:p>
              </w:tc>
              <w:tc>
                <w:tcPr>
                  <w:tcW w:w="1530" w:type="pct"/>
                  <w:tcBorders>
                    <w:tl2br w:val="nil"/>
                    <w:tr2bl w:val="nil"/>
                  </w:tcBorders>
                  <w:vAlign w:val="center"/>
                </w:tcPr>
                <w:p w14:paraId="77524FEE">
                  <w:pPr>
                    <w:widowControl/>
                    <w:jc w:val="center"/>
                    <w:rPr>
                      <w:color w:val="auto"/>
                      <w:szCs w:val="21"/>
                      <w:highlight w:val="none"/>
                    </w:rPr>
                  </w:pPr>
                  <w:r>
                    <w:rPr>
                      <w:color w:val="auto"/>
                      <w:szCs w:val="21"/>
                      <w:highlight w:val="none"/>
                    </w:rPr>
                    <w:t>成品库</w:t>
                  </w:r>
                  <w:r>
                    <w:rPr>
                      <w:rFonts w:hint="eastAsia"/>
                      <w:color w:val="auto"/>
                      <w:szCs w:val="21"/>
                      <w:highlight w:val="none"/>
                      <w:lang w:val="en-US" w:eastAsia="zh-CN"/>
                    </w:rPr>
                    <w:t>全</w:t>
                  </w:r>
                  <w:r>
                    <w:rPr>
                      <w:color w:val="auto"/>
                      <w:szCs w:val="21"/>
                      <w:highlight w:val="none"/>
                    </w:rPr>
                    <w:t>封闭，并配置雾炮机洒水抑尘</w:t>
                  </w:r>
                  <w:r>
                    <w:rPr>
                      <w:color w:val="auto"/>
                      <w:kern w:val="0"/>
                      <w:szCs w:val="21"/>
                      <w:highlight w:val="none"/>
                      <w:lang w:bidi="ar"/>
                    </w:rPr>
                    <w:t>等</w:t>
                  </w:r>
                </w:p>
              </w:tc>
              <w:tc>
                <w:tcPr>
                  <w:tcW w:w="287" w:type="pct"/>
                  <w:tcBorders>
                    <w:tl2br w:val="nil"/>
                    <w:tr2bl w:val="nil"/>
                  </w:tcBorders>
                  <w:vAlign w:val="center"/>
                </w:tcPr>
                <w:p w14:paraId="44ADB17A">
                  <w:pPr>
                    <w:adjustRightInd w:val="0"/>
                    <w:snapToGrid w:val="0"/>
                    <w:jc w:val="center"/>
                    <w:rPr>
                      <w:color w:val="auto"/>
                      <w:szCs w:val="21"/>
                      <w:highlight w:val="none"/>
                    </w:rPr>
                  </w:pPr>
                  <w:r>
                    <w:rPr>
                      <w:color w:val="auto"/>
                      <w:szCs w:val="21"/>
                      <w:highlight w:val="none"/>
                    </w:rPr>
                    <w:t>80</w:t>
                  </w:r>
                </w:p>
              </w:tc>
              <w:tc>
                <w:tcPr>
                  <w:tcW w:w="810" w:type="dxa"/>
                  <w:tcBorders>
                    <w:tl2br w:val="nil"/>
                    <w:tr2bl w:val="nil"/>
                  </w:tcBorders>
                  <w:vAlign w:val="center"/>
                </w:tcPr>
                <w:p w14:paraId="67FDAD3A">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0.031 </w:t>
                  </w:r>
                </w:p>
              </w:tc>
              <w:tc>
                <w:tcPr>
                  <w:tcW w:w="797" w:type="dxa"/>
                  <w:tcBorders>
                    <w:tl2br w:val="nil"/>
                    <w:tr2bl w:val="nil"/>
                  </w:tcBorders>
                  <w:vAlign w:val="center"/>
                </w:tcPr>
                <w:p w14:paraId="61ABA354">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0.004 </w:t>
                  </w:r>
                </w:p>
              </w:tc>
              <w:tc>
                <w:tcPr>
                  <w:tcW w:w="325" w:type="pct"/>
                  <w:tcBorders>
                    <w:tl2br w:val="nil"/>
                    <w:tr2bl w:val="nil"/>
                  </w:tcBorders>
                  <w:vAlign w:val="center"/>
                </w:tcPr>
                <w:p w14:paraId="1B00F5FC">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w:t>
                  </w:r>
                </w:p>
              </w:tc>
            </w:tr>
            <w:tr w14:paraId="47545E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tcBorders>
                    <w:tl2br w:val="nil"/>
                    <w:tr2bl w:val="nil"/>
                  </w:tcBorders>
                  <w:vAlign w:val="center"/>
                </w:tcPr>
                <w:p w14:paraId="5CE8600A">
                  <w:pPr>
                    <w:adjustRightInd w:val="0"/>
                    <w:snapToGrid w:val="0"/>
                    <w:jc w:val="center"/>
                    <w:rPr>
                      <w:color w:val="auto"/>
                      <w:szCs w:val="21"/>
                      <w:highlight w:val="none"/>
                    </w:rPr>
                  </w:pPr>
                  <w:r>
                    <w:rPr>
                      <w:color w:val="auto"/>
                      <w:szCs w:val="21"/>
                      <w:highlight w:val="none"/>
                    </w:rPr>
                    <w:t>成品装货</w:t>
                  </w:r>
                </w:p>
              </w:tc>
              <w:tc>
                <w:tcPr>
                  <w:tcW w:w="337" w:type="pct"/>
                  <w:vMerge w:val="continue"/>
                  <w:tcBorders>
                    <w:tl2br w:val="nil"/>
                    <w:tr2bl w:val="nil"/>
                  </w:tcBorders>
                  <w:vAlign w:val="center"/>
                </w:tcPr>
                <w:p w14:paraId="7C6E71E4">
                  <w:pPr>
                    <w:adjustRightInd w:val="0"/>
                    <w:snapToGrid w:val="0"/>
                    <w:jc w:val="center"/>
                    <w:rPr>
                      <w:color w:val="auto"/>
                      <w:szCs w:val="21"/>
                      <w:highlight w:val="none"/>
                    </w:rPr>
                  </w:pPr>
                </w:p>
              </w:tc>
              <w:tc>
                <w:tcPr>
                  <w:tcW w:w="919" w:type="dxa"/>
                  <w:tcBorders>
                    <w:tl2br w:val="nil"/>
                    <w:tr2bl w:val="nil"/>
                  </w:tcBorders>
                  <w:vAlign w:val="center"/>
                </w:tcPr>
                <w:p w14:paraId="31EAC5D4">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2.600 </w:t>
                  </w:r>
                </w:p>
              </w:tc>
              <w:tc>
                <w:tcPr>
                  <w:tcW w:w="802" w:type="dxa"/>
                  <w:tcBorders>
                    <w:tl2br w:val="nil"/>
                    <w:tr2bl w:val="nil"/>
                  </w:tcBorders>
                  <w:vAlign w:val="center"/>
                </w:tcPr>
                <w:p w14:paraId="7553D25C">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1.354 </w:t>
                  </w:r>
                </w:p>
              </w:tc>
              <w:tc>
                <w:tcPr>
                  <w:tcW w:w="371" w:type="pct"/>
                  <w:tcBorders>
                    <w:tl2br w:val="nil"/>
                    <w:tr2bl w:val="nil"/>
                  </w:tcBorders>
                  <w:vAlign w:val="center"/>
                </w:tcPr>
                <w:p w14:paraId="4C6930F0">
                  <w:pPr>
                    <w:adjustRightInd w:val="0"/>
                    <w:snapToGrid w:val="0"/>
                    <w:jc w:val="center"/>
                    <w:rPr>
                      <w:color w:val="auto"/>
                      <w:szCs w:val="21"/>
                      <w:highlight w:val="none"/>
                    </w:rPr>
                  </w:pPr>
                  <w:r>
                    <w:rPr>
                      <w:color w:val="auto"/>
                      <w:szCs w:val="21"/>
                      <w:highlight w:val="none"/>
                    </w:rPr>
                    <w:t>无组织</w:t>
                  </w:r>
                </w:p>
              </w:tc>
              <w:tc>
                <w:tcPr>
                  <w:tcW w:w="298" w:type="pct"/>
                  <w:tcBorders>
                    <w:tl2br w:val="nil"/>
                    <w:tr2bl w:val="nil"/>
                  </w:tcBorders>
                  <w:vAlign w:val="center"/>
                </w:tcPr>
                <w:p w14:paraId="3D3CFA59">
                  <w:pPr>
                    <w:adjustRightInd w:val="0"/>
                    <w:snapToGrid w:val="0"/>
                    <w:jc w:val="center"/>
                    <w:rPr>
                      <w:color w:val="auto"/>
                      <w:szCs w:val="21"/>
                      <w:highlight w:val="none"/>
                    </w:rPr>
                  </w:pPr>
                  <w:r>
                    <w:rPr>
                      <w:color w:val="auto"/>
                      <w:szCs w:val="21"/>
                      <w:highlight w:val="none"/>
                    </w:rPr>
                    <w:t>/</w:t>
                  </w:r>
                </w:p>
              </w:tc>
              <w:tc>
                <w:tcPr>
                  <w:tcW w:w="1530" w:type="pct"/>
                  <w:tcBorders>
                    <w:tl2br w:val="nil"/>
                    <w:tr2bl w:val="nil"/>
                  </w:tcBorders>
                  <w:vAlign w:val="center"/>
                </w:tcPr>
                <w:p w14:paraId="3C1323E7">
                  <w:pPr>
                    <w:adjustRightInd w:val="0"/>
                    <w:snapToGrid w:val="0"/>
                    <w:jc w:val="center"/>
                    <w:rPr>
                      <w:color w:val="auto"/>
                      <w:szCs w:val="21"/>
                      <w:highlight w:val="none"/>
                    </w:rPr>
                  </w:pPr>
                  <w:r>
                    <w:rPr>
                      <w:color w:val="auto"/>
                      <w:szCs w:val="21"/>
                      <w:highlight w:val="none"/>
                    </w:rPr>
                    <w:t>成品库</w:t>
                  </w:r>
                  <w:r>
                    <w:rPr>
                      <w:rFonts w:hint="eastAsia"/>
                      <w:color w:val="auto"/>
                      <w:szCs w:val="21"/>
                      <w:highlight w:val="none"/>
                      <w:lang w:val="en-US" w:eastAsia="zh-CN"/>
                    </w:rPr>
                    <w:t>全</w:t>
                  </w:r>
                  <w:r>
                    <w:rPr>
                      <w:color w:val="auto"/>
                      <w:szCs w:val="21"/>
                      <w:highlight w:val="none"/>
                    </w:rPr>
                    <w:t>封闭，并配置雾炮机洒水抑尘</w:t>
                  </w:r>
                  <w:r>
                    <w:rPr>
                      <w:color w:val="auto"/>
                      <w:kern w:val="0"/>
                      <w:szCs w:val="21"/>
                      <w:highlight w:val="none"/>
                      <w:lang w:bidi="ar"/>
                    </w:rPr>
                    <w:t>等</w:t>
                  </w:r>
                </w:p>
              </w:tc>
              <w:tc>
                <w:tcPr>
                  <w:tcW w:w="287" w:type="pct"/>
                  <w:tcBorders>
                    <w:tl2br w:val="nil"/>
                    <w:tr2bl w:val="nil"/>
                  </w:tcBorders>
                  <w:vAlign w:val="center"/>
                </w:tcPr>
                <w:p w14:paraId="27D40AA9">
                  <w:pPr>
                    <w:adjustRightInd w:val="0"/>
                    <w:snapToGrid w:val="0"/>
                    <w:jc w:val="center"/>
                    <w:rPr>
                      <w:color w:val="auto"/>
                      <w:szCs w:val="21"/>
                      <w:highlight w:val="none"/>
                    </w:rPr>
                  </w:pPr>
                  <w:r>
                    <w:rPr>
                      <w:color w:val="auto"/>
                      <w:szCs w:val="21"/>
                      <w:highlight w:val="none"/>
                    </w:rPr>
                    <w:t>80</w:t>
                  </w:r>
                </w:p>
              </w:tc>
              <w:tc>
                <w:tcPr>
                  <w:tcW w:w="810" w:type="dxa"/>
                  <w:tcBorders>
                    <w:tl2br w:val="nil"/>
                    <w:tr2bl w:val="nil"/>
                  </w:tcBorders>
                  <w:vAlign w:val="center"/>
                </w:tcPr>
                <w:p w14:paraId="4AB75097">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0.520 </w:t>
                  </w:r>
                </w:p>
              </w:tc>
              <w:tc>
                <w:tcPr>
                  <w:tcW w:w="797" w:type="dxa"/>
                  <w:tcBorders>
                    <w:tl2br w:val="nil"/>
                    <w:tr2bl w:val="nil"/>
                  </w:tcBorders>
                  <w:vAlign w:val="center"/>
                </w:tcPr>
                <w:p w14:paraId="1B18F36D">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0.271 </w:t>
                  </w:r>
                </w:p>
              </w:tc>
              <w:tc>
                <w:tcPr>
                  <w:tcW w:w="325" w:type="pct"/>
                  <w:tcBorders>
                    <w:tl2br w:val="nil"/>
                    <w:tr2bl w:val="nil"/>
                  </w:tcBorders>
                  <w:vAlign w:val="center"/>
                </w:tcPr>
                <w:p w14:paraId="6E6DD9D7">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w:t>
                  </w:r>
                </w:p>
              </w:tc>
            </w:tr>
            <w:tr w14:paraId="23AD96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vMerge w:val="restart"/>
                  <w:tcBorders>
                    <w:tl2br w:val="nil"/>
                    <w:tr2bl w:val="nil"/>
                  </w:tcBorders>
                  <w:vAlign w:val="center"/>
                </w:tcPr>
                <w:p w14:paraId="2BE8964C">
                  <w:pPr>
                    <w:adjustRightInd w:val="0"/>
                    <w:snapToGrid w:val="0"/>
                    <w:jc w:val="center"/>
                    <w:rPr>
                      <w:color w:val="auto"/>
                      <w:szCs w:val="21"/>
                      <w:highlight w:val="none"/>
                    </w:rPr>
                  </w:pPr>
                  <w:r>
                    <w:rPr>
                      <w:color w:val="auto"/>
                      <w:szCs w:val="21"/>
                      <w:highlight w:val="none"/>
                    </w:rPr>
                    <w:t>合计</w:t>
                  </w:r>
                </w:p>
              </w:tc>
              <w:tc>
                <w:tcPr>
                  <w:tcW w:w="337" w:type="pct"/>
                  <w:vMerge w:val="continue"/>
                  <w:tcBorders>
                    <w:tl2br w:val="nil"/>
                    <w:tr2bl w:val="nil"/>
                  </w:tcBorders>
                  <w:vAlign w:val="center"/>
                </w:tcPr>
                <w:p w14:paraId="37C95980">
                  <w:pPr>
                    <w:adjustRightInd w:val="0"/>
                    <w:snapToGrid w:val="0"/>
                    <w:jc w:val="center"/>
                    <w:rPr>
                      <w:color w:val="auto"/>
                      <w:szCs w:val="21"/>
                      <w:highlight w:val="none"/>
                    </w:rPr>
                  </w:pPr>
                </w:p>
              </w:tc>
              <w:tc>
                <w:tcPr>
                  <w:tcW w:w="371" w:type="pct"/>
                  <w:tcBorders>
                    <w:tl2br w:val="nil"/>
                    <w:tr2bl w:val="nil"/>
                  </w:tcBorders>
                  <w:vAlign w:val="center"/>
                </w:tcPr>
                <w:p w14:paraId="31CE0202">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446.949 </w:t>
                  </w:r>
                </w:p>
              </w:tc>
              <w:tc>
                <w:tcPr>
                  <w:tcW w:w="324" w:type="pct"/>
                  <w:tcBorders>
                    <w:tl2br w:val="nil"/>
                    <w:tr2bl w:val="nil"/>
                  </w:tcBorders>
                  <w:vAlign w:val="center"/>
                </w:tcPr>
                <w:p w14:paraId="5C7A7D03">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w:t>
                  </w:r>
                </w:p>
              </w:tc>
              <w:tc>
                <w:tcPr>
                  <w:tcW w:w="371" w:type="pct"/>
                  <w:tcBorders>
                    <w:tl2br w:val="nil"/>
                    <w:tr2bl w:val="nil"/>
                  </w:tcBorders>
                  <w:vAlign w:val="center"/>
                </w:tcPr>
                <w:p w14:paraId="17FE28D0">
                  <w:pPr>
                    <w:adjustRightInd w:val="0"/>
                    <w:snapToGrid w:val="0"/>
                    <w:jc w:val="center"/>
                    <w:rPr>
                      <w:color w:val="auto"/>
                      <w:szCs w:val="21"/>
                      <w:highlight w:val="none"/>
                    </w:rPr>
                  </w:pPr>
                  <w:r>
                    <w:rPr>
                      <w:color w:val="auto"/>
                      <w:szCs w:val="21"/>
                      <w:highlight w:val="none"/>
                    </w:rPr>
                    <w:t>有组织</w:t>
                  </w:r>
                </w:p>
              </w:tc>
              <w:tc>
                <w:tcPr>
                  <w:tcW w:w="298" w:type="pct"/>
                  <w:tcBorders>
                    <w:tl2br w:val="nil"/>
                    <w:tr2bl w:val="nil"/>
                  </w:tcBorders>
                  <w:vAlign w:val="center"/>
                </w:tcPr>
                <w:p w14:paraId="2279BE22">
                  <w:pPr>
                    <w:adjustRightInd w:val="0"/>
                    <w:snapToGrid w:val="0"/>
                    <w:jc w:val="center"/>
                    <w:rPr>
                      <w:color w:val="auto"/>
                      <w:szCs w:val="21"/>
                      <w:highlight w:val="none"/>
                    </w:rPr>
                  </w:pPr>
                  <w:r>
                    <w:rPr>
                      <w:color w:val="auto"/>
                      <w:szCs w:val="21"/>
                      <w:highlight w:val="none"/>
                    </w:rPr>
                    <w:t>/</w:t>
                  </w:r>
                </w:p>
              </w:tc>
              <w:tc>
                <w:tcPr>
                  <w:tcW w:w="1530" w:type="pct"/>
                  <w:tcBorders>
                    <w:tl2br w:val="nil"/>
                    <w:tr2bl w:val="nil"/>
                  </w:tcBorders>
                  <w:vAlign w:val="center"/>
                </w:tcPr>
                <w:p w14:paraId="7E766238">
                  <w:pPr>
                    <w:adjustRightInd w:val="0"/>
                    <w:snapToGrid w:val="0"/>
                    <w:jc w:val="center"/>
                    <w:rPr>
                      <w:color w:val="auto"/>
                      <w:szCs w:val="21"/>
                      <w:highlight w:val="none"/>
                    </w:rPr>
                  </w:pPr>
                  <w:r>
                    <w:rPr>
                      <w:color w:val="auto"/>
                      <w:szCs w:val="21"/>
                      <w:highlight w:val="none"/>
                    </w:rPr>
                    <w:t>/</w:t>
                  </w:r>
                </w:p>
              </w:tc>
              <w:tc>
                <w:tcPr>
                  <w:tcW w:w="287" w:type="pct"/>
                  <w:tcBorders>
                    <w:tl2br w:val="nil"/>
                    <w:tr2bl w:val="nil"/>
                  </w:tcBorders>
                  <w:vAlign w:val="center"/>
                </w:tcPr>
                <w:p w14:paraId="2441B29E">
                  <w:pPr>
                    <w:adjustRightInd w:val="0"/>
                    <w:snapToGrid w:val="0"/>
                    <w:jc w:val="center"/>
                    <w:rPr>
                      <w:color w:val="auto"/>
                      <w:szCs w:val="21"/>
                      <w:highlight w:val="none"/>
                    </w:rPr>
                  </w:pPr>
                  <w:r>
                    <w:rPr>
                      <w:color w:val="auto"/>
                      <w:szCs w:val="21"/>
                      <w:highlight w:val="none"/>
                    </w:rPr>
                    <w:t>/</w:t>
                  </w:r>
                </w:p>
              </w:tc>
              <w:tc>
                <w:tcPr>
                  <w:tcW w:w="810" w:type="dxa"/>
                  <w:tcBorders>
                    <w:tl2br w:val="nil"/>
                    <w:tr2bl w:val="nil"/>
                  </w:tcBorders>
                  <w:vAlign w:val="center"/>
                </w:tcPr>
                <w:p w14:paraId="29A82994">
                  <w:pPr>
                    <w:keepNext w:val="0"/>
                    <w:keepLines w:val="0"/>
                    <w:widowControl/>
                    <w:suppressLineNumbers w:val="0"/>
                    <w:jc w:val="right"/>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4.469 </w:t>
                  </w:r>
                </w:p>
              </w:tc>
              <w:tc>
                <w:tcPr>
                  <w:tcW w:w="322" w:type="pct"/>
                  <w:tcBorders>
                    <w:tl2br w:val="nil"/>
                    <w:tr2bl w:val="nil"/>
                  </w:tcBorders>
                  <w:vAlign w:val="center"/>
                </w:tcPr>
                <w:p w14:paraId="2DE49D78">
                  <w:pPr>
                    <w:adjustRightInd w:val="0"/>
                    <w:snapToGrid w:val="0"/>
                    <w:jc w:val="center"/>
                    <w:rPr>
                      <w:color w:val="auto"/>
                      <w:szCs w:val="21"/>
                      <w:highlight w:val="none"/>
                    </w:rPr>
                  </w:pPr>
                  <w:r>
                    <w:rPr>
                      <w:color w:val="auto"/>
                      <w:szCs w:val="21"/>
                      <w:highlight w:val="none"/>
                    </w:rPr>
                    <w:t>/</w:t>
                  </w:r>
                </w:p>
              </w:tc>
              <w:tc>
                <w:tcPr>
                  <w:tcW w:w="325" w:type="pct"/>
                  <w:tcBorders>
                    <w:tl2br w:val="nil"/>
                    <w:tr2bl w:val="nil"/>
                  </w:tcBorders>
                  <w:vAlign w:val="center"/>
                </w:tcPr>
                <w:p w14:paraId="6BB9A1E3">
                  <w:pPr>
                    <w:adjustRightInd w:val="0"/>
                    <w:snapToGrid w:val="0"/>
                    <w:jc w:val="center"/>
                    <w:rPr>
                      <w:color w:val="auto"/>
                      <w:szCs w:val="21"/>
                      <w:highlight w:val="none"/>
                    </w:rPr>
                  </w:pPr>
                  <w:r>
                    <w:rPr>
                      <w:color w:val="auto"/>
                      <w:szCs w:val="21"/>
                      <w:highlight w:val="none"/>
                    </w:rPr>
                    <w:t>/</w:t>
                  </w:r>
                </w:p>
              </w:tc>
            </w:tr>
            <w:tr w14:paraId="2ECA6A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504" w:type="pct"/>
                  <w:vMerge w:val="continue"/>
                  <w:tcBorders>
                    <w:tl2br w:val="nil"/>
                    <w:tr2bl w:val="nil"/>
                  </w:tcBorders>
                  <w:vAlign w:val="center"/>
                </w:tcPr>
                <w:p w14:paraId="0C530311">
                  <w:pPr>
                    <w:adjustRightInd w:val="0"/>
                    <w:snapToGrid w:val="0"/>
                    <w:jc w:val="center"/>
                    <w:rPr>
                      <w:color w:val="auto"/>
                      <w:szCs w:val="21"/>
                      <w:highlight w:val="none"/>
                    </w:rPr>
                  </w:pPr>
                </w:p>
              </w:tc>
              <w:tc>
                <w:tcPr>
                  <w:tcW w:w="337" w:type="pct"/>
                  <w:vMerge w:val="continue"/>
                  <w:tcBorders>
                    <w:tl2br w:val="nil"/>
                    <w:tr2bl w:val="nil"/>
                  </w:tcBorders>
                  <w:vAlign w:val="center"/>
                </w:tcPr>
                <w:p w14:paraId="5922C160">
                  <w:pPr>
                    <w:adjustRightInd w:val="0"/>
                    <w:snapToGrid w:val="0"/>
                    <w:jc w:val="center"/>
                    <w:rPr>
                      <w:color w:val="auto"/>
                      <w:szCs w:val="21"/>
                      <w:highlight w:val="none"/>
                    </w:rPr>
                  </w:pPr>
                </w:p>
              </w:tc>
              <w:tc>
                <w:tcPr>
                  <w:tcW w:w="371" w:type="pct"/>
                  <w:tcBorders>
                    <w:tl2br w:val="nil"/>
                    <w:tr2bl w:val="nil"/>
                  </w:tcBorders>
                  <w:vAlign w:val="center"/>
                </w:tcPr>
                <w:p w14:paraId="27C0508D">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 xml:space="preserve">58.351 </w:t>
                  </w:r>
                </w:p>
              </w:tc>
              <w:tc>
                <w:tcPr>
                  <w:tcW w:w="324" w:type="pct"/>
                  <w:tcBorders>
                    <w:tl2br w:val="nil"/>
                    <w:tr2bl w:val="nil"/>
                  </w:tcBorders>
                  <w:vAlign w:val="center"/>
                </w:tcPr>
                <w:p w14:paraId="4ECFC2A3">
                  <w:pPr>
                    <w:adjustRightInd w:val="0"/>
                    <w:snapToGrid w:val="0"/>
                    <w:jc w:val="center"/>
                    <w:rPr>
                      <w:rFonts w:hint="eastAsia"/>
                      <w:color w:val="auto"/>
                      <w:szCs w:val="21"/>
                      <w:highlight w:val="none"/>
                      <w:lang w:val="en-US" w:eastAsia="zh-CN"/>
                    </w:rPr>
                  </w:pPr>
                  <w:r>
                    <w:rPr>
                      <w:rFonts w:hint="eastAsia"/>
                      <w:color w:val="auto"/>
                      <w:szCs w:val="21"/>
                      <w:highlight w:val="none"/>
                      <w:lang w:val="en-US" w:eastAsia="zh-CN"/>
                    </w:rPr>
                    <w:t>/</w:t>
                  </w:r>
                </w:p>
              </w:tc>
              <w:tc>
                <w:tcPr>
                  <w:tcW w:w="371" w:type="pct"/>
                  <w:tcBorders>
                    <w:tl2br w:val="nil"/>
                    <w:tr2bl w:val="nil"/>
                  </w:tcBorders>
                  <w:vAlign w:val="center"/>
                </w:tcPr>
                <w:p w14:paraId="7D682E78">
                  <w:pPr>
                    <w:adjustRightInd w:val="0"/>
                    <w:snapToGrid w:val="0"/>
                    <w:jc w:val="center"/>
                    <w:rPr>
                      <w:color w:val="auto"/>
                      <w:szCs w:val="21"/>
                      <w:highlight w:val="none"/>
                    </w:rPr>
                  </w:pPr>
                  <w:r>
                    <w:rPr>
                      <w:color w:val="auto"/>
                      <w:szCs w:val="21"/>
                      <w:highlight w:val="none"/>
                    </w:rPr>
                    <w:t>无组织</w:t>
                  </w:r>
                </w:p>
              </w:tc>
              <w:tc>
                <w:tcPr>
                  <w:tcW w:w="298" w:type="pct"/>
                  <w:tcBorders>
                    <w:tl2br w:val="nil"/>
                    <w:tr2bl w:val="nil"/>
                  </w:tcBorders>
                  <w:vAlign w:val="center"/>
                </w:tcPr>
                <w:p w14:paraId="193F7AFB">
                  <w:pPr>
                    <w:adjustRightInd w:val="0"/>
                    <w:snapToGrid w:val="0"/>
                    <w:jc w:val="center"/>
                    <w:rPr>
                      <w:color w:val="auto"/>
                      <w:szCs w:val="21"/>
                      <w:highlight w:val="none"/>
                    </w:rPr>
                  </w:pPr>
                  <w:r>
                    <w:rPr>
                      <w:color w:val="auto"/>
                      <w:szCs w:val="21"/>
                      <w:highlight w:val="none"/>
                    </w:rPr>
                    <w:t>/</w:t>
                  </w:r>
                </w:p>
              </w:tc>
              <w:tc>
                <w:tcPr>
                  <w:tcW w:w="1530" w:type="pct"/>
                  <w:tcBorders>
                    <w:tl2br w:val="nil"/>
                    <w:tr2bl w:val="nil"/>
                  </w:tcBorders>
                  <w:vAlign w:val="center"/>
                </w:tcPr>
                <w:p w14:paraId="60B4963C">
                  <w:pPr>
                    <w:adjustRightInd w:val="0"/>
                    <w:snapToGrid w:val="0"/>
                    <w:jc w:val="center"/>
                    <w:rPr>
                      <w:color w:val="auto"/>
                      <w:szCs w:val="21"/>
                      <w:highlight w:val="none"/>
                    </w:rPr>
                  </w:pPr>
                  <w:r>
                    <w:rPr>
                      <w:color w:val="auto"/>
                      <w:szCs w:val="21"/>
                      <w:highlight w:val="none"/>
                    </w:rPr>
                    <w:t>/</w:t>
                  </w:r>
                </w:p>
              </w:tc>
              <w:tc>
                <w:tcPr>
                  <w:tcW w:w="287" w:type="pct"/>
                  <w:tcBorders>
                    <w:tl2br w:val="nil"/>
                    <w:tr2bl w:val="nil"/>
                  </w:tcBorders>
                  <w:vAlign w:val="center"/>
                </w:tcPr>
                <w:p w14:paraId="6C2EE69F">
                  <w:pPr>
                    <w:adjustRightInd w:val="0"/>
                    <w:snapToGrid w:val="0"/>
                    <w:jc w:val="center"/>
                    <w:rPr>
                      <w:color w:val="auto"/>
                      <w:szCs w:val="21"/>
                      <w:highlight w:val="none"/>
                    </w:rPr>
                  </w:pPr>
                  <w:r>
                    <w:rPr>
                      <w:color w:val="auto"/>
                      <w:szCs w:val="21"/>
                      <w:highlight w:val="none"/>
                    </w:rPr>
                    <w:t>/</w:t>
                  </w:r>
                </w:p>
              </w:tc>
              <w:tc>
                <w:tcPr>
                  <w:tcW w:w="810" w:type="dxa"/>
                  <w:tcBorders>
                    <w:tl2br w:val="nil"/>
                    <w:tr2bl w:val="nil"/>
                  </w:tcBorders>
                  <w:vAlign w:val="center"/>
                </w:tcPr>
                <w:p w14:paraId="747A3586">
                  <w:pPr>
                    <w:keepNext w:val="0"/>
                    <w:keepLines w:val="0"/>
                    <w:widowControl/>
                    <w:suppressLineNumbers w:val="0"/>
                    <w:jc w:val="right"/>
                    <w:textAlignment w:val="center"/>
                    <w:rPr>
                      <w:rFonts w:hint="default" w:ascii="Times New Roman" w:hAnsi="Times New Roman" w:cs="Times New Roman"/>
                      <w:color w:val="auto"/>
                      <w:szCs w:val="21"/>
                      <w:highlight w:val="none"/>
                    </w:rPr>
                  </w:pPr>
                  <w:r>
                    <w:rPr>
                      <w:rFonts w:hint="default" w:ascii="Times New Roman" w:hAnsi="Times New Roman" w:eastAsia="宋体" w:cs="Times New Roman"/>
                      <w:i w:val="0"/>
                      <w:iCs w:val="0"/>
                      <w:color w:val="auto"/>
                      <w:kern w:val="0"/>
                      <w:sz w:val="22"/>
                      <w:szCs w:val="22"/>
                      <w:highlight w:val="none"/>
                      <w:u w:val="none"/>
                      <w:lang w:val="en-US" w:eastAsia="zh-CN" w:bidi="ar"/>
                    </w:rPr>
                    <w:t xml:space="preserve">3.414 </w:t>
                  </w:r>
                </w:p>
              </w:tc>
              <w:tc>
                <w:tcPr>
                  <w:tcW w:w="322" w:type="pct"/>
                  <w:tcBorders>
                    <w:tl2br w:val="nil"/>
                    <w:tr2bl w:val="nil"/>
                  </w:tcBorders>
                  <w:vAlign w:val="center"/>
                </w:tcPr>
                <w:p w14:paraId="07168C25">
                  <w:pPr>
                    <w:adjustRightInd w:val="0"/>
                    <w:snapToGrid w:val="0"/>
                    <w:jc w:val="center"/>
                    <w:rPr>
                      <w:color w:val="auto"/>
                      <w:szCs w:val="21"/>
                      <w:highlight w:val="none"/>
                    </w:rPr>
                  </w:pPr>
                  <w:r>
                    <w:rPr>
                      <w:color w:val="auto"/>
                      <w:szCs w:val="21"/>
                      <w:highlight w:val="none"/>
                    </w:rPr>
                    <w:t>/</w:t>
                  </w:r>
                </w:p>
              </w:tc>
              <w:tc>
                <w:tcPr>
                  <w:tcW w:w="325" w:type="pct"/>
                  <w:tcBorders>
                    <w:tl2br w:val="nil"/>
                    <w:tr2bl w:val="nil"/>
                  </w:tcBorders>
                  <w:vAlign w:val="center"/>
                </w:tcPr>
                <w:p w14:paraId="2B2BB08A">
                  <w:pPr>
                    <w:adjustRightInd w:val="0"/>
                    <w:snapToGrid w:val="0"/>
                    <w:jc w:val="center"/>
                    <w:rPr>
                      <w:color w:val="auto"/>
                      <w:szCs w:val="21"/>
                      <w:highlight w:val="none"/>
                    </w:rPr>
                  </w:pPr>
                  <w:r>
                    <w:rPr>
                      <w:color w:val="auto"/>
                      <w:szCs w:val="21"/>
                      <w:highlight w:val="none"/>
                    </w:rPr>
                    <w:t>/</w:t>
                  </w:r>
                </w:p>
              </w:tc>
            </w:tr>
          </w:tbl>
          <w:p w14:paraId="06BE536D">
            <w:pPr>
              <w:pStyle w:val="23"/>
              <w:rPr>
                <w:color w:val="000000" w:themeColor="text1"/>
                <w:highlight w:val="none"/>
                <w14:textFill>
                  <w14:solidFill>
                    <w14:schemeClr w14:val="tx1"/>
                  </w14:solidFill>
                </w14:textFill>
              </w:rPr>
            </w:pPr>
          </w:p>
          <w:p w14:paraId="0ED47290">
            <w:pPr>
              <w:rPr>
                <w:color w:val="000000" w:themeColor="text1"/>
                <w:highlight w:val="none"/>
                <w14:textFill>
                  <w14:solidFill>
                    <w14:schemeClr w14:val="tx1"/>
                  </w14:solidFill>
                </w14:textFill>
              </w:rPr>
            </w:pPr>
          </w:p>
        </w:tc>
      </w:tr>
    </w:tbl>
    <w:p w14:paraId="6CDFBFAC">
      <w:pPr>
        <w:rPr>
          <w:color w:val="000000" w:themeColor="text1"/>
          <w:highlight w:val="none"/>
          <w14:textFill>
            <w14:solidFill>
              <w14:schemeClr w14:val="tx1"/>
            </w14:solidFill>
          </w14:textFill>
        </w:rPr>
      </w:pPr>
    </w:p>
    <w:p w14:paraId="7C3F865E">
      <w:pPr>
        <w:rPr>
          <w:color w:val="000000" w:themeColor="text1"/>
          <w:highlight w:val="none"/>
          <w14:textFill>
            <w14:solidFill>
              <w14:schemeClr w14:val="tx1"/>
            </w14:solidFill>
          </w14:textFill>
        </w:rPr>
        <w:sectPr>
          <w:pgSz w:w="16840" w:h="11907" w:orient="landscape"/>
          <w:pgMar w:top="1531" w:right="1701" w:bottom="1531" w:left="2127" w:header="851" w:footer="851" w:gutter="0"/>
          <w:pgNumType w:fmt="decimal"/>
          <w:cols w:space="720" w:num="1"/>
          <w:docGrid w:linePitch="312" w:charSpace="0"/>
        </w:sectPr>
      </w:pPr>
    </w:p>
    <w:tbl>
      <w:tblPr>
        <w:tblStyle w:val="18"/>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411"/>
        <w:gridCol w:w="8570"/>
      </w:tblGrid>
      <w:tr w14:paraId="6A46BD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11" w:type="dxa"/>
            <w:tcMar>
              <w:left w:w="28" w:type="dxa"/>
              <w:right w:w="28" w:type="dxa"/>
            </w:tcMar>
            <w:vAlign w:val="center"/>
          </w:tcPr>
          <w:p w14:paraId="6CA6BBE0">
            <w:pPr>
              <w:adjustRightInd w:val="0"/>
              <w:snapToGrid w:val="0"/>
              <w:jc w:val="center"/>
              <w:rPr>
                <w:rFonts w:ascii="宋体" w:hAnsi="宋体" w:cs="宋体"/>
                <w:bCs/>
                <w:color w:val="000000" w:themeColor="text1"/>
                <w:szCs w:val="21"/>
                <w:highlight w:val="none"/>
                <w14:textFill>
                  <w14:solidFill>
                    <w14:schemeClr w14:val="tx1"/>
                  </w14:solidFill>
                </w14:textFill>
              </w:rPr>
            </w:pPr>
          </w:p>
        </w:tc>
        <w:tc>
          <w:tcPr>
            <w:tcW w:w="8570" w:type="dxa"/>
            <w:vAlign w:val="center"/>
          </w:tcPr>
          <w:p w14:paraId="7A9A68BB">
            <w:pPr>
              <w:widowControl/>
              <w:spacing w:line="360" w:lineRule="auto"/>
              <w:ind w:firstLine="480" w:firstLineChars="200"/>
              <w:jc w:val="left"/>
              <w:rPr>
                <w:color w:val="FF0000"/>
                <w:sz w:val="24"/>
                <w:highlight w:val="none"/>
              </w:rPr>
            </w:pPr>
            <w:r>
              <w:rPr>
                <w:rFonts w:hint="eastAsia"/>
                <w:color w:val="FF0000"/>
                <w:sz w:val="24"/>
                <w:highlight w:val="none"/>
              </w:rPr>
              <w:t>1.2 废气排放口基本情况</w:t>
            </w:r>
          </w:p>
          <w:p w14:paraId="5A997175">
            <w:pPr>
              <w:pStyle w:val="6"/>
              <w:autoSpaceDE w:val="0"/>
              <w:autoSpaceDN w:val="0"/>
              <w:spacing w:line="360" w:lineRule="auto"/>
              <w:ind w:firstLine="480" w:firstLineChars="200"/>
              <w:jc w:val="both"/>
              <w:rPr>
                <w:color w:val="FF0000"/>
                <w:szCs w:val="24"/>
                <w:highlight w:val="none"/>
              </w:rPr>
            </w:pPr>
            <w:r>
              <w:rPr>
                <w:color w:val="FF0000"/>
                <w:highlight w:val="none"/>
              </w:rPr>
              <w:t>本项目</w:t>
            </w:r>
            <w:r>
              <w:rPr>
                <w:rFonts w:hint="eastAsia"/>
                <w:color w:val="FF0000"/>
                <w:highlight w:val="none"/>
              </w:rPr>
              <w:t>有组织</w:t>
            </w:r>
            <w:r>
              <w:rPr>
                <w:color w:val="FF0000"/>
                <w:szCs w:val="24"/>
                <w:highlight w:val="none"/>
              </w:rPr>
              <w:t>废气排放口基本情况见下表4-</w:t>
            </w:r>
            <w:r>
              <w:rPr>
                <w:rFonts w:hint="eastAsia"/>
                <w:color w:val="FF0000"/>
                <w:szCs w:val="24"/>
                <w:highlight w:val="none"/>
              </w:rPr>
              <w:t>4</w:t>
            </w:r>
            <w:r>
              <w:rPr>
                <w:color w:val="FF0000"/>
                <w:szCs w:val="24"/>
                <w:highlight w:val="none"/>
              </w:rPr>
              <w:t>。</w:t>
            </w:r>
          </w:p>
          <w:p w14:paraId="6DBAA561">
            <w:pPr>
              <w:pStyle w:val="53"/>
              <w:spacing w:before="0" w:beforeLines="0"/>
              <w:rPr>
                <w:color w:val="FF0000"/>
                <w:szCs w:val="21"/>
                <w:highlight w:val="none"/>
              </w:rPr>
            </w:pPr>
            <w:r>
              <w:rPr>
                <w:color w:val="FF0000"/>
                <w:szCs w:val="21"/>
                <w:highlight w:val="none"/>
              </w:rPr>
              <w:t>表</w:t>
            </w:r>
            <w:r>
              <w:rPr>
                <w:rFonts w:hint="eastAsia"/>
                <w:color w:val="FF0000"/>
                <w:szCs w:val="21"/>
                <w:highlight w:val="none"/>
              </w:rPr>
              <w:t xml:space="preserve">4-4  </w:t>
            </w:r>
            <w:r>
              <w:rPr>
                <w:color w:val="FF0000"/>
                <w:szCs w:val="21"/>
                <w:highlight w:val="none"/>
              </w:rPr>
              <w:t>有组织废气排放口基本情况</w:t>
            </w:r>
            <w:r>
              <w:rPr>
                <w:rFonts w:hint="eastAsia"/>
                <w:color w:val="FF0000"/>
                <w:szCs w:val="21"/>
                <w:highlight w:val="none"/>
              </w:rPr>
              <w:t>及达标性一览</w:t>
            </w:r>
            <w:r>
              <w:rPr>
                <w:color w:val="FF0000"/>
                <w:szCs w:val="21"/>
                <w:highlight w:val="none"/>
              </w:rPr>
              <w:t>表</w:t>
            </w:r>
          </w:p>
          <w:tbl>
            <w:tblPr>
              <w:tblStyle w:val="18"/>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59"/>
              <w:gridCol w:w="1312"/>
              <w:gridCol w:w="1223"/>
              <w:gridCol w:w="363"/>
              <w:gridCol w:w="394"/>
              <w:gridCol w:w="400"/>
              <w:gridCol w:w="500"/>
              <w:gridCol w:w="470"/>
              <w:gridCol w:w="611"/>
              <w:gridCol w:w="611"/>
              <w:gridCol w:w="599"/>
              <w:gridCol w:w="599"/>
              <w:gridCol w:w="356"/>
              <w:gridCol w:w="356"/>
            </w:tblGrid>
            <w:tr w14:paraId="3D63E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4" w:type="pct"/>
                  <w:vMerge w:val="restart"/>
                  <w:noWrap w:val="0"/>
                  <w:vAlign w:val="center"/>
                </w:tcPr>
                <w:p w14:paraId="5572C69D">
                  <w:pPr>
                    <w:pStyle w:val="54"/>
                    <w:rPr>
                      <w:color w:val="FF0000"/>
                      <w:highlight w:val="none"/>
                    </w:rPr>
                  </w:pPr>
                  <w:r>
                    <w:rPr>
                      <w:color w:val="FF0000"/>
                      <w:highlight w:val="none"/>
                    </w:rPr>
                    <w:t>名称</w:t>
                  </w:r>
                </w:p>
              </w:tc>
              <w:tc>
                <w:tcPr>
                  <w:tcW w:w="1515" w:type="pct"/>
                  <w:gridSpan w:val="2"/>
                  <w:noWrap w:val="0"/>
                  <w:vAlign w:val="center"/>
                </w:tcPr>
                <w:p w14:paraId="487EAC32">
                  <w:pPr>
                    <w:pStyle w:val="54"/>
                    <w:rPr>
                      <w:color w:val="FF0000"/>
                      <w:highlight w:val="none"/>
                    </w:rPr>
                  </w:pPr>
                  <w:r>
                    <w:rPr>
                      <w:color w:val="FF0000"/>
                      <w:highlight w:val="none"/>
                    </w:rPr>
                    <w:t>排气筒底部中心坐标</w:t>
                  </w:r>
                </w:p>
              </w:tc>
              <w:tc>
                <w:tcPr>
                  <w:tcW w:w="217" w:type="pct"/>
                  <w:vMerge w:val="restart"/>
                  <w:noWrap w:val="0"/>
                  <w:vAlign w:val="center"/>
                </w:tcPr>
                <w:p w14:paraId="1359FCE2">
                  <w:pPr>
                    <w:pStyle w:val="54"/>
                    <w:rPr>
                      <w:color w:val="FF0000"/>
                      <w:highlight w:val="none"/>
                    </w:rPr>
                  </w:pPr>
                  <w:r>
                    <w:rPr>
                      <w:color w:val="FF0000"/>
                      <w:highlight w:val="none"/>
                    </w:rPr>
                    <w:t>排气筒高度/m</w:t>
                  </w:r>
                </w:p>
              </w:tc>
              <w:tc>
                <w:tcPr>
                  <w:tcW w:w="235" w:type="pct"/>
                  <w:vMerge w:val="restart"/>
                  <w:noWrap w:val="0"/>
                  <w:vAlign w:val="center"/>
                </w:tcPr>
                <w:p w14:paraId="691D46D1">
                  <w:pPr>
                    <w:pStyle w:val="54"/>
                    <w:rPr>
                      <w:color w:val="FF0000"/>
                      <w:highlight w:val="none"/>
                    </w:rPr>
                  </w:pPr>
                  <w:r>
                    <w:rPr>
                      <w:color w:val="FF0000"/>
                      <w:highlight w:val="none"/>
                    </w:rPr>
                    <w:t>排气筒出口内径/m</w:t>
                  </w:r>
                </w:p>
              </w:tc>
              <w:tc>
                <w:tcPr>
                  <w:tcW w:w="239" w:type="pct"/>
                  <w:vMerge w:val="restart"/>
                  <w:noWrap w:val="0"/>
                  <w:vAlign w:val="center"/>
                </w:tcPr>
                <w:p w14:paraId="2D4CEE86">
                  <w:pPr>
                    <w:pStyle w:val="54"/>
                    <w:rPr>
                      <w:color w:val="FF0000"/>
                      <w:highlight w:val="none"/>
                    </w:rPr>
                  </w:pPr>
                  <w:r>
                    <w:rPr>
                      <w:color w:val="FF0000"/>
                      <w:highlight w:val="none"/>
                    </w:rPr>
                    <w:t>烟气温度/℃</w:t>
                  </w:r>
                </w:p>
              </w:tc>
              <w:tc>
                <w:tcPr>
                  <w:tcW w:w="299" w:type="pct"/>
                  <w:vMerge w:val="restart"/>
                  <w:noWrap w:val="0"/>
                  <w:vAlign w:val="center"/>
                </w:tcPr>
                <w:p w14:paraId="698A39AC">
                  <w:pPr>
                    <w:pStyle w:val="54"/>
                    <w:rPr>
                      <w:color w:val="FF0000"/>
                      <w:highlight w:val="none"/>
                    </w:rPr>
                  </w:pPr>
                  <w:r>
                    <w:rPr>
                      <w:color w:val="FF0000"/>
                      <w:highlight w:val="none"/>
                    </w:rPr>
                    <w:t>年排放小时数/h</w:t>
                  </w:r>
                </w:p>
              </w:tc>
              <w:tc>
                <w:tcPr>
                  <w:tcW w:w="281" w:type="pct"/>
                  <w:vMerge w:val="restart"/>
                  <w:noWrap w:val="0"/>
                  <w:vAlign w:val="center"/>
                </w:tcPr>
                <w:p w14:paraId="5B0F17A2">
                  <w:pPr>
                    <w:pStyle w:val="54"/>
                    <w:rPr>
                      <w:color w:val="FF0000"/>
                      <w:highlight w:val="none"/>
                    </w:rPr>
                  </w:pPr>
                  <w:r>
                    <w:rPr>
                      <w:color w:val="FF0000"/>
                      <w:highlight w:val="none"/>
                    </w:rPr>
                    <w:t>污染物名称</w:t>
                  </w:r>
                </w:p>
              </w:tc>
              <w:tc>
                <w:tcPr>
                  <w:tcW w:w="365" w:type="pct"/>
                  <w:vMerge w:val="restart"/>
                  <w:noWrap w:val="0"/>
                  <w:vAlign w:val="center"/>
                </w:tcPr>
                <w:p w14:paraId="7B18C0A8">
                  <w:pPr>
                    <w:pStyle w:val="54"/>
                    <w:rPr>
                      <w:color w:val="FF0000"/>
                      <w:highlight w:val="none"/>
                    </w:rPr>
                  </w:pPr>
                  <w:r>
                    <w:rPr>
                      <w:color w:val="FF0000"/>
                      <w:highlight w:val="none"/>
                    </w:rPr>
                    <w:t>排放量</w:t>
                  </w:r>
                </w:p>
                <w:p w14:paraId="0ECDF644">
                  <w:pPr>
                    <w:pStyle w:val="54"/>
                    <w:rPr>
                      <w:color w:val="FF0000"/>
                      <w:highlight w:val="none"/>
                    </w:rPr>
                  </w:pPr>
                  <w:r>
                    <w:rPr>
                      <w:color w:val="FF0000"/>
                      <w:highlight w:val="none"/>
                    </w:rPr>
                    <w:t>t/a</w:t>
                  </w:r>
                </w:p>
              </w:tc>
              <w:tc>
                <w:tcPr>
                  <w:tcW w:w="365" w:type="pct"/>
                  <w:vMerge w:val="restart"/>
                  <w:noWrap w:val="0"/>
                  <w:vAlign w:val="center"/>
                </w:tcPr>
                <w:p w14:paraId="2D70DD13">
                  <w:pPr>
                    <w:pStyle w:val="54"/>
                    <w:rPr>
                      <w:color w:val="FF0000"/>
                      <w:highlight w:val="none"/>
                    </w:rPr>
                  </w:pPr>
                  <w:r>
                    <w:rPr>
                      <w:color w:val="FF0000"/>
                      <w:highlight w:val="none"/>
                    </w:rPr>
                    <w:t>污染物排放速率kg/h</w:t>
                  </w:r>
                </w:p>
              </w:tc>
              <w:tc>
                <w:tcPr>
                  <w:tcW w:w="358" w:type="pct"/>
                  <w:vMerge w:val="restart"/>
                  <w:noWrap w:val="0"/>
                  <w:vAlign w:val="center"/>
                </w:tcPr>
                <w:p w14:paraId="7E95F778">
                  <w:pPr>
                    <w:pStyle w:val="54"/>
                    <w:rPr>
                      <w:color w:val="FF0000"/>
                      <w:highlight w:val="none"/>
                    </w:rPr>
                  </w:pPr>
                  <w:r>
                    <w:rPr>
                      <w:color w:val="FF0000"/>
                      <w:highlight w:val="none"/>
                    </w:rPr>
                    <w:t>排放</w:t>
                  </w:r>
                </w:p>
                <w:p w14:paraId="0C39816D">
                  <w:pPr>
                    <w:pStyle w:val="54"/>
                    <w:rPr>
                      <w:color w:val="FF0000"/>
                      <w:highlight w:val="none"/>
                    </w:rPr>
                  </w:pPr>
                  <w:r>
                    <w:rPr>
                      <w:color w:val="FF0000"/>
                      <w:highlight w:val="none"/>
                    </w:rPr>
                    <w:t>浓度mg/m</w:t>
                  </w:r>
                  <w:r>
                    <w:rPr>
                      <w:color w:val="FF0000"/>
                      <w:highlight w:val="none"/>
                      <w:vertAlign w:val="superscript"/>
                    </w:rPr>
                    <w:t>3</w:t>
                  </w:r>
                </w:p>
              </w:tc>
              <w:tc>
                <w:tcPr>
                  <w:tcW w:w="358" w:type="pct"/>
                  <w:vMerge w:val="restart"/>
                  <w:noWrap w:val="0"/>
                  <w:vAlign w:val="center"/>
                </w:tcPr>
                <w:p w14:paraId="2728C423">
                  <w:pPr>
                    <w:pStyle w:val="54"/>
                    <w:rPr>
                      <w:color w:val="FF0000"/>
                      <w:highlight w:val="none"/>
                    </w:rPr>
                  </w:pPr>
                  <w:r>
                    <w:rPr>
                      <w:color w:val="FF0000"/>
                      <w:highlight w:val="none"/>
                    </w:rPr>
                    <w:t>排放标准mg/m</w:t>
                  </w:r>
                  <w:r>
                    <w:rPr>
                      <w:color w:val="FF0000"/>
                      <w:highlight w:val="none"/>
                      <w:vertAlign w:val="superscript"/>
                    </w:rPr>
                    <w:t>3</w:t>
                  </w:r>
                </w:p>
              </w:tc>
              <w:tc>
                <w:tcPr>
                  <w:tcW w:w="213" w:type="pct"/>
                  <w:vMerge w:val="restart"/>
                  <w:noWrap w:val="0"/>
                  <w:vAlign w:val="center"/>
                </w:tcPr>
                <w:p w14:paraId="5EE4BA25">
                  <w:pPr>
                    <w:pStyle w:val="54"/>
                    <w:rPr>
                      <w:color w:val="FF0000"/>
                      <w:highlight w:val="none"/>
                    </w:rPr>
                  </w:pPr>
                  <w:r>
                    <w:rPr>
                      <w:color w:val="FF0000"/>
                      <w:highlight w:val="none"/>
                    </w:rPr>
                    <w:t>是否达标</w:t>
                  </w:r>
                </w:p>
              </w:tc>
              <w:tc>
                <w:tcPr>
                  <w:tcW w:w="213" w:type="pct"/>
                  <w:vMerge w:val="restart"/>
                  <w:noWrap w:val="0"/>
                  <w:vAlign w:val="center"/>
                </w:tcPr>
                <w:p w14:paraId="2F72CB4F">
                  <w:pPr>
                    <w:pStyle w:val="54"/>
                    <w:rPr>
                      <w:color w:val="FF0000"/>
                      <w:highlight w:val="none"/>
                    </w:rPr>
                  </w:pPr>
                  <w:r>
                    <w:rPr>
                      <w:rFonts w:hint="eastAsia"/>
                      <w:color w:val="FF0000"/>
                      <w:highlight w:val="none"/>
                    </w:rPr>
                    <w:t>排放口类型</w:t>
                  </w:r>
                </w:p>
              </w:tc>
            </w:tr>
            <w:tr w14:paraId="15644D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4" w:type="pct"/>
                  <w:vMerge w:val="continue"/>
                  <w:noWrap w:val="0"/>
                  <w:vAlign w:val="center"/>
                </w:tcPr>
                <w:p w14:paraId="4BD400B1">
                  <w:pPr>
                    <w:pStyle w:val="54"/>
                    <w:rPr>
                      <w:color w:val="FF0000"/>
                      <w:highlight w:val="none"/>
                    </w:rPr>
                  </w:pPr>
                </w:p>
              </w:tc>
              <w:tc>
                <w:tcPr>
                  <w:tcW w:w="784" w:type="pct"/>
                  <w:noWrap w:val="0"/>
                  <w:vAlign w:val="center"/>
                </w:tcPr>
                <w:p w14:paraId="3DD6EAC5">
                  <w:pPr>
                    <w:pStyle w:val="54"/>
                    <w:rPr>
                      <w:color w:val="FF0000"/>
                      <w:highlight w:val="none"/>
                    </w:rPr>
                  </w:pPr>
                  <w:r>
                    <w:rPr>
                      <w:color w:val="FF0000"/>
                      <w:highlight w:val="none"/>
                    </w:rPr>
                    <w:t>经度</w:t>
                  </w:r>
                </w:p>
              </w:tc>
              <w:tc>
                <w:tcPr>
                  <w:tcW w:w="731" w:type="pct"/>
                  <w:noWrap w:val="0"/>
                  <w:vAlign w:val="center"/>
                </w:tcPr>
                <w:p w14:paraId="507767C2">
                  <w:pPr>
                    <w:pStyle w:val="54"/>
                    <w:rPr>
                      <w:color w:val="FF0000"/>
                      <w:highlight w:val="none"/>
                    </w:rPr>
                  </w:pPr>
                  <w:r>
                    <w:rPr>
                      <w:color w:val="FF0000"/>
                      <w:highlight w:val="none"/>
                    </w:rPr>
                    <w:t>纬度</w:t>
                  </w:r>
                </w:p>
              </w:tc>
              <w:tc>
                <w:tcPr>
                  <w:tcW w:w="217" w:type="pct"/>
                  <w:vMerge w:val="continue"/>
                  <w:noWrap w:val="0"/>
                  <w:vAlign w:val="center"/>
                </w:tcPr>
                <w:p w14:paraId="58F99D54">
                  <w:pPr>
                    <w:pStyle w:val="54"/>
                    <w:rPr>
                      <w:color w:val="FF0000"/>
                      <w:highlight w:val="none"/>
                    </w:rPr>
                  </w:pPr>
                </w:p>
              </w:tc>
              <w:tc>
                <w:tcPr>
                  <w:tcW w:w="235" w:type="pct"/>
                  <w:vMerge w:val="continue"/>
                  <w:noWrap w:val="0"/>
                  <w:vAlign w:val="center"/>
                </w:tcPr>
                <w:p w14:paraId="20C5A420">
                  <w:pPr>
                    <w:pStyle w:val="54"/>
                    <w:rPr>
                      <w:color w:val="FF0000"/>
                      <w:highlight w:val="none"/>
                    </w:rPr>
                  </w:pPr>
                </w:p>
              </w:tc>
              <w:tc>
                <w:tcPr>
                  <w:tcW w:w="239" w:type="pct"/>
                  <w:vMerge w:val="continue"/>
                  <w:noWrap w:val="0"/>
                  <w:vAlign w:val="center"/>
                </w:tcPr>
                <w:p w14:paraId="6DE8A47C">
                  <w:pPr>
                    <w:pStyle w:val="54"/>
                    <w:rPr>
                      <w:color w:val="FF0000"/>
                      <w:highlight w:val="none"/>
                    </w:rPr>
                  </w:pPr>
                </w:p>
              </w:tc>
              <w:tc>
                <w:tcPr>
                  <w:tcW w:w="299" w:type="pct"/>
                  <w:vMerge w:val="continue"/>
                  <w:noWrap w:val="0"/>
                  <w:vAlign w:val="center"/>
                </w:tcPr>
                <w:p w14:paraId="48469B9E">
                  <w:pPr>
                    <w:pStyle w:val="54"/>
                    <w:rPr>
                      <w:color w:val="FF0000"/>
                      <w:highlight w:val="none"/>
                    </w:rPr>
                  </w:pPr>
                </w:p>
              </w:tc>
              <w:tc>
                <w:tcPr>
                  <w:tcW w:w="281" w:type="pct"/>
                  <w:vMerge w:val="continue"/>
                  <w:noWrap w:val="0"/>
                  <w:vAlign w:val="center"/>
                </w:tcPr>
                <w:p w14:paraId="2327D57D">
                  <w:pPr>
                    <w:pStyle w:val="54"/>
                    <w:rPr>
                      <w:color w:val="FF0000"/>
                      <w:highlight w:val="none"/>
                    </w:rPr>
                  </w:pPr>
                </w:p>
              </w:tc>
              <w:tc>
                <w:tcPr>
                  <w:tcW w:w="365" w:type="pct"/>
                  <w:vMerge w:val="continue"/>
                  <w:noWrap w:val="0"/>
                  <w:vAlign w:val="center"/>
                </w:tcPr>
                <w:p w14:paraId="6E172972">
                  <w:pPr>
                    <w:pStyle w:val="54"/>
                    <w:rPr>
                      <w:color w:val="FF0000"/>
                      <w:highlight w:val="none"/>
                    </w:rPr>
                  </w:pPr>
                </w:p>
              </w:tc>
              <w:tc>
                <w:tcPr>
                  <w:tcW w:w="365" w:type="pct"/>
                  <w:vMerge w:val="continue"/>
                  <w:noWrap w:val="0"/>
                  <w:vAlign w:val="center"/>
                </w:tcPr>
                <w:p w14:paraId="773DF45F">
                  <w:pPr>
                    <w:pStyle w:val="54"/>
                    <w:rPr>
                      <w:color w:val="FF0000"/>
                      <w:highlight w:val="none"/>
                    </w:rPr>
                  </w:pPr>
                </w:p>
              </w:tc>
              <w:tc>
                <w:tcPr>
                  <w:tcW w:w="358" w:type="pct"/>
                  <w:vMerge w:val="continue"/>
                  <w:noWrap w:val="0"/>
                  <w:vAlign w:val="center"/>
                </w:tcPr>
                <w:p w14:paraId="04F34947">
                  <w:pPr>
                    <w:pStyle w:val="54"/>
                    <w:rPr>
                      <w:color w:val="FF0000"/>
                      <w:highlight w:val="none"/>
                    </w:rPr>
                  </w:pPr>
                </w:p>
              </w:tc>
              <w:tc>
                <w:tcPr>
                  <w:tcW w:w="358" w:type="pct"/>
                  <w:vMerge w:val="continue"/>
                  <w:noWrap w:val="0"/>
                  <w:vAlign w:val="center"/>
                </w:tcPr>
                <w:p w14:paraId="63028E21">
                  <w:pPr>
                    <w:pStyle w:val="54"/>
                    <w:rPr>
                      <w:color w:val="FF0000"/>
                      <w:highlight w:val="none"/>
                    </w:rPr>
                  </w:pPr>
                </w:p>
              </w:tc>
              <w:tc>
                <w:tcPr>
                  <w:tcW w:w="213" w:type="pct"/>
                  <w:vMerge w:val="continue"/>
                  <w:noWrap w:val="0"/>
                  <w:vAlign w:val="center"/>
                </w:tcPr>
                <w:p w14:paraId="65B0F1D8">
                  <w:pPr>
                    <w:pStyle w:val="54"/>
                    <w:rPr>
                      <w:color w:val="FF0000"/>
                      <w:highlight w:val="none"/>
                    </w:rPr>
                  </w:pPr>
                </w:p>
              </w:tc>
              <w:tc>
                <w:tcPr>
                  <w:tcW w:w="213" w:type="pct"/>
                  <w:vMerge w:val="continue"/>
                  <w:noWrap w:val="0"/>
                  <w:vAlign w:val="center"/>
                </w:tcPr>
                <w:p w14:paraId="56730CB8">
                  <w:pPr>
                    <w:pStyle w:val="54"/>
                    <w:rPr>
                      <w:color w:val="FF0000"/>
                      <w:highlight w:val="none"/>
                    </w:rPr>
                  </w:pPr>
                </w:p>
              </w:tc>
            </w:tr>
            <w:tr w14:paraId="3B80C8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334" w:type="pct"/>
                  <w:noWrap w:val="0"/>
                  <w:vAlign w:val="center"/>
                </w:tcPr>
                <w:p w14:paraId="5F8D06E3">
                  <w:pPr>
                    <w:widowControl/>
                    <w:jc w:val="center"/>
                    <w:rPr>
                      <w:color w:val="FF0000"/>
                      <w:szCs w:val="21"/>
                      <w:highlight w:val="none"/>
                    </w:rPr>
                  </w:pPr>
                  <w:r>
                    <w:rPr>
                      <w:rFonts w:hint="eastAsia"/>
                      <w:color w:val="FF0000"/>
                      <w:highlight w:val="none"/>
                    </w:rPr>
                    <w:t>DA001</w:t>
                  </w:r>
                </w:p>
              </w:tc>
              <w:tc>
                <w:tcPr>
                  <w:tcW w:w="784" w:type="pct"/>
                  <w:shd w:val="clear" w:color="auto" w:fill="auto"/>
                  <w:noWrap w:val="0"/>
                  <w:vAlign w:val="center"/>
                </w:tcPr>
                <w:p w14:paraId="236B6FD4">
                  <w:pPr>
                    <w:pStyle w:val="11"/>
                    <w:spacing w:after="0" w:line="240" w:lineRule="auto"/>
                    <w:ind w:left="0" w:leftChars="0"/>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szCs w:val="21"/>
                      <w:highlight w:val="none"/>
                    </w:rPr>
                    <w:t>124.08029</w:t>
                  </w:r>
                  <w:r>
                    <w:rPr>
                      <w:rFonts w:hint="eastAsia"/>
                      <w:color w:val="FF0000"/>
                      <w:szCs w:val="21"/>
                      <w:highlight w:val="none"/>
                      <w:lang w:val="en-US" w:eastAsia="zh-CN"/>
                    </w:rPr>
                    <w:t>7</w:t>
                  </w:r>
                  <w:r>
                    <w:rPr>
                      <w:color w:val="FF0000"/>
                      <w:szCs w:val="21"/>
                      <w:highlight w:val="none"/>
                    </w:rPr>
                    <w:t>°</w:t>
                  </w:r>
                </w:p>
              </w:tc>
              <w:tc>
                <w:tcPr>
                  <w:tcW w:w="731" w:type="pct"/>
                  <w:shd w:val="clear" w:color="auto" w:fill="auto"/>
                  <w:noWrap w:val="0"/>
                  <w:vAlign w:val="center"/>
                </w:tcPr>
                <w:p w14:paraId="60593283">
                  <w:pPr>
                    <w:pStyle w:val="11"/>
                    <w:spacing w:after="0" w:line="240" w:lineRule="auto"/>
                    <w:ind w:left="0" w:leftChars="0"/>
                    <w:jc w:val="center"/>
                    <w:rPr>
                      <w:rFonts w:hint="eastAsia" w:ascii="Times New Roman" w:hAnsi="Times New Roman" w:eastAsia="宋体" w:cs="Times New Roman"/>
                      <w:color w:val="FF0000"/>
                      <w:kern w:val="2"/>
                      <w:sz w:val="21"/>
                      <w:szCs w:val="21"/>
                      <w:highlight w:val="none"/>
                      <w:lang w:val="en-US" w:eastAsia="zh-CN" w:bidi="ar-SA"/>
                    </w:rPr>
                  </w:pPr>
                  <w:r>
                    <w:rPr>
                      <w:rFonts w:hint="eastAsia"/>
                      <w:color w:val="FF0000"/>
                      <w:szCs w:val="21"/>
                      <w:highlight w:val="none"/>
                    </w:rPr>
                    <w:t>42.038894</w:t>
                  </w:r>
                  <w:r>
                    <w:rPr>
                      <w:color w:val="FF0000"/>
                      <w:szCs w:val="21"/>
                      <w:highlight w:val="none"/>
                    </w:rPr>
                    <w:t>°</w:t>
                  </w:r>
                </w:p>
              </w:tc>
              <w:tc>
                <w:tcPr>
                  <w:tcW w:w="217" w:type="pct"/>
                  <w:noWrap w:val="0"/>
                  <w:vAlign w:val="center"/>
                </w:tcPr>
                <w:p w14:paraId="1C664A5C">
                  <w:pPr>
                    <w:pStyle w:val="54"/>
                    <w:rPr>
                      <w:color w:val="FF0000"/>
                      <w:highlight w:val="none"/>
                    </w:rPr>
                  </w:pPr>
                  <w:r>
                    <w:rPr>
                      <w:rFonts w:hint="eastAsia"/>
                      <w:color w:val="FF0000"/>
                      <w:highlight w:val="none"/>
                    </w:rPr>
                    <w:t>15</w:t>
                  </w:r>
                </w:p>
              </w:tc>
              <w:tc>
                <w:tcPr>
                  <w:tcW w:w="235" w:type="pct"/>
                  <w:noWrap w:val="0"/>
                  <w:vAlign w:val="center"/>
                </w:tcPr>
                <w:p w14:paraId="2C38795C">
                  <w:pPr>
                    <w:pStyle w:val="54"/>
                    <w:rPr>
                      <w:rFonts w:hint="eastAsia" w:eastAsia="宋体"/>
                      <w:color w:val="FF0000"/>
                      <w:highlight w:val="none"/>
                      <w:lang w:eastAsia="zh-CN"/>
                    </w:rPr>
                  </w:pPr>
                  <w:r>
                    <w:rPr>
                      <w:rFonts w:hint="eastAsia"/>
                      <w:color w:val="FF0000"/>
                      <w:highlight w:val="none"/>
                    </w:rPr>
                    <w:t>0.</w:t>
                  </w:r>
                  <w:r>
                    <w:rPr>
                      <w:rFonts w:hint="eastAsia"/>
                      <w:color w:val="FF0000"/>
                      <w:highlight w:val="none"/>
                      <w:lang w:val="en-US" w:eastAsia="zh-CN"/>
                    </w:rPr>
                    <w:t>5</w:t>
                  </w:r>
                </w:p>
              </w:tc>
              <w:tc>
                <w:tcPr>
                  <w:tcW w:w="239" w:type="pct"/>
                  <w:noWrap w:val="0"/>
                  <w:vAlign w:val="center"/>
                </w:tcPr>
                <w:p w14:paraId="1A6DCBFB">
                  <w:pPr>
                    <w:pStyle w:val="54"/>
                    <w:rPr>
                      <w:color w:val="FF0000"/>
                      <w:highlight w:val="none"/>
                    </w:rPr>
                  </w:pPr>
                  <w:r>
                    <w:rPr>
                      <w:rFonts w:hint="eastAsia"/>
                      <w:color w:val="FF0000"/>
                      <w:highlight w:val="none"/>
                    </w:rPr>
                    <w:t>25</w:t>
                  </w:r>
                </w:p>
              </w:tc>
              <w:tc>
                <w:tcPr>
                  <w:tcW w:w="299" w:type="pct"/>
                  <w:noWrap w:val="0"/>
                  <w:vAlign w:val="center"/>
                </w:tcPr>
                <w:p w14:paraId="444521F3">
                  <w:pPr>
                    <w:pStyle w:val="54"/>
                    <w:rPr>
                      <w:rFonts w:hint="default" w:eastAsia="宋体"/>
                      <w:color w:val="FF0000"/>
                      <w:highlight w:val="none"/>
                      <w:lang w:val="en-US" w:eastAsia="zh-CN"/>
                    </w:rPr>
                  </w:pPr>
                  <w:r>
                    <w:rPr>
                      <w:rFonts w:hint="eastAsia"/>
                      <w:color w:val="FF0000"/>
                      <w:highlight w:val="none"/>
                      <w:lang w:val="en-US" w:eastAsia="zh-CN"/>
                    </w:rPr>
                    <w:t>1920</w:t>
                  </w:r>
                </w:p>
              </w:tc>
              <w:tc>
                <w:tcPr>
                  <w:tcW w:w="281" w:type="pct"/>
                  <w:noWrap w:val="0"/>
                  <w:vAlign w:val="center"/>
                </w:tcPr>
                <w:p w14:paraId="0FF08168">
                  <w:pPr>
                    <w:pStyle w:val="54"/>
                    <w:rPr>
                      <w:color w:val="FF0000"/>
                      <w:highlight w:val="none"/>
                    </w:rPr>
                  </w:pPr>
                  <w:r>
                    <w:rPr>
                      <w:rFonts w:hint="eastAsia"/>
                      <w:color w:val="FF0000"/>
                      <w:highlight w:val="none"/>
                    </w:rPr>
                    <w:t>颗粒物</w:t>
                  </w:r>
                </w:p>
              </w:tc>
              <w:tc>
                <w:tcPr>
                  <w:tcW w:w="615" w:type="dxa"/>
                  <w:noWrap w:val="0"/>
                  <w:vAlign w:val="center"/>
                </w:tcPr>
                <w:p w14:paraId="4263DE80">
                  <w:pPr>
                    <w:adjustRightInd w:val="0"/>
                    <w:snapToGrid w:val="0"/>
                    <w:jc w:val="center"/>
                    <w:rPr>
                      <w:rFonts w:hint="default" w:eastAsia="宋体"/>
                      <w:color w:val="FF0000"/>
                      <w:szCs w:val="21"/>
                      <w:highlight w:val="none"/>
                      <w:lang w:val="en-US" w:eastAsia="zh-CN"/>
                    </w:rPr>
                  </w:pPr>
                  <w:r>
                    <w:rPr>
                      <w:rFonts w:hint="eastAsia"/>
                      <w:color w:val="FF0000"/>
                      <w:szCs w:val="21"/>
                      <w:highlight w:val="none"/>
                      <w:lang w:val="en-US" w:eastAsia="zh-CN"/>
                    </w:rPr>
                    <w:t>4.47</w:t>
                  </w:r>
                </w:p>
              </w:tc>
              <w:tc>
                <w:tcPr>
                  <w:tcW w:w="615" w:type="dxa"/>
                  <w:noWrap w:val="0"/>
                  <w:vAlign w:val="center"/>
                </w:tcPr>
                <w:p w14:paraId="3C123B16">
                  <w:pPr>
                    <w:adjustRightInd w:val="0"/>
                    <w:snapToGrid w:val="0"/>
                    <w:jc w:val="center"/>
                    <w:rPr>
                      <w:rFonts w:hint="default" w:eastAsia="宋体"/>
                      <w:color w:val="FF0000"/>
                      <w:szCs w:val="21"/>
                      <w:highlight w:val="none"/>
                      <w:lang w:val="en-US" w:eastAsia="zh-CN"/>
                    </w:rPr>
                  </w:pPr>
                  <w:r>
                    <w:rPr>
                      <w:rFonts w:hint="eastAsia"/>
                      <w:color w:val="FF0000"/>
                      <w:szCs w:val="21"/>
                      <w:highlight w:val="none"/>
                      <w:lang w:val="en-US" w:eastAsia="zh-CN"/>
                    </w:rPr>
                    <w:t>2.327</w:t>
                  </w:r>
                </w:p>
              </w:tc>
              <w:tc>
                <w:tcPr>
                  <w:tcW w:w="604" w:type="dxa"/>
                  <w:noWrap w:val="0"/>
                  <w:vAlign w:val="center"/>
                </w:tcPr>
                <w:p w14:paraId="7DB2E95F">
                  <w:pPr>
                    <w:adjustRightInd w:val="0"/>
                    <w:snapToGrid w:val="0"/>
                    <w:jc w:val="center"/>
                    <w:rPr>
                      <w:rFonts w:hint="default" w:eastAsia="宋体"/>
                      <w:color w:val="FF0000"/>
                      <w:szCs w:val="21"/>
                      <w:highlight w:val="none"/>
                      <w:lang w:val="en-US" w:eastAsia="zh-CN"/>
                    </w:rPr>
                  </w:pPr>
                  <w:r>
                    <w:rPr>
                      <w:rFonts w:hint="eastAsia"/>
                      <w:color w:val="FF0000"/>
                      <w:szCs w:val="21"/>
                      <w:highlight w:val="none"/>
                      <w:lang w:val="en-US" w:eastAsia="zh-CN"/>
                    </w:rPr>
                    <w:t>116.35</w:t>
                  </w:r>
                </w:p>
              </w:tc>
              <w:tc>
                <w:tcPr>
                  <w:tcW w:w="358" w:type="pct"/>
                  <w:noWrap w:val="0"/>
                  <w:vAlign w:val="center"/>
                </w:tcPr>
                <w:p w14:paraId="06F9B3E7">
                  <w:pPr>
                    <w:pStyle w:val="54"/>
                    <w:rPr>
                      <w:rFonts w:hint="default" w:eastAsia="宋体"/>
                      <w:color w:val="FF0000"/>
                      <w:highlight w:val="none"/>
                      <w:lang w:val="en-US" w:eastAsia="zh-CN"/>
                    </w:rPr>
                  </w:pPr>
                  <w:r>
                    <w:rPr>
                      <w:rFonts w:hint="eastAsia"/>
                      <w:color w:val="FF0000"/>
                      <w:highlight w:val="none"/>
                      <w:lang w:val="en-US" w:eastAsia="zh-CN"/>
                    </w:rPr>
                    <w:t>120</w:t>
                  </w:r>
                </w:p>
              </w:tc>
              <w:tc>
                <w:tcPr>
                  <w:tcW w:w="213" w:type="pct"/>
                  <w:noWrap w:val="0"/>
                  <w:vAlign w:val="center"/>
                </w:tcPr>
                <w:p w14:paraId="78F427EB">
                  <w:pPr>
                    <w:pStyle w:val="54"/>
                    <w:rPr>
                      <w:color w:val="FF0000"/>
                      <w:highlight w:val="none"/>
                    </w:rPr>
                  </w:pPr>
                  <w:r>
                    <w:rPr>
                      <w:rFonts w:hint="eastAsia"/>
                      <w:color w:val="FF0000"/>
                      <w:highlight w:val="none"/>
                    </w:rPr>
                    <w:t>是</w:t>
                  </w:r>
                </w:p>
              </w:tc>
              <w:tc>
                <w:tcPr>
                  <w:tcW w:w="213" w:type="pct"/>
                  <w:noWrap w:val="0"/>
                  <w:vAlign w:val="center"/>
                </w:tcPr>
                <w:p w14:paraId="2F63CCE1">
                  <w:pPr>
                    <w:pStyle w:val="54"/>
                    <w:rPr>
                      <w:color w:val="FF0000"/>
                      <w:highlight w:val="none"/>
                    </w:rPr>
                  </w:pPr>
                  <w:r>
                    <w:rPr>
                      <w:rFonts w:hint="eastAsia"/>
                      <w:color w:val="FF0000"/>
                      <w:highlight w:val="none"/>
                    </w:rPr>
                    <w:t>一般排放口</w:t>
                  </w:r>
                </w:p>
              </w:tc>
            </w:tr>
          </w:tbl>
          <w:p w14:paraId="0F1EB0F9">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eastAsia="宋体"/>
                <w:color w:val="FF0000"/>
                <w:kern w:val="0"/>
                <w:sz w:val="24"/>
                <w:highlight w:val="none"/>
                <w:lang w:val="en-US" w:eastAsia="zh-CN" w:bidi="ar"/>
              </w:rPr>
            </w:pPr>
            <w:r>
              <w:rPr>
                <w:rFonts w:hint="eastAsia"/>
                <w:color w:val="FF0000"/>
                <w:kern w:val="0"/>
                <w:sz w:val="24"/>
                <w:highlight w:val="none"/>
                <w:lang w:val="en-US" w:eastAsia="zh-CN" w:bidi="ar"/>
              </w:rPr>
              <w:t>综上，本项目有组织排放颗粒物符合</w:t>
            </w:r>
            <w:r>
              <w:rPr>
                <w:color w:val="FF0000"/>
                <w:kern w:val="0"/>
                <w:sz w:val="24"/>
                <w:highlight w:val="none"/>
                <w:lang w:bidi="ar"/>
              </w:rPr>
              <w:t>《大气污染物综合排放标准》（GB16297-1996）</w:t>
            </w:r>
            <w:r>
              <w:rPr>
                <w:rFonts w:hint="eastAsia"/>
                <w:color w:val="FF0000"/>
                <w:kern w:val="0"/>
                <w:sz w:val="24"/>
                <w:highlight w:val="none"/>
                <w:lang w:val="en-US" w:eastAsia="zh-CN" w:bidi="ar"/>
              </w:rPr>
              <w:t>表2中2级要求。</w:t>
            </w:r>
          </w:p>
          <w:p w14:paraId="7C92A29B">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color w:val="FF0000"/>
                <w:kern w:val="0"/>
                <w:sz w:val="24"/>
                <w:highlight w:val="none"/>
                <w:lang w:val="en-US" w:eastAsia="zh-CN" w:bidi="ar"/>
              </w:rPr>
            </w:pPr>
            <w:r>
              <w:rPr>
                <w:rFonts w:hint="eastAsia"/>
                <w:color w:val="FF0000"/>
                <w:kern w:val="0"/>
                <w:sz w:val="24"/>
                <w:highlight w:val="none"/>
                <w:lang w:val="en-US" w:eastAsia="zh-CN" w:bidi="ar"/>
              </w:rPr>
              <w:t>排气筒设置合规性分析</w:t>
            </w:r>
          </w:p>
          <w:p w14:paraId="62F92FFC">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eastAsia"/>
                <w:color w:val="FF0000"/>
                <w:kern w:val="0"/>
                <w:sz w:val="24"/>
                <w:highlight w:val="none"/>
                <w:lang w:val="en-US" w:eastAsia="zh-CN" w:bidi="ar"/>
              </w:rPr>
            </w:pPr>
            <w:r>
              <w:rPr>
                <w:rFonts w:hint="eastAsia" w:ascii="Times New Roman" w:hAnsi="Times New Roman" w:cs="Times New Roman"/>
                <w:b w:val="0"/>
                <w:bCs w:val="0"/>
                <w:color w:val="FF0000"/>
                <w:sz w:val="24"/>
                <w:szCs w:val="32"/>
                <w:highlight w:val="none"/>
                <w:vertAlign w:val="baseline"/>
                <w:lang w:val="en-US" w:eastAsia="zh-CN"/>
              </w:rPr>
              <w:t>本项目生产车间占地面积为300m</w:t>
            </w:r>
            <w:r>
              <w:rPr>
                <w:rFonts w:hint="eastAsia" w:ascii="Times New Roman" w:hAnsi="Times New Roman" w:cs="Times New Roman"/>
                <w:b w:val="0"/>
                <w:bCs w:val="0"/>
                <w:color w:val="FF0000"/>
                <w:sz w:val="24"/>
                <w:szCs w:val="32"/>
                <w:highlight w:val="none"/>
                <w:vertAlign w:val="superscript"/>
                <w:lang w:val="en-US" w:eastAsia="zh-CN"/>
              </w:rPr>
              <w:t>2</w:t>
            </w:r>
            <w:r>
              <w:rPr>
                <w:rFonts w:hint="eastAsia" w:ascii="Times New Roman" w:hAnsi="Times New Roman" w:cs="Times New Roman"/>
                <w:b w:val="0"/>
                <w:bCs w:val="0"/>
                <w:color w:val="FF0000"/>
                <w:sz w:val="24"/>
                <w:szCs w:val="32"/>
                <w:highlight w:val="none"/>
                <w:vertAlign w:val="baseline"/>
                <w:lang w:val="en-US" w:eastAsia="zh-CN"/>
              </w:rPr>
              <w:t>，面积较小，各个产生废气的生产工序布置的较为紧凑，且污染因子均为颗粒物，因此破碎车间仅设置一个排气筒；根据</w:t>
            </w:r>
            <w:r>
              <w:rPr>
                <w:color w:val="FF0000"/>
                <w:kern w:val="0"/>
                <w:sz w:val="24"/>
                <w:highlight w:val="none"/>
                <w:lang w:bidi="ar"/>
              </w:rPr>
              <w:t>《大气污染物综合排放标准》（GB16297-1996）</w:t>
            </w:r>
            <w:r>
              <w:rPr>
                <w:rFonts w:hint="eastAsia"/>
                <w:color w:val="FF0000"/>
                <w:kern w:val="0"/>
                <w:sz w:val="24"/>
                <w:highlight w:val="none"/>
                <w:lang w:eastAsia="zh-CN" w:bidi="ar"/>
              </w:rPr>
              <w:t>“7.1排气筒高度除须遵守表列排放速率标准值外，还应高出周围200m半径范围的建筑5m以上，不能达到该要求的排气筒，应按其高度对应的表列排放速率标准值严格50%执行。”“7.4 新污染源的排气筒一般不应低于15m。若某新污染源的排气筒必须低于</w:t>
            </w:r>
            <w:r>
              <w:rPr>
                <w:rFonts w:hint="eastAsia"/>
                <w:color w:val="FF0000"/>
                <w:kern w:val="0"/>
                <w:sz w:val="24"/>
                <w:highlight w:val="none"/>
                <w:lang w:val="en-US" w:eastAsia="zh-CN" w:bidi="ar"/>
              </w:rPr>
              <w:t>15</w:t>
            </w:r>
            <w:r>
              <w:rPr>
                <w:rFonts w:hint="eastAsia"/>
                <w:color w:val="FF0000"/>
                <w:kern w:val="0"/>
                <w:sz w:val="24"/>
                <w:highlight w:val="none"/>
                <w:lang w:eastAsia="zh-CN" w:bidi="ar"/>
              </w:rPr>
              <w:t xml:space="preserve"> m时，其排放速率标准值按7.3 的外推计算结果再严格50%执行。”</w:t>
            </w:r>
            <w:r>
              <w:rPr>
                <w:rFonts w:hint="eastAsia"/>
                <w:color w:val="FF0000"/>
                <w:kern w:val="0"/>
                <w:sz w:val="24"/>
                <w:highlight w:val="none"/>
                <w:lang w:val="en-US" w:eastAsia="zh-CN" w:bidi="ar"/>
              </w:rPr>
              <w:t>本项目排气筒高度设置为15m，且周围200m范围内最高建筑为5m，符合标准要求。</w:t>
            </w:r>
          </w:p>
          <w:p w14:paraId="427D1E4E">
            <w:pPr>
              <w:keepNext w:val="0"/>
              <w:keepLines w:val="0"/>
              <w:pageBreakBefore w:val="0"/>
              <w:widowControl/>
              <w:kinsoku/>
              <w:wordWrap/>
              <w:overflowPunct/>
              <w:topLinePunct w:val="0"/>
              <w:autoSpaceDE/>
              <w:autoSpaceDN/>
              <w:bidi w:val="0"/>
              <w:adjustRightInd/>
              <w:snapToGrid/>
              <w:spacing w:line="360" w:lineRule="auto"/>
              <w:ind w:firstLine="480" w:firstLineChars="200"/>
              <w:textAlignment w:val="auto"/>
              <w:rPr>
                <w:rFonts w:hint="default"/>
                <w:color w:val="FF0000"/>
                <w:kern w:val="0"/>
                <w:sz w:val="24"/>
                <w:highlight w:val="none"/>
                <w:lang w:val="en-US" w:eastAsia="zh-CN" w:bidi="ar"/>
              </w:rPr>
            </w:pPr>
            <w:r>
              <w:rPr>
                <w:rFonts w:hint="eastAsia"/>
                <w:color w:val="FF0000"/>
                <w:kern w:val="0"/>
                <w:sz w:val="24"/>
                <w:highlight w:val="none"/>
                <w:lang w:val="en-US" w:eastAsia="zh-CN" w:bidi="ar"/>
              </w:rPr>
              <w:t>综上，本项目排气筒设置合理。</w:t>
            </w:r>
          </w:p>
          <w:p w14:paraId="58E71245">
            <w:pPr>
              <w:widowControl/>
              <w:spacing w:before="120" w:beforeLines="50" w:line="360" w:lineRule="auto"/>
              <w:ind w:firstLine="480" w:firstLineChars="200"/>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1.</w:t>
            </w:r>
            <w:r>
              <w:rPr>
                <w:rFonts w:hint="eastAsia"/>
                <w:color w:val="000000" w:themeColor="text1"/>
                <w:kern w:val="0"/>
                <w:sz w:val="24"/>
                <w:highlight w:val="none"/>
                <w:lang w:bidi="ar"/>
                <w14:textFill>
                  <w14:solidFill>
                    <w14:schemeClr w14:val="tx1"/>
                  </w14:solidFill>
                </w14:textFill>
              </w:rPr>
              <w:t>3</w:t>
            </w:r>
            <w:r>
              <w:rPr>
                <w:color w:val="000000" w:themeColor="text1"/>
                <w:kern w:val="0"/>
                <w:sz w:val="24"/>
                <w:highlight w:val="none"/>
                <w:lang w:bidi="ar"/>
                <w14:textFill>
                  <w14:solidFill>
                    <w14:schemeClr w14:val="tx1"/>
                  </w14:solidFill>
                </w14:textFill>
              </w:rPr>
              <w:t xml:space="preserve"> 废气</w:t>
            </w:r>
            <w:r>
              <w:rPr>
                <w:rFonts w:hint="eastAsia"/>
                <w:color w:val="000000" w:themeColor="text1"/>
                <w:kern w:val="0"/>
                <w:sz w:val="24"/>
                <w:highlight w:val="none"/>
                <w:lang w:bidi="ar"/>
                <w14:textFill>
                  <w14:solidFill>
                    <w14:schemeClr w14:val="tx1"/>
                  </w14:solidFill>
                </w14:textFill>
              </w:rPr>
              <w:t>达标排放</w:t>
            </w:r>
            <w:r>
              <w:rPr>
                <w:color w:val="000000" w:themeColor="text1"/>
                <w:kern w:val="0"/>
                <w:sz w:val="24"/>
                <w:highlight w:val="none"/>
                <w:lang w:bidi="ar"/>
                <w14:textFill>
                  <w14:solidFill>
                    <w14:schemeClr w14:val="tx1"/>
                  </w14:solidFill>
                </w14:textFill>
              </w:rPr>
              <w:t>污染治理措施可行性分析</w:t>
            </w:r>
          </w:p>
          <w:p w14:paraId="0947EBCA">
            <w:pPr>
              <w:widowControl/>
              <w:spacing w:line="360" w:lineRule="auto"/>
              <w:ind w:firstLine="480" w:firstLineChars="200"/>
              <w:rPr>
                <w:color w:val="000000" w:themeColor="text1"/>
                <w:kern w:val="0"/>
                <w:sz w:val="24"/>
                <w:highlight w:val="none"/>
                <w:lang w:bidi="ar"/>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本项目属于“二十七、非金属矿物制品30-56、砖瓦、石材等建筑材料制造 303”项目，故本项目对照《排污许可证申请与核发技术规范 陶瓷砖瓦工业》（HJ954-2018）进行污染治理措施可行性分析。</w:t>
            </w:r>
          </w:p>
          <w:p w14:paraId="4F3D670B">
            <w:pPr>
              <w:widowControl/>
              <w:spacing w:line="360" w:lineRule="auto"/>
              <w:ind w:firstLine="480" w:firstLineChars="200"/>
              <w:jc w:val="left"/>
              <w:rPr>
                <w:color w:val="000000" w:themeColor="text1"/>
                <w:kern w:val="0"/>
                <w:sz w:val="24"/>
                <w:highlight w:val="none"/>
                <w:lang w:bidi="ar"/>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（1）有组织排放可行性及达标分析</w:t>
            </w:r>
          </w:p>
          <w:p w14:paraId="738C5433">
            <w:pPr>
              <w:widowControl/>
              <w:spacing w:line="360" w:lineRule="auto"/>
              <w:ind w:firstLine="480" w:firstLineChars="200"/>
              <w:jc w:val="left"/>
              <w:rPr>
                <w:color w:val="000000" w:themeColor="text1"/>
                <w:kern w:val="0"/>
                <w:sz w:val="24"/>
                <w:highlight w:val="none"/>
                <w:lang w:bidi="ar"/>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根据</w:t>
            </w:r>
            <w:r>
              <w:rPr>
                <w:color w:val="000000" w:themeColor="text1"/>
                <w:kern w:val="0"/>
                <w:sz w:val="24"/>
                <w:highlight w:val="none"/>
                <w:lang w:bidi="ar"/>
                <w14:textFill>
                  <w14:solidFill>
                    <w14:schemeClr w14:val="tx1"/>
                  </w14:solidFill>
                </w14:textFill>
              </w:rPr>
              <w:t>《排污许可证申请与核发技术规范 陶瓷砖瓦工业》（HJ954</w:t>
            </w:r>
            <w:r>
              <w:rPr>
                <w:rFonts w:hint="eastAsia"/>
                <w:color w:val="000000" w:themeColor="text1"/>
                <w:kern w:val="0"/>
                <w:sz w:val="24"/>
                <w:highlight w:val="none"/>
                <w:lang w:bidi="ar"/>
                <w14:textFill>
                  <w14:solidFill>
                    <w14:schemeClr w14:val="tx1"/>
                  </w14:solidFill>
                </w14:textFill>
              </w:rPr>
              <w:t>-2</w:t>
            </w:r>
            <w:r>
              <w:rPr>
                <w:color w:val="000000" w:themeColor="text1"/>
                <w:kern w:val="0"/>
                <w:sz w:val="24"/>
                <w:highlight w:val="none"/>
                <w:lang w:bidi="ar"/>
                <w14:textFill>
                  <w14:solidFill>
                    <w14:schemeClr w14:val="tx1"/>
                  </w14:solidFill>
                </w14:textFill>
              </w:rPr>
              <w:t>018）</w:t>
            </w:r>
            <w:r>
              <w:rPr>
                <w:rFonts w:hint="eastAsia"/>
                <w:color w:val="000000" w:themeColor="text1"/>
                <w:kern w:val="0"/>
                <w:sz w:val="24"/>
                <w:highlight w:val="none"/>
                <w:lang w:bidi="ar"/>
                <w14:textFill>
                  <w14:solidFill>
                    <w14:schemeClr w14:val="tx1"/>
                  </w14:solidFill>
                </w14:textFill>
              </w:rPr>
              <w:t>“6 污染防治可行技术要求”，排放口为“生产过程中破碎机、搅拌机、成型机、其他废气收集装置等对应排放口”，产生主要污染物为颗粒物时，对应的可行性技术为“湿法作业或采用袋式除尘等技术”。</w:t>
            </w:r>
            <w:r>
              <w:rPr>
                <w:color w:val="000000" w:themeColor="text1"/>
                <w:kern w:val="0"/>
                <w:sz w:val="24"/>
                <w:highlight w:val="none"/>
                <w:lang w:bidi="ar"/>
                <w14:textFill>
                  <w14:solidFill>
                    <w14:schemeClr w14:val="tx1"/>
                  </w14:solidFill>
                </w14:textFill>
              </w:rPr>
              <w:t>本项目</w:t>
            </w:r>
            <w:r>
              <w:rPr>
                <w:rFonts w:hint="eastAsia"/>
                <w:color w:val="000000" w:themeColor="text1"/>
                <w:kern w:val="0"/>
                <w:sz w:val="24"/>
                <w:highlight w:val="none"/>
                <w:lang w:bidi="ar"/>
                <w14:textFill>
                  <w14:solidFill>
                    <w14:schemeClr w14:val="tx1"/>
                  </w14:solidFill>
                </w14:textFill>
              </w:rPr>
              <w:t>给料机</w:t>
            </w:r>
            <w:r>
              <w:rPr>
                <w:rFonts w:hint="eastAsia"/>
                <w:color w:val="000000" w:themeColor="text1"/>
                <w:kern w:val="0"/>
                <w:sz w:val="24"/>
                <w:highlight w:val="none"/>
                <w:lang w:val="en-US" w:eastAsia="zh-CN" w:bidi="ar"/>
                <w14:textFill>
                  <w14:solidFill>
                    <w14:schemeClr w14:val="tx1"/>
                  </w14:solidFill>
                </w14:textFill>
              </w:rPr>
              <w:t>上料</w:t>
            </w:r>
            <w:r>
              <w:rPr>
                <w:rFonts w:hint="eastAsia"/>
                <w:color w:val="000000" w:themeColor="text1"/>
                <w:kern w:val="0"/>
                <w:sz w:val="24"/>
                <w:highlight w:val="none"/>
                <w:lang w:bidi="ar"/>
                <w14:textFill>
                  <w14:solidFill>
                    <w14:schemeClr w14:val="tx1"/>
                  </w14:solidFill>
                </w14:textFill>
              </w:rPr>
              <w:t>、碎石加工</w:t>
            </w:r>
            <w:r>
              <w:rPr>
                <w:rFonts w:hint="eastAsia"/>
                <w:color w:val="000000" w:themeColor="text1"/>
                <w:kern w:val="0"/>
                <w:sz w:val="24"/>
                <w:highlight w:val="none"/>
                <w:lang w:val="en-US" w:eastAsia="zh-CN" w:bidi="ar"/>
                <w14:textFill>
                  <w14:solidFill>
                    <w14:schemeClr w14:val="tx1"/>
                  </w14:solidFill>
                </w14:textFill>
              </w:rPr>
              <w:t>及转运</w:t>
            </w:r>
            <w:r>
              <w:rPr>
                <w:color w:val="000000" w:themeColor="text1"/>
                <w:kern w:val="0"/>
                <w:sz w:val="24"/>
                <w:highlight w:val="none"/>
                <w:lang w:bidi="ar"/>
                <w14:textFill>
                  <w14:solidFill>
                    <w14:schemeClr w14:val="tx1"/>
                  </w14:solidFill>
                </w14:textFill>
              </w:rPr>
              <w:t>（一级</w:t>
            </w:r>
            <w:r>
              <w:rPr>
                <w:rFonts w:hint="eastAsia"/>
                <w:color w:val="000000" w:themeColor="text1"/>
                <w:kern w:val="0"/>
                <w:sz w:val="24"/>
                <w:highlight w:val="none"/>
                <w:lang w:bidi="ar"/>
                <w14:textFill>
                  <w14:solidFill>
                    <w14:schemeClr w14:val="tx1"/>
                  </w14:solidFill>
                </w14:textFill>
              </w:rPr>
              <w:t>破碎</w:t>
            </w:r>
            <w:r>
              <w:rPr>
                <w:color w:val="000000" w:themeColor="text1"/>
                <w:kern w:val="0"/>
                <w:sz w:val="24"/>
                <w:highlight w:val="none"/>
                <w:lang w:bidi="ar"/>
                <w14:textFill>
                  <w14:solidFill>
                    <w14:schemeClr w14:val="tx1"/>
                  </w14:solidFill>
                </w14:textFill>
              </w:rPr>
              <w:t>、二级破碎筛分）工序产生的粉尘经</w:t>
            </w:r>
            <w:r>
              <w:rPr>
                <w:rFonts w:hint="eastAsia"/>
                <w:color w:val="000000" w:themeColor="text1"/>
                <w:kern w:val="0"/>
                <w:sz w:val="24"/>
                <w:highlight w:val="none"/>
                <w:lang w:bidi="ar"/>
                <w14:textFill>
                  <w14:solidFill>
                    <w14:schemeClr w14:val="tx1"/>
                  </w14:solidFill>
                </w14:textFill>
              </w:rPr>
              <w:t>设备上方集气罩</w:t>
            </w:r>
            <w:r>
              <w:rPr>
                <w:color w:val="000000" w:themeColor="text1"/>
                <w:kern w:val="0"/>
                <w:sz w:val="24"/>
                <w:highlight w:val="none"/>
                <w:lang w:bidi="ar"/>
                <w14:textFill>
                  <w14:solidFill>
                    <w14:schemeClr w14:val="tx1"/>
                  </w14:solidFill>
                </w14:textFill>
              </w:rPr>
              <w:t>收集后</w:t>
            </w:r>
            <w:r>
              <w:rPr>
                <w:rFonts w:hint="eastAsia"/>
                <w:color w:val="000000" w:themeColor="text1"/>
                <w:kern w:val="0"/>
                <w:sz w:val="24"/>
                <w:highlight w:val="none"/>
                <w:lang w:eastAsia="zh-CN" w:bidi="ar"/>
                <w14:textFill>
                  <w14:solidFill>
                    <w14:schemeClr w14:val="tx1"/>
                  </w14:solidFill>
                </w14:textFill>
              </w:rPr>
              <w:t>，</w:t>
            </w:r>
            <w:r>
              <w:rPr>
                <w:color w:val="000000" w:themeColor="text1"/>
                <w:kern w:val="0"/>
                <w:sz w:val="24"/>
                <w:highlight w:val="none"/>
                <w:lang w:bidi="ar"/>
                <w14:textFill>
                  <w14:solidFill>
                    <w14:schemeClr w14:val="tx1"/>
                  </w14:solidFill>
                </w14:textFill>
              </w:rPr>
              <w:t>通过</w:t>
            </w:r>
            <w:r>
              <w:rPr>
                <w:rFonts w:hint="eastAsia"/>
                <w:color w:val="000000" w:themeColor="text1"/>
                <w:kern w:val="0"/>
                <w:sz w:val="24"/>
                <w:highlight w:val="none"/>
                <w:lang w:bidi="ar"/>
                <w14:textFill>
                  <w14:solidFill>
                    <w14:schemeClr w14:val="tx1"/>
                  </w14:solidFill>
                </w14:textFill>
              </w:rPr>
              <w:t>袋式</w:t>
            </w:r>
            <w:r>
              <w:rPr>
                <w:color w:val="000000" w:themeColor="text1"/>
                <w:kern w:val="0"/>
                <w:sz w:val="24"/>
                <w:highlight w:val="none"/>
                <w:lang w:bidi="ar"/>
                <w14:textFill>
                  <w14:solidFill>
                    <w14:schemeClr w14:val="tx1"/>
                  </w14:solidFill>
                </w14:textFill>
              </w:rPr>
              <w:t>除尘器处理达标</w:t>
            </w:r>
            <w:r>
              <w:rPr>
                <w:rFonts w:hint="eastAsia"/>
                <w:color w:val="000000" w:themeColor="text1"/>
                <w:kern w:val="0"/>
                <w:sz w:val="24"/>
                <w:highlight w:val="none"/>
                <w:lang w:bidi="ar"/>
                <w14:textFill>
                  <w14:solidFill>
                    <w14:schemeClr w14:val="tx1"/>
                  </w14:solidFill>
                </w14:textFill>
              </w:rPr>
              <w:t>，</w:t>
            </w:r>
            <w:r>
              <w:rPr>
                <w:color w:val="000000" w:themeColor="text1"/>
                <w:kern w:val="0"/>
                <w:sz w:val="24"/>
                <w:highlight w:val="none"/>
                <w:lang w:bidi="ar"/>
                <w14:textFill>
                  <w14:solidFill>
                    <w14:schemeClr w14:val="tx1"/>
                  </w14:solidFill>
                </w14:textFill>
              </w:rPr>
              <w:t>经</w:t>
            </w:r>
            <w:r>
              <w:rPr>
                <w:rFonts w:hint="eastAsia"/>
                <w:color w:val="000000" w:themeColor="text1"/>
                <w:kern w:val="0"/>
                <w:sz w:val="24"/>
                <w:highlight w:val="none"/>
                <w:lang w:bidi="ar"/>
                <w14:textFill>
                  <w14:solidFill>
                    <w14:schemeClr w14:val="tx1"/>
                  </w14:solidFill>
                </w14:textFill>
              </w:rPr>
              <w:t>一根15m</w:t>
            </w:r>
            <w:r>
              <w:rPr>
                <w:color w:val="000000" w:themeColor="text1"/>
                <w:kern w:val="0"/>
                <w:sz w:val="24"/>
                <w:highlight w:val="none"/>
                <w:lang w:bidi="ar"/>
                <w14:textFill>
                  <w14:solidFill>
                    <w14:schemeClr w14:val="tx1"/>
                  </w14:solidFill>
                </w14:textFill>
              </w:rPr>
              <w:t>排气筒DA001排放</w:t>
            </w:r>
            <w:r>
              <w:rPr>
                <w:rFonts w:hint="eastAsia"/>
                <w:color w:val="000000" w:themeColor="text1"/>
                <w:kern w:val="0"/>
                <w:sz w:val="24"/>
                <w:highlight w:val="none"/>
                <w:lang w:bidi="ar"/>
                <w14:textFill>
                  <w14:solidFill>
                    <w14:schemeClr w14:val="tx1"/>
                  </w14:solidFill>
                </w14:textFill>
              </w:rPr>
              <w:t>，为污染防治可行技术，且粉尘排放浓度</w:t>
            </w:r>
            <w:r>
              <w:rPr>
                <w:rFonts w:hint="eastAsia"/>
                <w:color w:val="000000" w:themeColor="text1"/>
                <w:kern w:val="0"/>
                <w:sz w:val="24"/>
                <w:highlight w:val="none"/>
                <w:lang w:val="en-US" w:eastAsia="zh-CN" w:bidi="ar"/>
                <w14:textFill>
                  <w14:solidFill>
                    <w14:schemeClr w14:val="tx1"/>
                  </w14:solidFill>
                </w14:textFill>
              </w:rPr>
              <w:t>和速率</w:t>
            </w:r>
            <w:r>
              <w:rPr>
                <w:rFonts w:hint="eastAsia"/>
                <w:color w:val="000000" w:themeColor="text1"/>
                <w:kern w:val="0"/>
                <w:sz w:val="24"/>
                <w:highlight w:val="none"/>
                <w:lang w:bidi="ar"/>
                <w14:textFill>
                  <w14:solidFill>
                    <w14:schemeClr w14:val="tx1"/>
                  </w14:solidFill>
                </w14:textFill>
              </w:rPr>
              <w:t>能够满足《大气污染物综合排放标准》（GB16297-1996）中</w:t>
            </w:r>
            <w:r>
              <w:rPr>
                <w:rFonts w:hint="eastAsia"/>
                <w:color w:val="000000" w:themeColor="text1"/>
                <w:kern w:val="0"/>
                <w:sz w:val="24"/>
                <w:highlight w:val="none"/>
                <w:lang w:val="en-US" w:eastAsia="zh-CN" w:bidi="ar"/>
                <w14:textFill>
                  <w14:solidFill>
                    <w14:schemeClr w14:val="tx1"/>
                  </w14:solidFill>
                </w14:textFill>
              </w:rPr>
              <w:t>表2</w:t>
            </w:r>
            <w:r>
              <w:rPr>
                <w:rFonts w:hint="eastAsia"/>
                <w:color w:val="000000" w:themeColor="text1"/>
                <w:kern w:val="0"/>
                <w:sz w:val="24"/>
                <w:highlight w:val="none"/>
                <w:lang w:bidi="ar"/>
                <w14:textFill>
                  <w14:solidFill>
                    <w14:schemeClr w14:val="tx1"/>
                  </w14:solidFill>
                </w14:textFill>
              </w:rPr>
              <w:t>限值要求，因此，本项目对区域大气环境影响较小。</w:t>
            </w:r>
          </w:p>
          <w:p w14:paraId="564E6547">
            <w:pPr>
              <w:pStyle w:val="11"/>
              <w:spacing w:line="240" w:lineRule="auto"/>
              <w:ind w:left="0" w:leftChars="0"/>
              <w:jc w:val="center"/>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表4-</w:t>
            </w:r>
            <w:r>
              <w:rPr>
                <w:rFonts w:hint="eastAsia"/>
                <w:b/>
                <w:bCs/>
                <w:color w:val="000000" w:themeColor="text1"/>
                <w:szCs w:val="21"/>
                <w:highlight w:val="none"/>
                <w:lang w:val="en-US" w:eastAsia="zh-CN"/>
                <w14:textFill>
                  <w14:solidFill>
                    <w14:schemeClr w14:val="tx1"/>
                  </w14:solidFill>
                </w14:textFill>
              </w:rPr>
              <w:t>4</w:t>
            </w:r>
            <w:r>
              <w:rPr>
                <w:rFonts w:hint="eastAsia"/>
                <w:b/>
                <w:bCs/>
                <w:color w:val="000000" w:themeColor="text1"/>
                <w:szCs w:val="21"/>
                <w:highlight w:val="none"/>
                <w14:textFill>
                  <w14:solidFill>
                    <w14:schemeClr w14:val="tx1"/>
                  </w14:solidFill>
                </w14:textFill>
              </w:rPr>
              <w:t xml:space="preserve">  其他制品类工业排污单位废气污染防治可行技术</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529"/>
              <w:gridCol w:w="1429"/>
              <w:gridCol w:w="3393"/>
            </w:tblGrid>
            <w:tr w14:paraId="5AA4DD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12" w:type="pct"/>
                  <w:tcBorders>
                    <w:tl2br w:val="nil"/>
                    <w:tr2bl w:val="nil"/>
                  </w:tcBorders>
                  <w:vAlign w:val="center"/>
                </w:tcPr>
                <w:p w14:paraId="4D165EAC">
                  <w:pPr>
                    <w:jc w:val="center"/>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排放口</w:t>
                  </w:r>
                </w:p>
              </w:tc>
              <w:tc>
                <w:tcPr>
                  <w:tcW w:w="855" w:type="pct"/>
                  <w:tcBorders>
                    <w:tl2br w:val="nil"/>
                    <w:tr2bl w:val="nil"/>
                  </w:tcBorders>
                  <w:vAlign w:val="center"/>
                </w:tcPr>
                <w:p w14:paraId="2F27E979">
                  <w:pPr>
                    <w:jc w:val="center"/>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主要污染物</w:t>
                  </w:r>
                </w:p>
              </w:tc>
              <w:tc>
                <w:tcPr>
                  <w:tcW w:w="2031" w:type="pct"/>
                  <w:tcBorders>
                    <w:tl2br w:val="nil"/>
                    <w:tr2bl w:val="nil"/>
                  </w:tcBorders>
                  <w:vAlign w:val="center"/>
                </w:tcPr>
                <w:p w14:paraId="3CBC1D6F">
                  <w:pPr>
                    <w:jc w:val="center"/>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可行技术</w:t>
                  </w:r>
                </w:p>
              </w:tc>
            </w:tr>
            <w:tr w14:paraId="553E39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112" w:type="pct"/>
                  <w:tcBorders>
                    <w:tl2br w:val="nil"/>
                    <w:tr2bl w:val="nil"/>
                  </w:tcBorders>
                  <w:vAlign w:val="center"/>
                </w:tcPr>
                <w:p w14:paraId="7C8FA5A6">
                  <w:pPr>
                    <w:jc w:val="both"/>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生产过程中破碎机、搅拌机、成型机、其他废气收集装置等对应排放口</w:t>
                  </w:r>
                </w:p>
              </w:tc>
              <w:tc>
                <w:tcPr>
                  <w:tcW w:w="855" w:type="pct"/>
                  <w:tcBorders>
                    <w:tl2br w:val="nil"/>
                    <w:tr2bl w:val="nil"/>
                  </w:tcBorders>
                  <w:vAlign w:val="center"/>
                </w:tcPr>
                <w:p w14:paraId="6E9CCB98">
                  <w:pPr>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颗粒物</w:t>
                  </w:r>
                </w:p>
              </w:tc>
              <w:tc>
                <w:tcPr>
                  <w:tcW w:w="2031" w:type="pct"/>
                  <w:tcBorders>
                    <w:tl2br w:val="nil"/>
                    <w:tr2bl w:val="nil"/>
                  </w:tcBorders>
                  <w:vAlign w:val="center"/>
                </w:tcPr>
                <w:p w14:paraId="1AED54E9">
                  <w:pPr>
                    <w:pStyle w:val="11"/>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color w:val="000000" w:themeColor="text1"/>
                      <w:szCs w:val="21"/>
                      <w:highlight w:val="none"/>
                      <w14:textFill>
                        <w14:solidFill>
                          <w14:schemeClr w14:val="tx1"/>
                        </w14:solidFill>
                      </w14:textFill>
                    </w:rPr>
                  </w:pPr>
                  <w:r>
                    <w:rPr>
                      <w:rFonts w:hint="eastAsia" w:ascii="Times New Roman" w:hAnsi="Times New Roman" w:eastAsia="宋体" w:cs="Times New Roman"/>
                      <w:color w:val="000000" w:themeColor="text1"/>
                      <w:kern w:val="2"/>
                      <w:sz w:val="21"/>
                      <w:szCs w:val="21"/>
                      <w:highlight w:val="none"/>
                      <w:lang w:val="en-US" w:eastAsia="zh-CN" w:bidi="ar-SA"/>
                      <w14:textFill>
                        <w14:solidFill>
                          <w14:schemeClr w14:val="tx1"/>
                        </w14:solidFill>
                      </w14:textFill>
                    </w:rPr>
                    <w:t>湿法作业或采用袋式除尘等技术</w:t>
                  </w:r>
                </w:p>
              </w:tc>
            </w:tr>
          </w:tbl>
          <w:p w14:paraId="4550463C">
            <w:pPr>
              <w:keepNext w:val="0"/>
              <w:keepLines w:val="0"/>
              <w:pageBreakBefore w:val="0"/>
              <w:widowControl/>
              <w:kinsoku/>
              <w:wordWrap/>
              <w:overflowPunct/>
              <w:topLinePunct w:val="0"/>
              <w:autoSpaceDE/>
              <w:autoSpaceDN/>
              <w:bidi w:val="0"/>
              <w:adjustRightInd/>
              <w:snapToGrid/>
              <w:spacing w:before="157" w:beforeLines="50" w:line="360" w:lineRule="auto"/>
              <w:ind w:firstLine="480" w:firstLineChars="200"/>
              <w:textAlignment w:val="auto"/>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在采取以上措施后，有组织颗粒物排放</w:t>
            </w:r>
            <w:r>
              <w:rPr>
                <w:rFonts w:hint="eastAsia"/>
                <w:color w:val="000000" w:themeColor="text1"/>
                <w:kern w:val="0"/>
                <w:sz w:val="24"/>
                <w:highlight w:val="none"/>
                <w:lang w:bidi="ar"/>
                <w14:textFill>
                  <w14:solidFill>
                    <w14:schemeClr w14:val="tx1"/>
                  </w14:solidFill>
                </w14:textFill>
              </w:rPr>
              <w:t>浓度</w:t>
            </w:r>
            <w:r>
              <w:rPr>
                <w:rFonts w:hint="eastAsia"/>
                <w:color w:val="000000" w:themeColor="text1"/>
                <w:kern w:val="0"/>
                <w:sz w:val="24"/>
                <w:highlight w:val="none"/>
                <w:lang w:val="en-US" w:eastAsia="zh-CN" w:bidi="ar"/>
                <w14:textFill>
                  <w14:solidFill>
                    <w14:schemeClr w14:val="tx1"/>
                  </w14:solidFill>
                </w14:textFill>
              </w:rPr>
              <w:t>116.35</w:t>
            </w:r>
            <w:r>
              <w:rPr>
                <w:rFonts w:hint="eastAsia"/>
                <w:color w:val="000000" w:themeColor="text1"/>
                <w:sz w:val="24"/>
                <w:highlight w:val="none"/>
                <w14:textFill>
                  <w14:solidFill>
                    <w14:schemeClr w14:val="tx1"/>
                  </w14:solidFill>
                </w14:textFill>
              </w:rPr>
              <w:t>mg/m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、排放速率</w:t>
            </w:r>
            <w:r>
              <w:rPr>
                <w:rFonts w:hint="eastAsia"/>
                <w:color w:val="000000" w:themeColor="text1"/>
                <w:sz w:val="24"/>
                <w:highlight w:val="none"/>
                <w:lang w:val="en-US" w:eastAsia="zh-CN"/>
                <w14:textFill>
                  <w14:solidFill>
                    <w14:schemeClr w14:val="tx1"/>
                  </w14:solidFill>
                </w14:textFill>
              </w:rPr>
              <w:t>2.327</w:t>
            </w:r>
            <w:r>
              <w:rPr>
                <w:rFonts w:hint="eastAsia"/>
                <w:color w:val="000000" w:themeColor="text1"/>
                <w:sz w:val="24"/>
                <w:highlight w:val="none"/>
                <w14:textFill>
                  <w14:solidFill>
                    <w14:schemeClr w14:val="tx1"/>
                  </w14:solidFill>
                </w14:textFill>
              </w:rPr>
              <w:t>kg/h均</w:t>
            </w:r>
            <w:r>
              <w:rPr>
                <w:color w:val="000000" w:themeColor="text1"/>
                <w:kern w:val="0"/>
                <w:sz w:val="24"/>
                <w:highlight w:val="none"/>
                <w:lang w:bidi="ar"/>
                <w14:textFill>
                  <w14:solidFill>
                    <w14:schemeClr w14:val="tx1"/>
                  </w14:solidFill>
                </w14:textFill>
              </w:rPr>
              <w:t>满足《大气污染物综合排放标准》（GB16297-1996）表2新污染源大气污染物排放限值</w:t>
            </w:r>
            <w:r>
              <w:rPr>
                <w:rFonts w:hint="eastAsia"/>
                <w:color w:val="000000" w:themeColor="text1"/>
                <w:kern w:val="0"/>
                <w:sz w:val="24"/>
                <w:highlight w:val="none"/>
                <w:lang w:bidi="ar"/>
                <w14:textFill>
                  <w14:solidFill>
                    <w14:schemeClr w14:val="tx1"/>
                  </w14:solidFill>
                </w14:textFill>
              </w:rPr>
              <w:t>（120</w:t>
            </w:r>
            <w:r>
              <w:rPr>
                <w:rFonts w:hint="eastAsia"/>
                <w:color w:val="000000" w:themeColor="text1"/>
                <w:sz w:val="24"/>
                <w:highlight w:val="none"/>
                <w14:textFill>
                  <w14:solidFill>
                    <w14:schemeClr w14:val="tx1"/>
                  </w14:solidFill>
                </w14:textFill>
              </w:rPr>
              <w:t>mg/m</w:t>
            </w:r>
            <w:r>
              <w:rPr>
                <w:rFonts w:hint="eastAsia"/>
                <w:color w:val="000000" w:themeColor="text1"/>
                <w:sz w:val="24"/>
                <w:highlight w:val="none"/>
                <w:vertAlign w:val="superscript"/>
                <w14:textFill>
                  <w14:solidFill>
                    <w14:schemeClr w14:val="tx1"/>
                  </w14:solidFill>
                </w14:textFill>
              </w:rPr>
              <w:t>3</w:t>
            </w:r>
            <w:r>
              <w:rPr>
                <w:rFonts w:hint="eastAsia"/>
                <w:color w:val="000000" w:themeColor="text1"/>
                <w:sz w:val="24"/>
                <w:highlight w:val="none"/>
                <w14:textFill>
                  <w14:solidFill>
                    <w14:schemeClr w14:val="tx1"/>
                  </w14:solidFill>
                </w14:textFill>
              </w:rPr>
              <w:t>、排放速率3.5kg/h</w:t>
            </w:r>
            <w:r>
              <w:rPr>
                <w:rFonts w:hint="eastAsia"/>
                <w:color w:val="000000" w:themeColor="text1"/>
                <w:kern w:val="0"/>
                <w:sz w:val="24"/>
                <w:highlight w:val="none"/>
                <w:lang w:bidi="ar"/>
                <w14:textFill>
                  <w14:solidFill>
                    <w14:schemeClr w14:val="tx1"/>
                  </w14:solidFill>
                </w14:textFill>
              </w:rPr>
              <w:t>）</w:t>
            </w:r>
            <w:r>
              <w:rPr>
                <w:color w:val="000000" w:themeColor="text1"/>
                <w:kern w:val="0"/>
                <w:sz w:val="24"/>
                <w:highlight w:val="none"/>
                <w:lang w:bidi="ar"/>
                <w14:textFill>
                  <w14:solidFill>
                    <w14:schemeClr w14:val="tx1"/>
                  </w14:solidFill>
                </w14:textFill>
              </w:rPr>
              <w:t>。</w:t>
            </w:r>
          </w:p>
          <w:p w14:paraId="14C3A6C8">
            <w:pPr>
              <w:widowControl/>
              <w:spacing w:line="360" w:lineRule="auto"/>
              <w:ind w:firstLine="480" w:firstLineChars="200"/>
              <w:rPr>
                <w:color w:val="FF0000"/>
                <w:kern w:val="0"/>
                <w:sz w:val="24"/>
                <w:highlight w:val="none"/>
                <w:lang w:bidi="ar"/>
              </w:rPr>
            </w:pPr>
            <w:r>
              <w:rPr>
                <w:rFonts w:hint="eastAsia"/>
                <w:color w:val="FF0000"/>
                <w:kern w:val="0"/>
                <w:sz w:val="24"/>
                <w:highlight w:val="none"/>
                <w:lang w:bidi="ar"/>
              </w:rPr>
              <w:t>（2）无组织排放可行性及达标分析</w:t>
            </w:r>
          </w:p>
          <w:p w14:paraId="1352CED7">
            <w:pPr>
              <w:pStyle w:val="11"/>
              <w:spacing w:line="360" w:lineRule="auto"/>
              <w:ind w:left="0" w:leftChars="0" w:firstLine="480" w:firstLineChars="200"/>
              <w:rPr>
                <w:color w:val="FF0000"/>
                <w:kern w:val="0"/>
                <w:sz w:val="24"/>
                <w:highlight w:val="none"/>
                <w:lang w:bidi="ar"/>
              </w:rPr>
            </w:pPr>
            <w:r>
              <w:rPr>
                <w:rFonts w:hint="eastAsia"/>
                <w:color w:val="FF0000"/>
                <w:kern w:val="0"/>
                <w:sz w:val="24"/>
                <w:highlight w:val="none"/>
                <w:lang w:eastAsia="zh-CN" w:bidi="ar"/>
              </w:rPr>
              <w:t>《</w:t>
            </w:r>
            <w:r>
              <w:rPr>
                <w:rFonts w:hint="eastAsia"/>
                <w:color w:val="FF0000"/>
                <w:kern w:val="0"/>
                <w:sz w:val="24"/>
                <w:highlight w:val="none"/>
                <w:lang w:bidi="ar"/>
              </w:rPr>
              <w:t>中华人民共和国大气污染防治法</w:t>
            </w:r>
            <w:r>
              <w:rPr>
                <w:rFonts w:hint="eastAsia"/>
                <w:color w:val="FF0000"/>
                <w:kern w:val="0"/>
                <w:sz w:val="24"/>
                <w:highlight w:val="none"/>
                <w:lang w:eastAsia="zh-CN" w:bidi="ar"/>
              </w:rPr>
              <w:t>》</w:t>
            </w:r>
            <w:r>
              <w:rPr>
                <w:rFonts w:hint="eastAsia"/>
                <w:color w:val="FF0000"/>
                <w:kern w:val="0"/>
                <w:sz w:val="24"/>
                <w:highlight w:val="none"/>
                <w:lang w:val="en-US" w:eastAsia="zh-CN" w:bidi="ar"/>
              </w:rPr>
              <w:t>和</w:t>
            </w:r>
            <w:r>
              <w:rPr>
                <w:color w:val="FF0000"/>
                <w:kern w:val="0"/>
                <w:sz w:val="24"/>
                <w:highlight w:val="none"/>
                <w:lang w:bidi="ar"/>
              </w:rPr>
              <w:t>《排污许可证申请与核发技术规范 陶瓷砖瓦工业》（HJ954</w:t>
            </w:r>
            <w:r>
              <w:rPr>
                <w:rFonts w:hint="eastAsia"/>
                <w:color w:val="FF0000"/>
                <w:kern w:val="0"/>
                <w:sz w:val="24"/>
                <w:highlight w:val="none"/>
                <w:lang w:bidi="ar"/>
              </w:rPr>
              <w:t>-</w:t>
            </w:r>
            <w:r>
              <w:rPr>
                <w:color w:val="FF0000"/>
                <w:kern w:val="0"/>
                <w:sz w:val="24"/>
                <w:highlight w:val="none"/>
                <w:lang w:bidi="ar"/>
              </w:rPr>
              <w:t>2018）</w:t>
            </w:r>
            <w:r>
              <w:rPr>
                <w:rFonts w:hint="eastAsia"/>
                <w:color w:val="FF0000"/>
                <w:kern w:val="0"/>
                <w:sz w:val="24"/>
                <w:highlight w:val="none"/>
                <w:lang w:bidi="ar"/>
              </w:rPr>
              <w:t>中建筑用石加工工业排污单位无组织排放控制要求详见下表。</w:t>
            </w:r>
          </w:p>
          <w:p w14:paraId="784111AF">
            <w:pPr>
              <w:pStyle w:val="11"/>
              <w:spacing w:line="240" w:lineRule="auto"/>
              <w:ind w:left="0" w:leftChars="0"/>
              <w:jc w:val="center"/>
              <w:rPr>
                <w:b/>
                <w:bCs/>
                <w:color w:val="FF0000"/>
                <w:szCs w:val="21"/>
                <w:highlight w:val="none"/>
              </w:rPr>
            </w:pPr>
            <w:r>
              <w:rPr>
                <w:rFonts w:hint="eastAsia"/>
                <w:b/>
                <w:bCs/>
                <w:color w:val="FF0000"/>
                <w:szCs w:val="21"/>
                <w:highlight w:val="none"/>
              </w:rPr>
              <w:t>表4-</w:t>
            </w:r>
            <w:r>
              <w:rPr>
                <w:rFonts w:hint="eastAsia"/>
                <w:b/>
                <w:bCs/>
                <w:color w:val="FF0000"/>
                <w:szCs w:val="21"/>
                <w:highlight w:val="none"/>
                <w:lang w:val="en-US" w:eastAsia="zh-CN"/>
              </w:rPr>
              <w:t>5</w:t>
            </w:r>
            <w:r>
              <w:rPr>
                <w:rFonts w:hint="eastAsia"/>
                <w:b/>
                <w:bCs/>
                <w:color w:val="FF0000"/>
                <w:szCs w:val="21"/>
                <w:highlight w:val="none"/>
              </w:rPr>
              <w:t xml:space="preserve">  其他制品类工业排污单位无组织排放控制要求</w:t>
            </w:r>
          </w:p>
          <w:tbl>
            <w:tblPr>
              <w:tblStyle w:val="19"/>
              <w:tblW w:w="507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70"/>
              <w:gridCol w:w="876"/>
              <w:gridCol w:w="6238"/>
            </w:tblGrid>
            <w:tr w14:paraId="165E33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807" w:type="pct"/>
                  <w:tcBorders>
                    <w:tl2br w:val="nil"/>
                    <w:tr2bl w:val="nil"/>
                  </w:tcBorders>
                  <w:vAlign w:val="center"/>
                </w:tcPr>
                <w:p w14:paraId="2A6C5574">
                  <w:pPr>
                    <w:jc w:val="center"/>
                    <w:rPr>
                      <w:rFonts w:hint="eastAsia"/>
                      <w:b/>
                      <w:bCs/>
                      <w:color w:val="FF0000"/>
                      <w:szCs w:val="21"/>
                      <w:highlight w:val="none"/>
                    </w:rPr>
                  </w:pPr>
                  <w:r>
                    <w:rPr>
                      <w:rFonts w:hint="eastAsia"/>
                      <w:b/>
                      <w:bCs/>
                      <w:color w:val="FF0000"/>
                      <w:szCs w:val="21"/>
                      <w:highlight w:val="none"/>
                      <w:lang w:val="en-US" w:eastAsia="zh-CN"/>
                    </w:rPr>
                    <w:t>标准名称</w:t>
                  </w:r>
                </w:p>
              </w:tc>
              <w:tc>
                <w:tcPr>
                  <w:tcW w:w="516" w:type="pct"/>
                  <w:tcBorders>
                    <w:tl2br w:val="nil"/>
                    <w:tr2bl w:val="nil"/>
                  </w:tcBorders>
                  <w:vAlign w:val="center"/>
                </w:tcPr>
                <w:p w14:paraId="12F5123E">
                  <w:pPr>
                    <w:jc w:val="center"/>
                    <w:rPr>
                      <w:b/>
                      <w:bCs/>
                      <w:color w:val="FF0000"/>
                      <w:szCs w:val="21"/>
                      <w:highlight w:val="none"/>
                    </w:rPr>
                  </w:pPr>
                  <w:r>
                    <w:rPr>
                      <w:rFonts w:hint="eastAsia"/>
                      <w:b/>
                      <w:bCs/>
                      <w:color w:val="FF0000"/>
                      <w:szCs w:val="21"/>
                      <w:highlight w:val="none"/>
                    </w:rPr>
                    <w:t>主要生产单元</w:t>
                  </w:r>
                </w:p>
              </w:tc>
              <w:tc>
                <w:tcPr>
                  <w:tcW w:w="3675" w:type="pct"/>
                  <w:tcBorders>
                    <w:tl2br w:val="nil"/>
                    <w:tr2bl w:val="nil"/>
                  </w:tcBorders>
                  <w:vAlign w:val="center"/>
                </w:tcPr>
                <w:p w14:paraId="3EBE1377">
                  <w:pPr>
                    <w:jc w:val="center"/>
                    <w:rPr>
                      <w:b/>
                      <w:bCs/>
                      <w:color w:val="FF0000"/>
                      <w:szCs w:val="21"/>
                      <w:highlight w:val="none"/>
                    </w:rPr>
                  </w:pPr>
                  <w:r>
                    <w:rPr>
                      <w:rFonts w:hint="eastAsia"/>
                      <w:b/>
                      <w:bCs/>
                      <w:color w:val="FF0000"/>
                      <w:szCs w:val="21"/>
                      <w:highlight w:val="none"/>
                    </w:rPr>
                    <w:t>无组织排放控制要求</w:t>
                  </w:r>
                </w:p>
              </w:tc>
            </w:tr>
            <w:tr w14:paraId="491564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7" w:type="pct"/>
                  <w:vMerge w:val="restart"/>
                  <w:tcBorders>
                    <w:tl2br w:val="nil"/>
                    <w:tr2bl w:val="nil"/>
                  </w:tcBorders>
                  <w:vAlign w:val="center"/>
                </w:tcPr>
                <w:p w14:paraId="52562E4A">
                  <w:pPr>
                    <w:jc w:val="center"/>
                    <w:rPr>
                      <w:rFonts w:hint="eastAsia"/>
                      <w:color w:val="FF0000"/>
                      <w:szCs w:val="21"/>
                      <w:highlight w:val="none"/>
                    </w:rPr>
                  </w:pPr>
                  <w:r>
                    <w:rPr>
                      <w:rFonts w:hint="eastAsia"/>
                      <w:color w:val="FF0000"/>
                      <w:szCs w:val="21"/>
                      <w:highlight w:val="none"/>
                      <w:lang w:eastAsia="zh-CN"/>
                    </w:rPr>
                    <w:t>《</w:t>
                  </w:r>
                  <w:r>
                    <w:rPr>
                      <w:rFonts w:hint="eastAsia"/>
                      <w:color w:val="FF0000"/>
                      <w:szCs w:val="21"/>
                      <w:highlight w:val="none"/>
                    </w:rPr>
                    <w:t>排污许可证申请与核发技术规范 陶瓷砖瓦工业》（HJ954-2018）</w:t>
                  </w:r>
                </w:p>
              </w:tc>
              <w:tc>
                <w:tcPr>
                  <w:tcW w:w="516" w:type="pct"/>
                  <w:tcBorders>
                    <w:tl2br w:val="nil"/>
                    <w:tr2bl w:val="nil"/>
                  </w:tcBorders>
                  <w:vAlign w:val="center"/>
                </w:tcPr>
                <w:p w14:paraId="41CCFB56">
                  <w:pPr>
                    <w:jc w:val="center"/>
                    <w:rPr>
                      <w:color w:val="FF0000"/>
                      <w:szCs w:val="21"/>
                      <w:highlight w:val="none"/>
                    </w:rPr>
                  </w:pPr>
                  <w:r>
                    <w:rPr>
                      <w:rFonts w:hint="eastAsia"/>
                      <w:color w:val="FF0000"/>
                      <w:szCs w:val="21"/>
                      <w:highlight w:val="none"/>
                    </w:rPr>
                    <w:t>原辅料制备</w:t>
                  </w:r>
                </w:p>
              </w:tc>
              <w:tc>
                <w:tcPr>
                  <w:tcW w:w="3675" w:type="pct"/>
                  <w:tcBorders>
                    <w:tl2br w:val="nil"/>
                    <w:tr2bl w:val="nil"/>
                  </w:tcBorders>
                  <w:vAlign w:val="center"/>
                </w:tcPr>
                <w:p w14:paraId="019F8A0D">
                  <w:pPr>
                    <w:pStyle w:val="11"/>
                    <w:spacing w:after="0" w:line="240" w:lineRule="auto"/>
                    <w:ind w:left="0" w:leftChars="0"/>
                    <w:jc w:val="left"/>
                    <w:rPr>
                      <w:color w:val="FF0000"/>
                      <w:szCs w:val="21"/>
                      <w:highlight w:val="none"/>
                    </w:rPr>
                  </w:pPr>
                  <w:r>
                    <w:rPr>
                      <w:rFonts w:hint="eastAsia"/>
                      <w:color w:val="FF0000"/>
                      <w:szCs w:val="21"/>
                      <w:highlight w:val="none"/>
                    </w:rPr>
                    <w:t>（1）物料料场应采用封闭、半封闭料场（仓、库、棚）或四周设置防风抑尘网、挡风墙，或采取覆盖等抑尘措施，防风抑尘网、挡风墙高度不低于堆存物料高度的1.1倍；有包装袋的物料采取覆盖措施。</w:t>
                  </w:r>
                </w:p>
                <w:p w14:paraId="22C591E1">
                  <w:pPr>
                    <w:pStyle w:val="11"/>
                    <w:spacing w:after="0" w:line="240" w:lineRule="auto"/>
                    <w:ind w:left="0" w:leftChars="0"/>
                    <w:jc w:val="left"/>
                    <w:rPr>
                      <w:color w:val="FF0000"/>
                      <w:szCs w:val="21"/>
                      <w:highlight w:val="none"/>
                    </w:rPr>
                  </w:pPr>
                  <w:r>
                    <w:rPr>
                      <w:rFonts w:hint="eastAsia"/>
                      <w:color w:val="FF0000"/>
                      <w:szCs w:val="21"/>
                      <w:highlight w:val="none"/>
                    </w:rPr>
                    <w:t>（2）粉状物料应密闭输送；其他物料输送应在转运点设置集气罩，并配备除尘设施。</w:t>
                  </w:r>
                </w:p>
              </w:tc>
            </w:tr>
            <w:tr w14:paraId="42924C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7" w:type="pct"/>
                  <w:vMerge w:val="continue"/>
                  <w:tcBorders>
                    <w:tl2br w:val="nil"/>
                    <w:tr2bl w:val="nil"/>
                  </w:tcBorders>
                  <w:vAlign w:val="center"/>
                </w:tcPr>
                <w:p w14:paraId="3CB32BB2">
                  <w:pPr>
                    <w:jc w:val="center"/>
                    <w:rPr>
                      <w:rFonts w:hint="eastAsia"/>
                      <w:color w:val="FF0000"/>
                      <w:szCs w:val="21"/>
                      <w:highlight w:val="none"/>
                    </w:rPr>
                  </w:pPr>
                </w:p>
              </w:tc>
              <w:tc>
                <w:tcPr>
                  <w:tcW w:w="516" w:type="pct"/>
                  <w:tcBorders>
                    <w:tl2br w:val="nil"/>
                    <w:tr2bl w:val="nil"/>
                  </w:tcBorders>
                  <w:vAlign w:val="center"/>
                </w:tcPr>
                <w:p w14:paraId="1908A8A8">
                  <w:pPr>
                    <w:jc w:val="center"/>
                    <w:rPr>
                      <w:color w:val="FF0000"/>
                      <w:szCs w:val="21"/>
                      <w:highlight w:val="none"/>
                    </w:rPr>
                  </w:pPr>
                  <w:r>
                    <w:rPr>
                      <w:color w:val="FF0000"/>
                      <w:szCs w:val="21"/>
                      <w:highlight w:val="none"/>
                    </w:rPr>
                    <w:t>生产系统</w:t>
                  </w:r>
                </w:p>
              </w:tc>
              <w:tc>
                <w:tcPr>
                  <w:tcW w:w="3675" w:type="pct"/>
                  <w:tcBorders>
                    <w:tl2br w:val="nil"/>
                    <w:tr2bl w:val="nil"/>
                  </w:tcBorders>
                  <w:vAlign w:val="center"/>
                </w:tcPr>
                <w:p w14:paraId="7FF62641">
                  <w:pPr>
                    <w:jc w:val="left"/>
                    <w:rPr>
                      <w:color w:val="FF0000"/>
                      <w:szCs w:val="21"/>
                      <w:highlight w:val="none"/>
                    </w:rPr>
                  </w:pPr>
                  <w:r>
                    <w:rPr>
                      <w:color w:val="FF0000"/>
                      <w:szCs w:val="21"/>
                      <w:highlight w:val="none"/>
                    </w:rPr>
                    <w:t>（1）原料的粉碎、筛分、配料、混合搅拌等工序，应</w:t>
                  </w:r>
                  <w:r>
                    <w:rPr>
                      <w:rFonts w:hint="eastAsia"/>
                      <w:color w:val="FF0000"/>
                      <w:szCs w:val="21"/>
                      <w:highlight w:val="none"/>
                    </w:rPr>
                    <w:t>采用</w:t>
                  </w:r>
                  <w:r>
                    <w:rPr>
                      <w:color w:val="FF0000"/>
                      <w:szCs w:val="21"/>
                      <w:highlight w:val="none"/>
                    </w:rPr>
                    <w:t>封闭式作业，并配备除尘设施。</w:t>
                  </w:r>
                </w:p>
                <w:p w14:paraId="4B20E8E9">
                  <w:pPr>
                    <w:jc w:val="left"/>
                    <w:rPr>
                      <w:color w:val="FF0000"/>
                      <w:szCs w:val="21"/>
                      <w:highlight w:val="none"/>
                    </w:rPr>
                  </w:pPr>
                  <w:r>
                    <w:rPr>
                      <w:color w:val="FF0000"/>
                      <w:szCs w:val="21"/>
                      <w:highlight w:val="none"/>
                    </w:rPr>
                    <w:t>（2）制备与成型车间外不应有可见粉尘外逸。</w:t>
                  </w:r>
                </w:p>
              </w:tc>
            </w:tr>
            <w:tr w14:paraId="552B3B1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7" w:type="pct"/>
                  <w:vMerge w:val="continue"/>
                  <w:tcBorders>
                    <w:tl2br w:val="nil"/>
                    <w:tr2bl w:val="nil"/>
                  </w:tcBorders>
                  <w:vAlign w:val="center"/>
                </w:tcPr>
                <w:p w14:paraId="4DFBCD2A">
                  <w:pPr>
                    <w:jc w:val="center"/>
                    <w:rPr>
                      <w:rFonts w:hint="eastAsia"/>
                      <w:color w:val="FF0000"/>
                      <w:szCs w:val="21"/>
                      <w:highlight w:val="none"/>
                    </w:rPr>
                  </w:pPr>
                </w:p>
              </w:tc>
              <w:tc>
                <w:tcPr>
                  <w:tcW w:w="516" w:type="pct"/>
                  <w:tcBorders>
                    <w:tl2br w:val="nil"/>
                    <w:tr2bl w:val="nil"/>
                  </w:tcBorders>
                  <w:vAlign w:val="center"/>
                </w:tcPr>
                <w:p w14:paraId="48B49C74">
                  <w:pPr>
                    <w:jc w:val="center"/>
                    <w:rPr>
                      <w:color w:val="FF0000"/>
                      <w:szCs w:val="21"/>
                      <w:highlight w:val="none"/>
                    </w:rPr>
                  </w:pPr>
                  <w:r>
                    <w:rPr>
                      <w:rFonts w:hint="eastAsia"/>
                      <w:color w:val="FF0000"/>
                      <w:szCs w:val="21"/>
                      <w:highlight w:val="none"/>
                    </w:rPr>
                    <w:t>其他要求</w:t>
                  </w:r>
                </w:p>
              </w:tc>
              <w:tc>
                <w:tcPr>
                  <w:tcW w:w="3675" w:type="pct"/>
                  <w:tcBorders>
                    <w:tl2br w:val="nil"/>
                    <w:tr2bl w:val="nil"/>
                  </w:tcBorders>
                  <w:vAlign w:val="center"/>
                </w:tcPr>
                <w:p w14:paraId="082FD561">
                  <w:pPr>
                    <w:jc w:val="left"/>
                    <w:rPr>
                      <w:color w:val="FF0000"/>
                      <w:szCs w:val="21"/>
                      <w:highlight w:val="none"/>
                    </w:rPr>
                  </w:pPr>
                  <w:r>
                    <w:rPr>
                      <w:rFonts w:hint="eastAsia"/>
                      <w:color w:val="FF0000"/>
                      <w:szCs w:val="21"/>
                      <w:highlight w:val="none"/>
                    </w:rPr>
                    <w:t>厂区道路应硬化。道路采取清扫、洒水等措施，保持清洁。</w:t>
                  </w:r>
                </w:p>
              </w:tc>
            </w:tr>
            <w:tr w14:paraId="6911C86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7" w:type="pct"/>
                  <w:vMerge w:val="restart"/>
                  <w:tcBorders>
                    <w:tl2br w:val="nil"/>
                    <w:tr2bl w:val="nil"/>
                  </w:tcBorders>
                  <w:vAlign w:val="center"/>
                </w:tcPr>
                <w:p w14:paraId="401F02D8">
                  <w:pPr>
                    <w:jc w:val="center"/>
                    <w:rPr>
                      <w:rFonts w:hint="eastAsia"/>
                      <w:color w:val="FF0000"/>
                      <w:szCs w:val="21"/>
                      <w:highlight w:val="none"/>
                    </w:rPr>
                  </w:pPr>
                  <w:r>
                    <w:rPr>
                      <w:rFonts w:hint="eastAsia"/>
                      <w:color w:val="FF0000"/>
                      <w:szCs w:val="21"/>
                      <w:highlight w:val="none"/>
                    </w:rPr>
                    <w:t>《中华人民共和国大气污染防治法》</w:t>
                  </w:r>
                </w:p>
              </w:tc>
              <w:tc>
                <w:tcPr>
                  <w:tcW w:w="516" w:type="pct"/>
                  <w:vMerge w:val="restart"/>
                  <w:tcBorders>
                    <w:tl2br w:val="nil"/>
                    <w:tr2bl w:val="nil"/>
                  </w:tcBorders>
                  <w:vAlign w:val="center"/>
                </w:tcPr>
                <w:p w14:paraId="6466736A">
                  <w:pPr>
                    <w:jc w:val="center"/>
                    <w:rPr>
                      <w:rFonts w:hint="default" w:eastAsia="宋体"/>
                      <w:color w:val="FF0000"/>
                      <w:szCs w:val="21"/>
                      <w:highlight w:val="none"/>
                      <w:lang w:val="en-US" w:eastAsia="zh-CN"/>
                    </w:rPr>
                  </w:pPr>
                  <w:r>
                    <w:rPr>
                      <w:rFonts w:hint="eastAsia"/>
                      <w:color w:val="FF0000"/>
                      <w:szCs w:val="21"/>
                      <w:highlight w:val="none"/>
                      <w:lang w:val="en-US" w:eastAsia="zh-CN"/>
                    </w:rPr>
                    <w:t>扬尘污染防治</w:t>
                  </w:r>
                </w:p>
              </w:tc>
              <w:tc>
                <w:tcPr>
                  <w:tcW w:w="3675" w:type="pct"/>
                  <w:tcBorders>
                    <w:tl2br w:val="nil"/>
                    <w:tr2bl w:val="nil"/>
                  </w:tcBorders>
                  <w:vAlign w:val="center"/>
                </w:tcPr>
                <w:p w14:paraId="7F2427E8">
                  <w:pPr>
                    <w:jc w:val="left"/>
                    <w:rPr>
                      <w:rFonts w:hint="eastAsia"/>
                      <w:color w:val="FF0000"/>
                      <w:szCs w:val="21"/>
                      <w:highlight w:val="none"/>
                    </w:rPr>
                  </w:pPr>
                  <w:r>
                    <w:rPr>
                      <w:rFonts w:hint="eastAsia"/>
                      <w:color w:val="FF0000"/>
                      <w:szCs w:val="21"/>
                      <w:highlight w:val="none"/>
                    </w:rPr>
                    <w:t>装卸物料应当采取密闭或者喷淋等方式防治扬尘污染</w:t>
                  </w:r>
                </w:p>
              </w:tc>
            </w:tr>
            <w:tr w14:paraId="2479F6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07" w:type="pct"/>
                  <w:vMerge w:val="continue"/>
                  <w:tcBorders>
                    <w:tl2br w:val="nil"/>
                    <w:tr2bl w:val="nil"/>
                  </w:tcBorders>
                  <w:vAlign w:val="center"/>
                </w:tcPr>
                <w:p w14:paraId="48EEE7CA">
                  <w:pPr>
                    <w:jc w:val="center"/>
                    <w:rPr>
                      <w:rFonts w:hint="eastAsia"/>
                      <w:color w:val="FF0000"/>
                      <w:szCs w:val="21"/>
                      <w:highlight w:val="none"/>
                    </w:rPr>
                  </w:pPr>
                </w:p>
              </w:tc>
              <w:tc>
                <w:tcPr>
                  <w:tcW w:w="516" w:type="pct"/>
                  <w:vMerge w:val="continue"/>
                  <w:tcBorders>
                    <w:tl2br w:val="nil"/>
                    <w:tr2bl w:val="nil"/>
                  </w:tcBorders>
                  <w:vAlign w:val="center"/>
                </w:tcPr>
                <w:p w14:paraId="2DFD951C">
                  <w:pPr>
                    <w:jc w:val="center"/>
                    <w:rPr>
                      <w:rFonts w:hint="eastAsia"/>
                      <w:color w:val="FF0000"/>
                      <w:szCs w:val="21"/>
                      <w:highlight w:val="none"/>
                    </w:rPr>
                  </w:pPr>
                </w:p>
              </w:tc>
              <w:tc>
                <w:tcPr>
                  <w:tcW w:w="3675" w:type="pct"/>
                  <w:tcBorders>
                    <w:tl2br w:val="nil"/>
                    <w:tr2bl w:val="nil"/>
                  </w:tcBorders>
                  <w:vAlign w:val="center"/>
                </w:tcPr>
                <w:p w14:paraId="3188FDA4">
                  <w:pPr>
                    <w:jc w:val="left"/>
                    <w:rPr>
                      <w:rFonts w:hint="eastAsia"/>
                      <w:color w:val="FF0000"/>
                      <w:szCs w:val="21"/>
                      <w:highlight w:val="none"/>
                    </w:rPr>
                  </w:pPr>
                  <w:r>
                    <w:rPr>
                      <w:rFonts w:hint="eastAsia"/>
                      <w:color w:val="FF0000"/>
                      <w:szCs w:val="21"/>
                      <w:highlight w:val="none"/>
                    </w:rPr>
                    <w:t>贮存煤炭、煤矸石、煤渣、煤灰、水泥、石灰、石膏、砂土等易产生扬尘的物料应当密闭；不能密闭的，应当设置不低于堆放物高度的严密围挡，并采取有效覆盖措施防治扬尘污染。</w:t>
                  </w:r>
                </w:p>
              </w:tc>
            </w:tr>
          </w:tbl>
          <w:p w14:paraId="0A41AC90">
            <w:pPr>
              <w:widowControl/>
              <w:spacing w:before="120" w:beforeLines="50" w:line="360" w:lineRule="auto"/>
              <w:ind w:firstLine="480" w:firstLineChars="200"/>
              <w:rPr>
                <w:color w:val="000000" w:themeColor="text1"/>
                <w:kern w:val="0"/>
                <w:sz w:val="24"/>
                <w:highlight w:val="none"/>
                <w:lang w:bidi="ar"/>
                <w14:textFill>
                  <w14:solidFill>
                    <w14:schemeClr w14:val="tx1"/>
                  </w14:solidFill>
                </w14:textFill>
              </w:rPr>
            </w:pPr>
            <w:r>
              <w:rPr>
                <w:color w:val="FF0000"/>
                <w:kern w:val="0"/>
                <w:sz w:val="24"/>
                <w:highlight w:val="none"/>
                <w:lang w:bidi="ar"/>
              </w:rPr>
              <w:t>本项目</w:t>
            </w:r>
            <w:r>
              <w:rPr>
                <w:rFonts w:hint="eastAsia"/>
                <w:color w:val="FF0000"/>
                <w:kern w:val="0"/>
                <w:sz w:val="24"/>
                <w:highlight w:val="none"/>
                <w:lang w:bidi="ar"/>
              </w:rPr>
              <w:t>原料为块状矿石，原料区为半敞开式，通过设置顶棚、四周设置5m高围挡</w:t>
            </w:r>
            <w:r>
              <w:rPr>
                <w:rFonts w:hint="eastAsia"/>
                <w:color w:val="FF0000"/>
                <w:kern w:val="0"/>
                <w:sz w:val="24"/>
                <w:highlight w:val="none"/>
                <w:lang w:eastAsia="zh-CN" w:bidi="ar"/>
              </w:rPr>
              <w:t>、围挡与顶棚连接采取防尘网、</w:t>
            </w:r>
            <w:r>
              <w:rPr>
                <w:rFonts w:hint="eastAsia"/>
                <w:color w:val="FF0000"/>
                <w:kern w:val="0"/>
                <w:sz w:val="24"/>
                <w:highlight w:val="none"/>
                <w:lang w:bidi="ar"/>
              </w:rPr>
              <w:t>加强管理等措施，能够较好的控制无组织粉尘，技术可行；</w:t>
            </w:r>
            <w:r>
              <w:rPr>
                <w:color w:val="FF0000"/>
                <w:sz w:val="24"/>
                <w:highlight w:val="none"/>
              </w:rPr>
              <w:t>传送带</w:t>
            </w:r>
            <w:r>
              <w:rPr>
                <w:rFonts w:hint="eastAsia"/>
                <w:color w:val="FF0000"/>
                <w:sz w:val="24"/>
                <w:highlight w:val="none"/>
                <w:lang w:val="en-US" w:eastAsia="zh-CN"/>
              </w:rPr>
              <w:t>全</w:t>
            </w:r>
            <w:r>
              <w:rPr>
                <w:rFonts w:hint="eastAsia"/>
                <w:color w:val="FF0000"/>
                <w:sz w:val="24"/>
                <w:highlight w:val="none"/>
              </w:rPr>
              <w:t>封闭且大多数</w:t>
            </w:r>
            <w:r>
              <w:rPr>
                <w:color w:val="FF0000"/>
                <w:sz w:val="24"/>
                <w:highlight w:val="none"/>
              </w:rPr>
              <w:t>设置在车间内，并在物料转运端设置洒水抑尘设施</w:t>
            </w:r>
            <w:r>
              <w:rPr>
                <w:rFonts w:hint="eastAsia"/>
                <w:color w:val="FF0000"/>
                <w:kern w:val="0"/>
                <w:sz w:val="24"/>
                <w:highlight w:val="none"/>
                <w:lang w:bidi="ar"/>
              </w:rPr>
              <w:t>，技术可行</w:t>
            </w:r>
            <w:r>
              <w:rPr>
                <w:rFonts w:hint="eastAsia"/>
                <w:color w:val="FF0000"/>
                <w:sz w:val="24"/>
                <w:highlight w:val="none"/>
              </w:rPr>
              <w:t>；</w:t>
            </w:r>
            <w:r>
              <w:rPr>
                <w:rFonts w:hint="eastAsia"/>
                <w:color w:val="FF0000"/>
                <w:kern w:val="0"/>
                <w:sz w:val="24"/>
                <w:highlight w:val="none"/>
                <w:lang w:bidi="ar"/>
              </w:rPr>
              <w:t>成品库全封闭，传送皮带廊</w:t>
            </w:r>
            <w:r>
              <w:rPr>
                <w:rFonts w:hint="eastAsia"/>
                <w:color w:val="FF0000"/>
                <w:kern w:val="0"/>
                <w:sz w:val="24"/>
                <w:highlight w:val="none"/>
                <w:lang w:val="en-US" w:eastAsia="zh-CN" w:bidi="ar"/>
              </w:rPr>
              <w:t>全</w:t>
            </w:r>
            <w:r>
              <w:rPr>
                <w:rFonts w:hint="eastAsia"/>
                <w:color w:val="FF0000"/>
                <w:kern w:val="0"/>
                <w:sz w:val="24"/>
                <w:highlight w:val="none"/>
                <w:lang w:bidi="ar"/>
              </w:rPr>
              <w:t>封闭，成品库采取地面硬化、定期洒水降尘等措施，技术可行；厂区路面硬化，定期洒水降尘，出入口设置清洗平台，运输车辆限速行驶、苫布遮盖等，技术可行</w:t>
            </w:r>
            <w:r>
              <w:rPr>
                <w:color w:val="FF0000"/>
                <w:kern w:val="0"/>
                <w:sz w:val="24"/>
                <w:highlight w:val="none"/>
                <w:lang w:bidi="ar"/>
              </w:rPr>
              <w:t>。</w:t>
            </w:r>
            <w:r>
              <w:rPr>
                <w:rFonts w:hint="eastAsia"/>
                <w:color w:val="FF0000"/>
                <w:kern w:val="0"/>
                <w:sz w:val="24"/>
                <w:highlight w:val="none"/>
                <w:lang w:bidi="ar"/>
              </w:rPr>
              <w:t>综上所述，本项目无组织粉尘排放采取的措施符合</w:t>
            </w:r>
            <w:r>
              <w:rPr>
                <w:color w:val="FF0000"/>
                <w:kern w:val="0"/>
                <w:sz w:val="24"/>
                <w:highlight w:val="none"/>
                <w:lang w:bidi="ar"/>
              </w:rPr>
              <w:t>《排污许可证申请与核发技术规范 陶瓷砖瓦工业》（HJ954</w:t>
            </w:r>
            <w:r>
              <w:rPr>
                <w:rFonts w:hint="eastAsia"/>
                <w:color w:val="FF0000"/>
                <w:kern w:val="0"/>
                <w:sz w:val="24"/>
                <w:highlight w:val="none"/>
                <w:lang w:bidi="ar"/>
              </w:rPr>
              <w:t>-</w:t>
            </w:r>
            <w:r>
              <w:rPr>
                <w:color w:val="FF0000"/>
                <w:kern w:val="0"/>
                <w:sz w:val="24"/>
                <w:highlight w:val="none"/>
                <w:lang w:bidi="ar"/>
              </w:rPr>
              <w:t>2018）</w:t>
            </w:r>
            <w:r>
              <w:rPr>
                <w:rFonts w:hint="eastAsia"/>
                <w:color w:val="FF0000"/>
                <w:kern w:val="0"/>
                <w:sz w:val="24"/>
                <w:highlight w:val="none"/>
                <w:lang w:bidi="ar"/>
              </w:rPr>
              <w:t>无组织排放控制要求。</w:t>
            </w:r>
          </w:p>
          <w:p w14:paraId="0525A7DE">
            <w:pPr>
              <w:widowControl/>
              <w:spacing w:line="360" w:lineRule="auto"/>
              <w:ind w:firstLine="480" w:firstLineChars="200"/>
              <w:rPr>
                <w:color w:val="FF0000"/>
                <w:kern w:val="0"/>
                <w:sz w:val="24"/>
                <w:highlight w:val="none"/>
                <w:lang w:bidi="ar"/>
              </w:rPr>
            </w:pPr>
            <w:r>
              <w:rPr>
                <w:rFonts w:hint="eastAsia"/>
                <w:color w:val="FF0000"/>
                <w:kern w:val="0"/>
                <w:sz w:val="24"/>
                <w:highlight w:val="none"/>
                <w:lang w:bidi="ar"/>
              </w:rPr>
              <w:t>根据《环境影响评价技术导则 大气环境》（HJ2.2-2018）附录A中推荐的估算模型预测无组织污染源最大落地浓度，无组织排放污染源调查结果详见下表。</w:t>
            </w:r>
          </w:p>
          <w:p w14:paraId="4C893E81">
            <w:pPr>
              <w:widowControl/>
              <w:spacing w:line="360" w:lineRule="auto"/>
              <w:jc w:val="center"/>
              <w:rPr>
                <w:b/>
                <w:bCs/>
                <w:color w:val="FF0000"/>
                <w:kern w:val="0"/>
                <w:szCs w:val="21"/>
                <w:highlight w:val="none"/>
                <w:lang w:bidi="ar"/>
              </w:rPr>
            </w:pPr>
            <w:r>
              <w:rPr>
                <w:rFonts w:hint="eastAsia"/>
                <w:b/>
                <w:bCs/>
                <w:color w:val="FF0000"/>
                <w:kern w:val="0"/>
                <w:szCs w:val="21"/>
                <w:highlight w:val="none"/>
                <w:lang w:bidi="ar"/>
              </w:rPr>
              <w:t>表4-</w:t>
            </w:r>
            <w:r>
              <w:rPr>
                <w:rFonts w:hint="eastAsia"/>
                <w:b/>
                <w:bCs/>
                <w:color w:val="FF0000"/>
                <w:kern w:val="0"/>
                <w:szCs w:val="21"/>
                <w:highlight w:val="none"/>
                <w:lang w:val="en-US" w:eastAsia="zh-CN" w:bidi="ar"/>
              </w:rPr>
              <w:t>6</w:t>
            </w:r>
            <w:r>
              <w:rPr>
                <w:rFonts w:hint="eastAsia"/>
                <w:b/>
                <w:bCs/>
                <w:color w:val="FF0000"/>
                <w:kern w:val="0"/>
                <w:szCs w:val="21"/>
                <w:highlight w:val="none"/>
                <w:lang w:bidi="ar"/>
              </w:rPr>
              <w:t xml:space="preserve"> 无组织面源预测参数表</w:t>
            </w:r>
          </w:p>
          <w:tbl>
            <w:tblPr>
              <w:tblStyle w:val="1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37"/>
              <w:gridCol w:w="760"/>
              <w:gridCol w:w="894"/>
              <w:gridCol w:w="795"/>
              <w:gridCol w:w="848"/>
              <w:gridCol w:w="699"/>
              <w:gridCol w:w="1042"/>
              <w:gridCol w:w="907"/>
              <w:gridCol w:w="1567"/>
            </w:tblGrid>
            <w:tr w14:paraId="630EE5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tcBorders>
                    <w:tl2br w:val="nil"/>
                    <w:tr2bl w:val="nil"/>
                  </w:tcBorders>
                  <w:vAlign w:val="center"/>
                </w:tcPr>
                <w:p w14:paraId="7D3943EA">
                  <w:pPr>
                    <w:widowControl/>
                    <w:jc w:val="center"/>
                    <w:rPr>
                      <w:b/>
                      <w:bCs/>
                      <w:color w:val="FF0000"/>
                      <w:kern w:val="0"/>
                      <w:szCs w:val="21"/>
                      <w:highlight w:val="none"/>
                      <w:lang w:bidi="ar"/>
                    </w:rPr>
                  </w:pPr>
                  <w:r>
                    <w:rPr>
                      <w:rFonts w:hint="eastAsia"/>
                      <w:b/>
                      <w:bCs/>
                      <w:color w:val="FF0000"/>
                      <w:kern w:val="0"/>
                      <w:szCs w:val="21"/>
                      <w:highlight w:val="none"/>
                      <w:lang w:bidi="ar"/>
                    </w:rPr>
                    <w:t>排放</w:t>
                  </w:r>
                </w:p>
                <w:p w14:paraId="014A2350">
                  <w:pPr>
                    <w:widowControl/>
                    <w:jc w:val="center"/>
                    <w:rPr>
                      <w:b/>
                      <w:bCs/>
                      <w:color w:val="FF0000"/>
                      <w:kern w:val="0"/>
                      <w:szCs w:val="21"/>
                      <w:highlight w:val="none"/>
                      <w:lang w:bidi="ar"/>
                    </w:rPr>
                  </w:pPr>
                  <w:r>
                    <w:rPr>
                      <w:rFonts w:hint="eastAsia"/>
                      <w:b/>
                      <w:bCs/>
                      <w:color w:val="FF0000"/>
                      <w:kern w:val="0"/>
                      <w:szCs w:val="21"/>
                      <w:highlight w:val="none"/>
                      <w:lang w:bidi="ar"/>
                    </w:rPr>
                    <w:t>源</w:t>
                  </w:r>
                </w:p>
              </w:tc>
              <w:tc>
                <w:tcPr>
                  <w:tcW w:w="455" w:type="pct"/>
                  <w:tcBorders>
                    <w:tl2br w:val="nil"/>
                    <w:tr2bl w:val="nil"/>
                  </w:tcBorders>
                  <w:vAlign w:val="center"/>
                </w:tcPr>
                <w:p w14:paraId="50D04D64">
                  <w:pPr>
                    <w:widowControl/>
                    <w:jc w:val="center"/>
                    <w:rPr>
                      <w:b/>
                      <w:bCs/>
                      <w:color w:val="FF0000"/>
                      <w:kern w:val="0"/>
                      <w:szCs w:val="21"/>
                      <w:highlight w:val="none"/>
                      <w:lang w:bidi="ar"/>
                    </w:rPr>
                  </w:pPr>
                  <w:r>
                    <w:rPr>
                      <w:rFonts w:hint="eastAsia"/>
                      <w:b/>
                      <w:bCs/>
                      <w:color w:val="FF0000"/>
                      <w:kern w:val="0"/>
                      <w:szCs w:val="21"/>
                      <w:highlight w:val="none"/>
                      <w:lang w:bidi="ar"/>
                    </w:rPr>
                    <w:t>面源</w:t>
                  </w:r>
                </w:p>
                <w:p w14:paraId="3FAE1A04">
                  <w:pPr>
                    <w:widowControl/>
                    <w:jc w:val="center"/>
                    <w:rPr>
                      <w:b/>
                      <w:bCs/>
                      <w:color w:val="FF0000"/>
                      <w:kern w:val="0"/>
                      <w:szCs w:val="21"/>
                      <w:highlight w:val="none"/>
                      <w:lang w:bidi="ar"/>
                    </w:rPr>
                  </w:pPr>
                  <w:r>
                    <w:rPr>
                      <w:rFonts w:hint="eastAsia"/>
                      <w:b/>
                      <w:bCs/>
                      <w:color w:val="FF0000"/>
                      <w:kern w:val="0"/>
                      <w:szCs w:val="21"/>
                      <w:highlight w:val="none"/>
                      <w:lang w:bidi="ar"/>
                    </w:rPr>
                    <w:t>长度</w:t>
                  </w:r>
                </w:p>
              </w:tc>
              <w:tc>
                <w:tcPr>
                  <w:tcW w:w="535" w:type="pct"/>
                  <w:tcBorders>
                    <w:tl2br w:val="nil"/>
                    <w:tr2bl w:val="nil"/>
                  </w:tcBorders>
                  <w:vAlign w:val="center"/>
                </w:tcPr>
                <w:p w14:paraId="5AE07495">
                  <w:pPr>
                    <w:widowControl/>
                    <w:jc w:val="center"/>
                    <w:rPr>
                      <w:b/>
                      <w:bCs/>
                      <w:color w:val="FF0000"/>
                      <w:kern w:val="0"/>
                      <w:szCs w:val="21"/>
                      <w:highlight w:val="none"/>
                      <w:lang w:bidi="ar"/>
                    </w:rPr>
                  </w:pPr>
                  <w:r>
                    <w:rPr>
                      <w:rFonts w:hint="eastAsia"/>
                      <w:b/>
                      <w:bCs/>
                      <w:color w:val="FF0000"/>
                      <w:kern w:val="0"/>
                      <w:szCs w:val="21"/>
                      <w:highlight w:val="none"/>
                      <w:lang w:bidi="ar"/>
                    </w:rPr>
                    <w:t>面源</w:t>
                  </w:r>
                </w:p>
                <w:p w14:paraId="5EB8AB27">
                  <w:pPr>
                    <w:widowControl/>
                    <w:jc w:val="center"/>
                    <w:rPr>
                      <w:b/>
                      <w:bCs/>
                      <w:color w:val="FF0000"/>
                      <w:kern w:val="0"/>
                      <w:szCs w:val="21"/>
                      <w:highlight w:val="none"/>
                      <w:lang w:bidi="ar"/>
                    </w:rPr>
                  </w:pPr>
                  <w:r>
                    <w:rPr>
                      <w:rFonts w:hint="eastAsia"/>
                      <w:b/>
                      <w:bCs/>
                      <w:color w:val="FF0000"/>
                      <w:kern w:val="0"/>
                      <w:szCs w:val="21"/>
                      <w:highlight w:val="none"/>
                      <w:lang w:bidi="ar"/>
                    </w:rPr>
                    <w:t>宽度</w:t>
                  </w:r>
                </w:p>
              </w:tc>
              <w:tc>
                <w:tcPr>
                  <w:tcW w:w="476" w:type="pct"/>
                  <w:tcBorders>
                    <w:tl2br w:val="nil"/>
                    <w:tr2bl w:val="nil"/>
                  </w:tcBorders>
                  <w:vAlign w:val="center"/>
                </w:tcPr>
                <w:p w14:paraId="24B41E79">
                  <w:pPr>
                    <w:widowControl/>
                    <w:jc w:val="center"/>
                    <w:rPr>
                      <w:b/>
                      <w:bCs/>
                      <w:color w:val="FF0000"/>
                      <w:kern w:val="0"/>
                      <w:szCs w:val="21"/>
                      <w:highlight w:val="none"/>
                      <w:lang w:bidi="ar"/>
                    </w:rPr>
                  </w:pPr>
                  <w:r>
                    <w:rPr>
                      <w:rFonts w:hint="eastAsia"/>
                      <w:b/>
                      <w:bCs/>
                      <w:color w:val="FF0000"/>
                      <w:kern w:val="0"/>
                      <w:szCs w:val="21"/>
                      <w:highlight w:val="none"/>
                      <w:lang w:bidi="ar"/>
                    </w:rPr>
                    <w:t>面源有效</w:t>
                  </w:r>
                </w:p>
                <w:p w14:paraId="61A25478">
                  <w:pPr>
                    <w:widowControl/>
                    <w:jc w:val="center"/>
                    <w:rPr>
                      <w:b/>
                      <w:bCs/>
                      <w:color w:val="FF0000"/>
                      <w:kern w:val="0"/>
                      <w:szCs w:val="21"/>
                      <w:highlight w:val="none"/>
                      <w:lang w:bidi="ar"/>
                    </w:rPr>
                  </w:pPr>
                  <w:r>
                    <w:rPr>
                      <w:rFonts w:hint="eastAsia"/>
                      <w:b/>
                      <w:bCs/>
                      <w:color w:val="FF0000"/>
                      <w:kern w:val="0"/>
                      <w:szCs w:val="21"/>
                      <w:highlight w:val="none"/>
                      <w:lang w:bidi="ar"/>
                    </w:rPr>
                    <w:t>排放高度</w:t>
                  </w:r>
                </w:p>
              </w:tc>
              <w:tc>
                <w:tcPr>
                  <w:tcW w:w="508" w:type="pct"/>
                  <w:tcBorders>
                    <w:tl2br w:val="nil"/>
                    <w:tr2bl w:val="nil"/>
                  </w:tcBorders>
                  <w:vAlign w:val="center"/>
                </w:tcPr>
                <w:p w14:paraId="3008E929">
                  <w:pPr>
                    <w:widowControl/>
                    <w:jc w:val="center"/>
                    <w:rPr>
                      <w:b/>
                      <w:bCs/>
                      <w:color w:val="FF0000"/>
                      <w:kern w:val="0"/>
                      <w:szCs w:val="21"/>
                      <w:highlight w:val="none"/>
                      <w:lang w:bidi="ar"/>
                    </w:rPr>
                  </w:pPr>
                  <w:r>
                    <w:rPr>
                      <w:rFonts w:hint="eastAsia"/>
                      <w:b/>
                      <w:bCs/>
                      <w:color w:val="FF0000"/>
                      <w:kern w:val="0"/>
                      <w:szCs w:val="21"/>
                      <w:highlight w:val="none"/>
                      <w:lang w:bidi="ar"/>
                    </w:rPr>
                    <w:t>年排放</w:t>
                  </w:r>
                </w:p>
                <w:p w14:paraId="6A6522DA">
                  <w:pPr>
                    <w:widowControl/>
                    <w:jc w:val="center"/>
                    <w:rPr>
                      <w:b/>
                      <w:bCs/>
                      <w:color w:val="FF0000"/>
                      <w:kern w:val="0"/>
                      <w:szCs w:val="21"/>
                      <w:highlight w:val="none"/>
                      <w:lang w:bidi="ar"/>
                    </w:rPr>
                  </w:pPr>
                  <w:r>
                    <w:rPr>
                      <w:rFonts w:hint="eastAsia"/>
                      <w:b/>
                      <w:bCs/>
                      <w:color w:val="FF0000"/>
                      <w:kern w:val="0"/>
                      <w:szCs w:val="21"/>
                      <w:highlight w:val="none"/>
                      <w:lang w:bidi="ar"/>
                    </w:rPr>
                    <w:t>小时数</w:t>
                  </w:r>
                </w:p>
              </w:tc>
              <w:tc>
                <w:tcPr>
                  <w:tcW w:w="418" w:type="pct"/>
                  <w:tcBorders>
                    <w:tl2br w:val="nil"/>
                    <w:tr2bl w:val="nil"/>
                  </w:tcBorders>
                  <w:vAlign w:val="center"/>
                </w:tcPr>
                <w:p w14:paraId="5E20E873">
                  <w:pPr>
                    <w:widowControl/>
                    <w:jc w:val="center"/>
                    <w:rPr>
                      <w:b/>
                      <w:bCs/>
                      <w:color w:val="FF0000"/>
                      <w:kern w:val="0"/>
                      <w:szCs w:val="21"/>
                      <w:highlight w:val="none"/>
                      <w:lang w:bidi="ar"/>
                    </w:rPr>
                  </w:pPr>
                  <w:r>
                    <w:rPr>
                      <w:rFonts w:hint="eastAsia"/>
                      <w:b/>
                      <w:bCs/>
                      <w:color w:val="FF0000"/>
                      <w:kern w:val="0"/>
                      <w:szCs w:val="21"/>
                      <w:highlight w:val="none"/>
                      <w:lang w:bidi="ar"/>
                    </w:rPr>
                    <w:t>排放</w:t>
                  </w:r>
                </w:p>
                <w:p w14:paraId="5B12C8E3">
                  <w:pPr>
                    <w:widowControl/>
                    <w:jc w:val="center"/>
                    <w:rPr>
                      <w:b/>
                      <w:bCs/>
                      <w:color w:val="FF0000"/>
                      <w:kern w:val="0"/>
                      <w:szCs w:val="21"/>
                      <w:highlight w:val="none"/>
                      <w:lang w:bidi="ar"/>
                    </w:rPr>
                  </w:pPr>
                  <w:r>
                    <w:rPr>
                      <w:rFonts w:hint="eastAsia"/>
                      <w:b/>
                      <w:bCs/>
                      <w:color w:val="FF0000"/>
                      <w:kern w:val="0"/>
                      <w:szCs w:val="21"/>
                      <w:highlight w:val="none"/>
                      <w:lang w:bidi="ar"/>
                    </w:rPr>
                    <w:t>工况</w:t>
                  </w:r>
                </w:p>
              </w:tc>
              <w:tc>
                <w:tcPr>
                  <w:tcW w:w="624" w:type="pct"/>
                  <w:tcBorders>
                    <w:tl2br w:val="nil"/>
                    <w:tr2bl w:val="nil"/>
                  </w:tcBorders>
                  <w:vAlign w:val="center"/>
                </w:tcPr>
                <w:p w14:paraId="5105F988">
                  <w:pPr>
                    <w:widowControl/>
                    <w:jc w:val="center"/>
                    <w:rPr>
                      <w:b/>
                      <w:bCs/>
                      <w:color w:val="FF0000"/>
                      <w:kern w:val="0"/>
                      <w:szCs w:val="21"/>
                      <w:highlight w:val="none"/>
                      <w:lang w:bidi="ar"/>
                    </w:rPr>
                  </w:pPr>
                  <w:r>
                    <w:rPr>
                      <w:rFonts w:hint="eastAsia"/>
                      <w:b/>
                      <w:bCs/>
                      <w:color w:val="FF0000"/>
                      <w:kern w:val="0"/>
                      <w:szCs w:val="21"/>
                      <w:highlight w:val="none"/>
                      <w:lang w:bidi="ar"/>
                    </w:rPr>
                    <w:t>污染物最大落地浓度</w:t>
                  </w:r>
                </w:p>
              </w:tc>
              <w:tc>
                <w:tcPr>
                  <w:tcW w:w="543" w:type="pct"/>
                  <w:tcBorders>
                    <w:tl2br w:val="nil"/>
                    <w:tr2bl w:val="nil"/>
                  </w:tcBorders>
                  <w:vAlign w:val="center"/>
                </w:tcPr>
                <w:p w14:paraId="44D1C2F8">
                  <w:pPr>
                    <w:widowControl/>
                    <w:jc w:val="center"/>
                    <w:rPr>
                      <w:b/>
                      <w:bCs/>
                      <w:color w:val="FF0000"/>
                      <w:highlight w:val="none"/>
                    </w:rPr>
                  </w:pPr>
                  <w:r>
                    <w:rPr>
                      <w:rFonts w:hint="eastAsia"/>
                      <w:b/>
                      <w:bCs/>
                      <w:color w:val="FF0000"/>
                      <w:kern w:val="0"/>
                      <w:szCs w:val="21"/>
                      <w:highlight w:val="none"/>
                      <w:lang w:bidi="ar"/>
                    </w:rPr>
                    <w:t>最大浓度出现距离</w:t>
                  </w:r>
                </w:p>
              </w:tc>
              <w:tc>
                <w:tcPr>
                  <w:tcW w:w="937" w:type="pct"/>
                  <w:tcBorders>
                    <w:tl2br w:val="nil"/>
                    <w:tr2bl w:val="nil"/>
                  </w:tcBorders>
                  <w:vAlign w:val="center"/>
                </w:tcPr>
                <w:p w14:paraId="3365197C">
                  <w:pPr>
                    <w:widowControl/>
                    <w:jc w:val="center"/>
                    <w:rPr>
                      <w:rFonts w:hint="default" w:eastAsia="宋体"/>
                      <w:b/>
                      <w:bCs/>
                      <w:color w:val="FF0000"/>
                      <w:kern w:val="0"/>
                      <w:szCs w:val="21"/>
                      <w:highlight w:val="none"/>
                      <w:lang w:val="en-US" w:eastAsia="zh-CN" w:bidi="ar"/>
                    </w:rPr>
                  </w:pPr>
                  <w:r>
                    <w:rPr>
                      <w:rFonts w:hint="eastAsia"/>
                      <w:b/>
                      <w:bCs/>
                      <w:color w:val="FF0000"/>
                      <w:kern w:val="0"/>
                      <w:szCs w:val="21"/>
                      <w:highlight w:val="none"/>
                      <w:lang w:val="en-US" w:eastAsia="zh-CN" w:bidi="ar"/>
                    </w:rPr>
                    <w:t>最大落地浓度占标率%</w:t>
                  </w:r>
                </w:p>
              </w:tc>
            </w:tr>
            <w:tr w14:paraId="443F0A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tcBorders>
                    <w:tl2br w:val="nil"/>
                    <w:tr2bl w:val="nil"/>
                  </w:tcBorders>
                  <w:vAlign w:val="center"/>
                </w:tcPr>
                <w:p w14:paraId="3A437860">
                  <w:pPr>
                    <w:widowControl/>
                    <w:jc w:val="center"/>
                    <w:rPr>
                      <w:color w:val="FF0000"/>
                      <w:kern w:val="0"/>
                      <w:szCs w:val="21"/>
                      <w:highlight w:val="none"/>
                      <w:lang w:bidi="ar"/>
                    </w:rPr>
                  </w:pPr>
                  <w:r>
                    <w:rPr>
                      <w:rFonts w:hint="eastAsia"/>
                      <w:color w:val="FF0000"/>
                      <w:kern w:val="0"/>
                      <w:szCs w:val="21"/>
                      <w:highlight w:val="none"/>
                      <w:lang w:bidi="ar"/>
                    </w:rPr>
                    <w:t>原料区</w:t>
                  </w:r>
                </w:p>
              </w:tc>
              <w:tc>
                <w:tcPr>
                  <w:tcW w:w="455" w:type="pct"/>
                  <w:tcBorders>
                    <w:tl2br w:val="nil"/>
                    <w:tr2bl w:val="nil"/>
                  </w:tcBorders>
                  <w:vAlign w:val="center"/>
                </w:tcPr>
                <w:p w14:paraId="38A53756">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10.1</w:t>
                  </w:r>
                </w:p>
              </w:tc>
              <w:tc>
                <w:tcPr>
                  <w:tcW w:w="535" w:type="pct"/>
                  <w:tcBorders>
                    <w:tl2br w:val="nil"/>
                    <w:tr2bl w:val="nil"/>
                  </w:tcBorders>
                  <w:vAlign w:val="center"/>
                </w:tcPr>
                <w:p w14:paraId="78AEA252">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29.7</w:t>
                  </w:r>
                </w:p>
              </w:tc>
              <w:tc>
                <w:tcPr>
                  <w:tcW w:w="476" w:type="pct"/>
                  <w:tcBorders>
                    <w:tl2br w:val="nil"/>
                    <w:tr2bl w:val="nil"/>
                  </w:tcBorders>
                  <w:vAlign w:val="center"/>
                </w:tcPr>
                <w:p w14:paraId="308BFB19">
                  <w:pPr>
                    <w:widowControl/>
                    <w:jc w:val="center"/>
                    <w:rPr>
                      <w:rFonts w:hint="eastAsia" w:eastAsia="宋体"/>
                      <w:color w:val="FF0000"/>
                      <w:kern w:val="0"/>
                      <w:szCs w:val="21"/>
                      <w:highlight w:val="none"/>
                      <w:lang w:eastAsia="zh-CN" w:bidi="ar"/>
                    </w:rPr>
                  </w:pPr>
                  <w:r>
                    <w:rPr>
                      <w:rFonts w:hint="eastAsia"/>
                      <w:color w:val="FF0000"/>
                      <w:kern w:val="0"/>
                      <w:szCs w:val="21"/>
                      <w:highlight w:val="none"/>
                      <w:lang w:val="en-US" w:eastAsia="zh-CN" w:bidi="ar"/>
                    </w:rPr>
                    <w:t>5</w:t>
                  </w:r>
                </w:p>
              </w:tc>
              <w:tc>
                <w:tcPr>
                  <w:tcW w:w="508" w:type="pct"/>
                  <w:tcBorders>
                    <w:tl2br w:val="nil"/>
                    <w:tr2bl w:val="nil"/>
                  </w:tcBorders>
                  <w:vAlign w:val="center"/>
                </w:tcPr>
                <w:p w14:paraId="3095A365">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1920h</w:t>
                  </w:r>
                </w:p>
              </w:tc>
              <w:tc>
                <w:tcPr>
                  <w:tcW w:w="418" w:type="pct"/>
                  <w:tcBorders>
                    <w:tl2br w:val="nil"/>
                    <w:tr2bl w:val="nil"/>
                  </w:tcBorders>
                  <w:vAlign w:val="center"/>
                </w:tcPr>
                <w:p w14:paraId="70672A36">
                  <w:pPr>
                    <w:widowControl/>
                    <w:jc w:val="center"/>
                    <w:rPr>
                      <w:color w:val="FF0000"/>
                      <w:kern w:val="0"/>
                      <w:szCs w:val="21"/>
                      <w:highlight w:val="none"/>
                      <w:lang w:bidi="ar"/>
                    </w:rPr>
                  </w:pPr>
                  <w:r>
                    <w:rPr>
                      <w:rFonts w:hint="eastAsia"/>
                      <w:color w:val="FF0000"/>
                      <w:kern w:val="0"/>
                      <w:szCs w:val="21"/>
                      <w:highlight w:val="none"/>
                      <w:lang w:bidi="ar"/>
                    </w:rPr>
                    <w:t>正常</w:t>
                  </w:r>
                </w:p>
                <w:p w14:paraId="3498260B">
                  <w:pPr>
                    <w:widowControl/>
                    <w:jc w:val="center"/>
                    <w:rPr>
                      <w:color w:val="FF0000"/>
                      <w:kern w:val="0"/>
                      <w:szCs w:val="21"/>
                      <w:highlight w:val="none"/>
                      <w:lang w:bidi="ar"/>
                    </w:rPr>
                  </w:pPr>
                  <w:r>
                    <w:rPr>
                      <w:rFonts w:hint="eastAsia"/>
                      <w:color w:val="FF0000"/>
                      <w:kern w:val="0"/>
                      <w:szCs w:val="21"/>
                      <w:highlight w:val="none"/>
                      <w:lang w:bidi="ar"/>
                    </w:rPr>
                    <w:t>工况</w:t>
                  </w:r>
                </w:p>
              </w:tc>
              <w:tc>
                <w:tcPr>
                  <w:tcW w:w="624" w:type="pct"/>
                  <w:tcBorders>
                    <w:tl2br w:val="nil"/>
                    <w:tr2bl w:val="nil"/>
                  </w:tcBorders>
                  <w:vAlign w:val="center"/>
                </w:tcPr>
                <w:p w14:paraId="5A010330">
                  <w:pPr>
                    <w:widowControl/>
                    <w:jc w:val="center"/>
                    <w:rPr>
                      <w:color w:val="FF0000"/>
                      <w:kern w:val="0"/>
                      <w:szCs w:val="21"/>
                      <w:highlight w:val="none"/>
                      <w:lang w:bidi="ar"/>
                    </w:rPr>
                  </w:pPr>
                  <w:r>
                    <w:rPr>
                      <w:rFonts w:hint="eastAsia"/>
                      <w:color w:val="FF0000"/>
                      <w:kern w:val="0"/>
                      <w:szCs w:val="21"/>
                      <w:highlight w:val="none"/>
                      <w:lang w:bidi="ar"/>
                    </w:rPr>
                    <w:t>0.</w:t>
                  </w:r>
                  <w:r>
                    <w:rPr>
                      <w:rFonts w:hint="eastAsia"/>
                      <w:color w:val="FF0000"/>
                      <w:kern w:val="0"/>
                      <w:szCs w:val="21"/>
                      <w:highlight w:val="none"/>
                      <w:lang w:val="en-US" w:eastAsia="zh-CN" w:bidi="ar"/>
                    </w:rPr>
                    <w:t>015</w:t>
                  </w:r>
                  <w:r>
                    <w:rPr>
                      <w:rFonts w:hint="eastAsia"/>
                      <w:color w:val="FF0000"/>
                      <w:kern w:val="0"/>
                      <w:szCs w:val="21"/>
                      <w:highlight w:val="none"/>
                      <w:lang w:bidi="ar"/>
                    </w:rPr>
                    <w:t>mg/m</w:t>
                  </w:r>
                  <w:r>
                    <w:rPr>
                      <w:rFonts w:hint="eastAsia"/>
                      <w:color w:val="FF0000"/>
                      <w:kern w:val="0"/>
                      <w:szCs w:val="21"/>
                      <w:highlight w:val="none"/>
                      <w:vertAlign w:val="superscript"/>
                      <w:lang w:bidi="ar"/>
                    </w:rPr>
                    <w:t>3</w:t>
                  </w:r>
                </w:p>
              </w:tc>
              <w:tc>
                <w:tcPr>
                  <w:tcW w:w="543" w:type="pct"/>
                  <w:tcBorders>
                    <w:tl2br w:val="nil"/>
                    <w:tr2bl w:val="nil"/>
                  </w:tcBorders>
                  <w:vAlign w:val="center"/>
                </w:tcPr>
                <w:p w14:paraId="7002896F">
                  <w:pPr>
                    <w:widowControl/>
                    <w:jc w:val="center"/>
                    <w:rPr>
                      <w:color w:val="FF0000"/>
                      <w:kern w:val="0"/>
                      <w:szCs w:val="21"/>
                      <w:highlight w:val="none"/>
                      <w:lang w:bidi="ar"/>
                    </w:rPr>
                  </w:pPr>
                  <w:r>
                    <w:rPr>
                      <w:rFonts w:hint="eastAsia"/>
                      <w:color w:val="FF0000"/>
                      <w:kern w:val="0"/>
                      <w:szCs w:val="21"/>
                      <w:highlight w:val="none"/>
                      <w:lang w:val="en-US" w:eastAsia="zh-CN" w:bidi="ar"/>
                    </w:rPr>
                    <w:t>16</w:t>
                  </w:r>
                  <w:r>
                    <w:rPr>
                      <w:rFonts w:hint="eastAsia"/>
                      <w:color w:val="FF0000"/>
                      <w:kern w:val="0"/>
                      <w:szCs w:val="21"/>
                      <w:highlight w:val="none"/>
                      <w:lang w:bidi="ar"/>
                    </w:rPr>
                    <w:t>m</w:t>
                  </w:r>
                </w:p>
              </w:tc>
              <w:tc>
                <w:tcPr>
                  <w:tcW w:w="937" w:type="pct"/>
                  <w:tcBorders>
                    <w:tl2br w:val="nil"/>
                    <w:tr2bl w:val="nil"/>
                  </w:tcBorders>
                  <w:vAlign w:val="center"/>
                </w:tcPr>
                <w:p w14:paraId="1950BECF">
                  <w:pPr>
                    <w:widowControl/>
                    <w:jc w:val="center"/>
                    <w:rPr>
                      <w:rFonts w:hint="default"/>
                      <w:color w:val="FF0000"/>
                      <w:kern w:val="0"/>
                      <w:szCs w:val="21"/>
                      <w:highlight w:val="none"/>
                      <w:lang w:val="en-US" w:eastAsia="zh-CN" w:bidi="ar"/>
                    </w:rPr>
                  </w:pPr>
                  <w:r>
                    <w:rPr>
                      <w:rFonts w:hint="eastAsia"/>
                      <w:color w:val="FF0000"/>
                      <w:kern w:val="0"/>
                      <w:szCs w:val="21"/>
                      <w:highlight w:val="none"/>
                      <w:lang w:val="en-US" w:eastAsia="zh-CN" w:bidi="ar"/>
                    </w:rPr>
                    <w:t>1.5</w:t>
                  </w:r>
                </w:p>
              </w:tc>
            </w:tr>
            <w:tr w14:paraId="2E1A7A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tcBorders>
                    <w:tl2br w:val="nil"/>
                    <w:tr2bl w:val="nil"/>
                  </w:tcBorders>
                  <w:vAlign w:val="center"/>
                </w:tcPr>
                <w:p w14:paraId="4700DC30">
                  <w:pPr>
                    <w:widowControl/>
                    <w:jc w:val="center"/>
                    <w:rPr>
                      <w:color w:val="FF0000"/>
                      <w:kern w:val="0"/>
                      <w:szCs w:val="21"/>
                      <w:highlight w:val="none"/>
                      <w:lang w:bidi="ar"/>
                    </w:rPr>
                  </w:pPr>
                  <w:r>
                    <w:rPr>
                      <w:rFonts w:hint="eastAsia"/>
                      <w:color w:val="FF0000"/>
                      <w:kern w:val="0"/>
                      <w:szCs w:val="21"/>
                      <w:highlight w:val="none"/>
                      <w:lang w:bidi="ar"/>
                    </w:rPr>
                    <w:t>成品库</w:t>
                  </w:r>
                </w:p>
              </w:tc>
              <w:tc>
                <w:tcPr>
                  <w:tcW w:w="455" w:type="pct"/>
                  <w:tcBorders>
                    <w:tl2br w:val="nil"/>
                    <w:tr2bl w:val="nil"/>
                  </w:tcBorders>
                  <w:vAlign w:val="center"/>
                </w:tcPr>
                <w:p w14:paraId="2DC260E5">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27.3</w:t>
                  </w:r>
                </w:p>
              </w:tc>
              <w:tc>
                <w:tcPr>
                  <w:tcW w:w="535" w:type="pct"/>
                  <w:tcBorders>
                    <w:tl2br w:val="nil"/>
                    <w:tr2bl w:val="nil"/>
                  </w:tcBorders>
                  <w:vAlign w:val="center"/>
                </w:tcPr>
                <w:p w14:paraId="73DE4265">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34.7</w:t>
                  </w:r>
                </w:p>
              </w:tc>
              <w:tc>
                <w:tcPr>
                  <w:tcW w:w="476" w:type="pct"/>
                  <w:tcBorders>
                    <w:tl2br w:val="nil"/>
                    <w:tr2bl w:val="nil"/>
                  </w:tcBorders>
                  <w:vAlign w:val="center"/>
                </w:tcPr>
                <w:p w14:paraId="434BB092">
                  <w:pPr>
                    <w:widowControl/>
                    <w:jc w:val="center"/>
                    <w:rPr>
                      <w:rFonts w:hint="eastAsia" w:eastAsia="宋体"/>
                      <w:color w:val="FF0000"/>
                      <w:kern w:val="0"/>
                      <w:szCs w:val="21"/>
                      <w:highlight w:val="none"/>
                      <w:lang w:eastAsia="zh-CN" w:bidi="ar"/>
                    </w:rPr>
                  </w:pPr>
                  <w:r>
                    <w:rPr>
                      <w:rFonts w:hint="eastAsia"/>
                      <w:color w:val="FF0000"/>
                      <w:kern w:val="0"/>
                      <w:szCs w:val="21"/>
                      <w:highlight w:val="none"/>
                      <w:lang w:val="en-US" w:eastAsia="zh-CN" w:bidi="ar"/>
                    </w:rPr>
                    <w:t>5</w:t>
                  </w:r>
                </w:p>
              </w:tc>
              <w:tc>
                <w:tcPr>
                  <w:tcW w:w="508" w:type="pct"/>
                  <w:tcBorders>
                    <w:tl2br w:val="nil"/>
                    <w:tr2bl w:val="nil"/>
                  </w:tcBorders>
                  <w:vAlign w:val="center"/>
                </w:tcPr>
                <w:p w14:paraId="144D7EE4">
                  <w:pPr>
                    <w:widowControl/>
                    <w:jc w:val="center"/>
                    <w:rPr>
                      <w:color w:val="FF0000"/>
                      <w:kern w:val="0"/>
                      <w:szCs w:val="21"/>
                      <w:highlight w:val="none"/>
                      <w:lang w:bidi="ar"/>
                    </w:rPr>
                  </w:pPr>
                  <w:r>
                    <w:rPr>
                      <w:rFonts w:hint="eastAsia"/>
                      <w:color w:val="FF0000"/>
                      <w:kern w:val="0"/>
                      <w:szCs w:val="21"/>
                      <w:highlight w:val="none"/>
                      <w:lang w:val="en-US" w:eastAsia="zh-CN" w:bidi="ar"/>
                    </w:rPr>
                    <w:t>1920h</w:t>
                  </w:r>
                </w:p>
              </w:tc>
              <w:tc>
                <w:tcPr>
                  <w:tcW w:w="418" w:type="pct"/>
                  <w:tcBorders>
                    <w:tl2br w:val="nil"/>
                    <w:tr2bl w:val="nil"/>
                  </w:tcBorders>
                  <w:vAlign w:val="center"/>
                </w:tcPr>
                <w:p w14:paraId="5E060059">
                  <w:pPr>
                    <w:widowControl/>
                    <w:jc w:val="center"/>
                    <w:rPr>
                      <w:color w:val="FF0000"/>
                      <w:kern w:val="0"/>
                      <w:szCs w:val="21"/>
                      <w:highlight w:val="none"/>
                      <w:lang w:bidi="ar"/>
                    </w:rPr>
                  </w:pPr>
                  <w:r>
                    <w:rPr>
                      <w:rFonts w:hint="eastAsia"/>
                      <w:color w:val="FF0000"/>
                      <w:kern w:val="0"/>
                      <w:szCs w:val="21"/>
                      <w:highlight w:val="none"/>
                      <w:lang w:bidi="ar"/>
                    </w:rPr>
                    <w:t>正常</w:t>
                  </w:r>
                </w:p>
                <w:p w14:paraId="2E393EE9">
                  <w:pPr>
                    <w:widowControl/>
                    <w:jc w:val="center"/>
                    <w:rPr>
                      <w:color w:val="FF0000"/>
                      <w:kern w:val="0"/>
                      <w:szCs w:val="21"/>
                      <w:highlight w:val="none"/>
                      <w:lang w:bidi="ar"/>
                    </w:rPr>
                  </w:pPr>
                  <w:r>
                    <w:rPr>
                      <w:rFonts w:hint="eastAsia"/>
                      <w:color w:val="FF0000"/>
                      <w:kern w:val="0"/>
                      <w:szCs w:val="21"/>
                      <w:highlight w:val="none"/>
                      <w:lang w:bidi="ar"/>
                    </w:rPr>
                    <w:t>工况</w:t>
                  </w:r>
                </w:p>
              </w:tc>
              <w:tc>
                <w:tcPr>
                  <w:tcW w:w="624" w:type="pct"/>
                  <w:tcBorders>
                    <w:tl2br w:val="nil"/>
                    <w:tr2bl w:val="nil"/>
                  </w:tcBorders>
                  <w:vAlign w:val="center"/>
                </w:tcPr>
                <w:p w14:paraId="37AF4D4A">
                  <w:pPr>
                    <w:widowControl/>
                    <w:jc w:val="center"/>
                    <w:rPr>
                      <w:color w:val="FF0000"/>
                      <w:kern w:val="0"/>
                      <w:szCs w:val="21"/>
                      <w:highlight w:val="none"/>
                      <w:lang w:bidi="ar"/>
                    </w:rPr>
                  </w:pPr>
                  <w:r>
                    <w:rPr>
                      <w:rFonts w:hint="eastAsia"/>
                      <w:color w:val="FF0000"/>
                      <w:kern w:val="0"/>
                      <w:szCs w:val="21"/>
                      <w:highlight w:val="none"/>
                      <w:lang w:bidi="ar"/>
                    </w:rPr>
                    <w:t>0.</w:t>
                  </w:r>
                  <w:r>
                    <w:rPr>
                      <w:rFonts w:hint="eastAsia"/>
                      <w:color w:val="FF0000"/>
                      <w:kern w:val="0"/>
                      <w:szCs w:val="21"/>
                      <w:highlight w:val="none"/>
                      <w:lang w:val="en-US" w:eastAsia="zh-CN" w:bidi="ar"/>
                    </w:rPr>
                    <w:t>004</w:t>
                  </w:r>
                  <w:r>
                    <w:rPr>
                      <w:rFonts w:hint="eastAsia"/>
                      <w:color w:val="FF0000"/>
                      <w:kern w:val="0"/>
                      <w:szCs w:val="21"/>
                      <w:highlight w:val="none"/>
                      <w:lang w:bidi="ar"/>
                    </w:rPr>
                    <w:t>mg/m</w:t>
                  </w:r>
                  <w:r>
                    <w:rPr>
                      <w:rFonts w:hint="eastAsia"/>
                      <w:color w:val="FF0000"/>
                      <w:kern w:val="0"/>
                      <w:szCs w:val="21"/>
                      <w:highlight w:val="none"/>
                      <w:vertAlign w:val="superscript"/>
                      <w:lang w:bidi="ar"/>
                    </w:rPr>
                    <w:t>3</w:t>
                  </w:r>
                </w:p>
              </w:tc>
              <w:tc>
                <w:tcPr>
                  <w:tcW w:w="543" w:type="pct"/>
                  <w:tcBorders>
                    <w:tl2br w:val="nil"/>
                    <w:tr2bl w:val="nil"/>
                  </w:tcBorders>
                  <w:vAlign w:val="center"/>
                </w:tcPr>
                <w:p w14:paraId="1ED90DCA">
                  <w:pPr>
                    <w:widowControl/>
                    <w:jc w:val="center"/>
                    <w:rPr>
                      <w:color w:val="FF0000"/>
                      <w:kern w:val="0"/>
                      <w:szCs w:val="21"/>
                      <w:highlight w:val="none"/>
                      <w:lang w:bidi="ar"/>
                    </w:rPr>
                  </w:pPr>
                  <w:r>
                    <w:rPr>
                      <w:rFonts w:hint="eastAsia"/>
                      <w:color w:val="FF0000"/>
                      <w:kern w:val="0"/>
                      <w:szCs w:val="21"/>
                      <w:highlight w:val="none"/>
                      <w:lang w:val="en-US" w:eastAsia="zh-CN" w:bidi="ar"/>
                    </w:rPr>
                    <w:t>22</w:t>
                  </w:r>
                  <w:r>
                    <w:rPr>
                      <w:rFonts w:hint="eastAsia"/>
                      <w:color w:val="FF0000"/>
                      <w:kern w:val="0"/>
                      <w:szCs w:val="21"/>
                      <w:highlight w:val="none"/>
                      <w:lang w:bidi="ar"/>
                    </w:rPr>
                    <w:t>m</w:t>
                  </w:r>
                </w:p>
              </w:tc>
              <w:tc>
                <w:tcPr>
                  <w:tcW w:w="937" w:type="pct"/>
                  <w:tcBorders>
                    <w:tl2br w:val="nil"/>
                    <w:tr2bl w:val="nil"/>
                  </w:tcBorders>
                  <w:vAlign w:val="center"/>
                </w:tcPr>
                <w:p w14:paraId="58E6CA10">
                  <w:pPr>
                    <w:widowControl/>
                    <w:jc w:val="center"/>
                    <w:rPr>
                      <w:rFonts w:hint="default"/>
                      <w:color w:val="FF0000"/>
                      <w:kern w:val="0"/>
                      <w:szCs w:val="21"/>
                      <w:highlight w:val="none"/>
                      <w:lang w:val="en-US" w:eastAsia="zh-CN" w:bidi="ar"/>
                    </w:rPr>
                  </w:pPr>
                  <w:r>
                    <w:rPr>
                      <w:rFonts w:hint="eastAsia"/>
                      <w:color w:val="FF0000"/>
                      <w:kern w:val="0"/>
                      <w:szCs w:val="21"/>
                      <w:highlight w:val="none"/>
                      <w:lang w:val="en-US" w:eastAsia="zh-CN" w:bidi="ar"/>
                    </w:rPr>
                    <w:t>4.0</w:t>
                  </w:r>
                </w:p>
              </w:tc>
            </w:tr>
            <w:tr w14:paraId="66D38F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01" w:type="pct"/>
                  <w:tcBorders>
                    <w:tl2br w:val="nil"/>
                    <w:tr2bl w:val="nil"/>
                  </w:tcBorders>
                  <w:vAlign w:val="center"/>
                </w:tcPr>
                <w:p w14:paraId="013B815B">
                  <w:pPr>
                    <w:widowControl/>
                    <w:jc w:val="center"/>
                    <w:rPr>
                      <w:color w:val="FF0000"/>
                      <w:kern w:val="0"/>
                      <w:szCs w:val="21"/>
                      <w:highlight w:val="none"/>
                      <w:lang w:bidi="ar"/>
                    </w:rPr>
                  </w:pPr>
                  <w:r>
                    <w:rPr>
                      <w:rFonts w:hint="eastAsia"/>
                      <w:color w:val="FF0000"/>
                      <w:kern w:val="0"/>
                      <w:szCs w:val="21"/>
                      <w:highlight w:val="none"/>
                      <w:lang w:bidi="ar"/>
                    </w:rPr>
                    <w:t>碎石车间</w:t>
                  </w:r>
                </w:p>
              </w:tc>
              <w:tc>
                <w:tcPr>
                  <w:tcW w:w="455" w:type="pct"/>
                  <w:tcBorders>
                    <w:tl2br w:val="nil"/>
                    <w:tr2bl w:val="nil"/>
                  </w:tcBorders>
                  <w:vAlign w:val="center"/>
                </w:tcPr>
                <w:p w14:paraId="36B5CBBE">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10.4</w:t>
                  </w:r>
                </w:p>
              </w:tc>
              <w:tc>
                <w:tcPr>
                  <w:tcW w:w="535" w:type="pct"/>
                  <w:tcBorders>
                    <w:tl2br w:val="nil"/>
                    <w:tr2bl w:val="nil"/>
                  </w:tcBorders>
                  <w:vAlign w:val="center"/>
                </w:tcPr>
                <w:p w14:paraId="7626E3E9">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28.8</w:t>
                  </w:r>
                </w:p>
              </w:tc>
              <w:tc>
                <w:tcPr>
                  <w:tcW w:w="476" w:type="pct"/>
                  <w:tcBorders>
                    <w:tl2br w:val="nil"/>
                    <w:tr2bl w:val="nil"/>
                  </w:tcBorders>
                  <w:vAlign w:val="center"/>
                </w:tcPr>
                <w:p w14:paraId="1477C4CB">
                  <w:pPr>
                    <w:widowControl/>
                    <w:jc w:val="center"/>
                    <w:rPr>
                      <w:color w:val="FF0000"/>
                      <w:kern w:val="0"/>
                      <w:szCs w:val="21"/>
                      <w:highlight w:val="none"/>
                      <w:lang w:bidi="ar"/>
                    </w:rPr>
                  </w:pPr>
                  <w:r>
                    <w:rPr>
                      <w:rFonts w:hint="eastAsia"/>
                      <w:color w:val="FF0000"/>
                      <w:kern w:val="0"/>
                      <w:szCs w:val="21"/>
                      <w:highlight w:val="none"/>
                      <w:lang w:bidi="ar"/>
                    </w:rPr>
                    <w:t>5</w:t>
                  </w:r>
                </w:p>
              </w:tc>
              <w:tc>
                <w:tcPr>
                  <w:tcW w:w="508" w:type="pct"/>
                  <w:tcBorders>
                    <w:tl2br w:val="nil"/>
                    <w:tr2bl w:val="nil"/>
                  </w:tcBorders>
                  <w:vAlign w:val="center"/>
                </w:tcPr>
                <w:p w14:paraId="59EF6A24">
                  <w:pPr>
                    <w:widowControl/>
                    <w:jc w:val="center"/>
                    <w:rPr>
                      <w:rFonts w:hint="default"/>
                      <w:color w:val="FF0000"/>
                      <w:kern w:val="0"/>
                      <w:szCs w:val="21"/>
                      <w:highlight w:val="none"/>
                      <w:lang w:val="en-US" w:bidi="ar"/>
                    </w:rPr>
                  </w:pPr>
                  <w:r>
                    <w:rPr>
                      <w:rFonts w:hint="eastAsia"/>
                      <w:color w:val="FF0000"/>
                      <w:kern w:val="0"/>
                      <w:szCs w:val="21"/>
                      <w:highlight w:val="none"/>
                      <w:lang w:val="en-US" w:eastAsia="zh-CN" w:bidi="ar"/>
                    </w:rPr>
                    <w:t>1920h</w:t>
                  </w:r>
                </w:p>
              </w:tc>
              <w:tc>
                <w:tcPr>
                  <w:tcW w:w="418" w:type="pct"/>
                  <w:tcBorders>
                    <w:tl2br w:val="nil"/>
                    <w:tr2bl w:val="nil"/>
                  </w:tcBorders>
                  <w:vAlign w:val="center"/>
                </w:tcPr>
                <w:p w14:paraId="4992E263">
                  <w:pPr>
                    <w:widowControl/>
                    <w:jc w:val="center"/>
                    <w:rPr>
                      <w:color w:val="FF0000"/>
                      <w:kern w:val="0"/>
                      <w:szCs w:val="21"/>
                      <w:highlight w:val="none"/>
                      <w:lang w:bidi="ar"/>
                    </w:rPr>
                  </w:pPr>
                  <w:r>
                    <w:rPr>
                      <w:rFonts w:hint="eastAsia"/>
                      <w:color w:val="FF0000"/>
                      <w:kern w:val="0"/>
                      <w:szCs w:val="21"/>
                      <w:highlight w:val="none"/>
                      <w:lang w:bidi="ar"/>
                    </w:rPr>
                    <w:t>正常</w:t>
                  </w:r>
                </w:p>
                <w:p w14:paraId="1F22C84A">
                  <w:pPr>
                    <w:widowControl/>
                    <w:jc w:val="center"/>
                    <w:rPr>
                      <w:color w:val="FF0000"/>
                      <w:kern w:val="0"/>
                      <w:szCs w:val="21"/>
                      <w:highlight w:val="none"/>
                      <w:lang w:bidi="ar"/>
                    </w:rPr>
                  </w:pPr>
                  <w:r>
                    <w:rPr>
                      <w:rFonts w:hint="eastAsia"/>
                      <w:color w:val="FF0000"/>
                      <w:kern w:val="0"/>
                      <w:szCs w:val="21"/>
                      <w:highlight w:val="none"/>
                      <w:lang w:bidi="ar"/>
                    </w:rPr>
                    <w:t>工况</w:t>
                  </w:r>
                </w:p>
              </w:tc>
              <w:tc>
                <w:tcPr>
                  <w:tcW w:w="624" w:type="pct"/>
                  <w:tcBorders>
                    <w:tl2br w:val="nil"/>
                    <w:tr2bl w:val="nil"/>
                  </w:tcBorders>
                  <w:vAlign w:val="center"/>
                </w:tcPr>
                <w:p w14:paraId="6F2D31BC">
                  <w:pPr>
                    <w:widowControl/>
                    <w:jc w:val="center"/>
                    <w:rPr>
                      <w:color w:val="FF0000"/>
                      <w:kern w:val="0"/>
                      <w:szCs w:val="21"/>
                      <w:highlight w:val="none"/>
                      <w:lang w:bidi="ar"/>
                    </w:rPr>
                  </w:pPr>
                  <w:r>
                    <w:rPr>
                      <w:rFonts w:hint="eastAsia"/>
                      <w:color w:val="FF0000"/>
                      <w:kern w:val="0"/>
                      <w:szCs w:val="21"/>
                      <w:highlight w:val="none"/>
                      <w:lang w:bidi="ar"/>
                    </w:rPr>
                    <w:t>0.4</w:t>
                  </w:r>
                  <w:r>
                    <w:rPr>
                      <w:rFonts w:hint="eastAsia"/>
                      <w:color w:val="FF0000"/>
                      <w:kern w:val="0"/>
                      <w:szCs w:val="21"/>
                      <w:highlight w:val="none"/>
                      <w:lang w:val="en-US" w:eastAsia="zh-CN" w:bidi="ar"/>
                    </w:rPr>
                    <w:t>28</w:t>
                  </w:r>
                  <w:r>
                    <w:rPr>
                      <w:rFonts w:hint="eastAsia"/>
                      <w:color w:val="FF0000"/>
                      <w:kern w:val="0"/>
                      <w:szCs w:val="21"/>
                      <w:highlight w:val="none"/>
                      <w:lang w:bidi="ar"/>
                    </w:rPr>
                    <w:t>mg/m</w:t>
                  </w:r>
                  <w:r>
                    <w:rPr>
                      <w:rFonts w:hint="eastAsia"/>
                      <w:color w:val="FF0000"/>
                      <w:kern w:val="0"/>
                      <w:szCs w:val="21"/>
                      <w:highlight w:val="none"/>
                      <w:vertAlign w:val="superscript"/>
                      <w:lang w:bidi="ar"/>
                    </w:rPr>
                    <w:t>3</w:t>
                  </w:r>
                </w:p>
              </w:tc>
              <w:tc>
                <w:tcPr>
                  <w:tcW w:w="543" w:type="pct"/>
                  <w:tcBorders>
                    <w:tl2br w:val="nil"/>
                    <w:tr2bl w:val="nil"/>
                  </w:tcBorders>
                  <w:vAlign w:val="center"/>
                </w:tcPr>
                <w:p w14:paraId="6F276D1E">
                  <w:pPr>
                    <w:widowControl/>
                    <w:jc w:val="center"/>
                    <w:rPr>
                      <w:color w:val="FF0000"/>
                      <w:kern w:val="0"/>
                      <w:szCs w:val="21"/>
                      <w:highlight w:val="none"/>
                      <w:lang w:bidi="ar"/>
                    </w:rPr>
                  </w:pPr>
                  <w:r>
                    <w:rPr>
                      <w:rFonts w:hint="eastAsia"/>
                      <w:color w:val="FF0000"/>
                      <w:kern w:val="0"/>
                      <w:szCs w:val="21"/>
                      <w:highlight w:val="none"/>
                      <w:lang w:val="en-US" w:eastAsia="zh-CN" w:bidi="ar"/>
                    </w:rPr>
                    <w:t>71</w:t>
                  </w:r>
                  <w:r>
                    <w:rPr>
                      <w:rFonts w:hint="eastAsia"/>
                      <w:color w:val="FF0000"/>
                      <w:kern w:val="0"/>
                      <w:szCs w:val="21"/>
                      <w:highlight w:val="none"/>
                      <w:lang w:bidi="ar"/>
                    </w:rPr>
                    <w:t>m</w:t>
                  </w:r>
                </w:p>
              </w:tc>
              <w:tc>
                <w:tcPr>
                  <w:tcW w:w="937" w:type="pct"/>
                  <w:tcBorders>
                    <w:tl2br w:val="nil"/>
                    <w:tr2bl w:val="nil"/>
                  </w:tcBorders>
                  <w:vAlign w:val="center"/>
                </w:tcPr>
                <w:p w14:paraId="3BD662DF">
                  <w:pPr>
                    <w:widowControl/>
                    <w:jc w:val="center"/>
                    <w:rPr>
                      <w:rFonts w:hint="default"/>
                      <w:color w:val="FF0000"/>
                      <w:kern w:val="0"/>
                      <w:szCs w:val="21"/>
                      <w:highlight w:val="none"/>
                      <w:lang w:val="en-US" w:eastAsia="zh-CN" w:bidi="ar"/>
                    </w:rPr>
                  </w:pPr>
                  <w:r>
                    <w:rPr>
                      <w:rFonts w:hint="eastAsia"/>
                      <w:color w:val="FF0000"/>
                      <w:kern w:val="0"/>
                      <w:szCs w:val="21"/>
                      <w:highlight w:val="none"/>
                      <w:lang w:val="en-US" w:eastAsia="zh-CN" w:bidi="ar"/>
                    </w:rPr>
                    <w:t>42.8</w:t>
                  </w:r>
                </w:p>
              </w:tc>
            </w:tr>
          </w:tbl>
          <w:p w14:paraId="7E795457">
            <w:pPr>
              <w:keepNext w:val="0"/>
              <w:keepLines w:val="0"/>
              <w:pageBreakBefore w:val="0"/>
              <w:widowControl/>
              <w:kinsoku/>
              <w:wordWrap/>
              <w:overflowPunct/>
              <w:topLinePunct w:val="0"/>
              <w:autoSpaceDE/>
              <w:autoSpaceDN/>
              <w:bidi w:val="0"/>
              <w:adjustRightInd/>
              <w:snapToGrid/>
              <w:spacing w:before="157" w:beforeLines="50" w:line="360" w:lineRule="auto"/>
              <w:ind w:firstLine="480" w:firstLineChars="200"/>
              <w:textAlignment w:val="auto"/>
              <w:rPr>
                <w:color w:val="000000" w:themeColor="text1"/>
                <w:kern w:val="0"/>
                <w:sz w:val="24"/>
                <w:highlight w:val="none"/>
                <w:lang w:bidi="ar"/>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由</w:t>
            </w:r>
            <w:r>
              <w:rPr>
                <w:color w:val="000000" w:themeColor="text1"/>
                <w:kern w:val="0"/>
                <w:sz w:val="24"/>
                <w:highlight w:val="none"/>
                <w:lang w:bidi="ar"/>
                <w14:textFill>
                  <w14:solidFill>
                    <w14:schemeClr w14:val="tx1"/>
                  </w14:solidFill>
                </w14:textFill>
              </w:rPr>
              <w:t>AERSCREEN</w:t>
            </w:r>
            <w:r>
              <w:rPr>
                <w:rFonts w:hint="eastAsia"/>
                <w:color w:val="000000" w:themeColor="text1"/>
                <w:kern w:val="0"/>
                <w:sz w:val="24"/>
                <w:highlight w:val="none"/>
                <w:lang w:bidi="ar"/>
                <w14:textFill>
                  <w14:solidFill>
                    <w14:schemeClr w14:val="tx1"/>
                  </w14:solidFill>
                </w14:textFill>
              </w:rPr>
              <w:t>模型估算结果可知，</w:t>
            </w:r>
            <w:r>
              <w:rPr>
                <w:color w:val="000000" w:themeColor="text1"/>
                <w:kern w:val="0"/>
                <w:sz w:val="24"/>
                <w:highlight w:val="none"/>
                <w:lang w:bidi="ar"/>
                <w14:textFill>
                  <w14:solidFill>
                    <w14:schemeClr w14:val="tx1"/>
                  </w14:solidFill>
                </w14:textFill>
              </w:rPr>
              <w:t>无组织颗粒物排放浓度满足《大气污染物综合排放标准》（GB16297-1996）表2新污染源大气污染物排放限值</w:t>
            </w:r>
            <w:r>
              <w:rPr>
                <w:rFonts w:hint="eastAsia"/>
                <w:color w:val="000000" w:themeColor="text1"/>
                <w:kern w:val="0"/>
                <w:sz w:val="24"/>
                <w:highlight w:val="none"/>
                <w:lang w:bidi="ar"/>
                <w14:textFill>
                  <w14:solidFill>
                    <w14:schemeClr w14:val="tx1"/>
                  </w14:solidFill>
                </w14:textFill>
              </w:rPr>
              <w:t>（1.0</w:t>
            </w:r>
            <w:r>
              <w:rPr>
                <w:rFonts w:hint="eastAsia"/>
                <w:color w:val="000000" w:themeColor="text1"/>
                <w:kern w:val="0"/>
                <w:sz w:val="22"/>
                <w:szCs w:val="22"/>
                <w:highlight w:val="none"/>
                <w:lang w:bidi="ar"/>
                <w14:textFill>
                  <w14:solidFill>
                    <w14:schemeClr w14:val="tx1"/>
                  </w14:solidFill>
                </w14:textFill>
              </w:rPr>
              <w:t>mg/m</w:t>
            </w:r>
            <w:r>
              <w:rPr>
                <w:rFonts w:hint="eastAsia"/>
                <w:color w:val="000000" w:themeColor="text1"/>
                <w:kern w:val="0"/>
                <w:sz w:val="22"/>
                <w:szCs w:val="22"/>
                <w:highlight w:val="none"/>
                <w:vertAlign w:val="superscript"/>
                <w:lang w:bidi="ar"/>
                <w14:textFill>
                  <w14:solidFill>
                    <w14:schemeClr w14:val="tx1"/>
                  </w14:solidFill>
                </w14:textFill>
              </w:rPr>
              <w:t>3</w:t>
            </w:r>
            <w:r>
              <w:rPr>
                <w:rFonts w:hint="eastAsia"/>
                <w:color w:val="000000" w:themeColor="text1"/>
                <w:kern w:val="0"/>
                <w:sz w:val="24"/>
                <w:highlight w:val="none"/>
                <w:lang w:bidi="ar"/>
                <w14:textFill>
                  <w14:solidFill>
                    <w14:schemeClr w14:val="tx1"/>
                  </w14:solidFill>
                </w14:textFill>
              </w:rPr>
              <w:t>），对周围环境影响较小</w:t>
            </w:r>
            <w:r>
              <w:rPr>
                <w:color w:val="000000" w:themeColor="text1"/>
                <w:kern w:val="0"/>
                <w:sz w:val="24"/>
                <w:highlight w:val="none"/>
                <w:lang w:bidi="ar"/>
                <w14:textFill>
                  <w14:solidFill>
                    <w14:schemeClr w14:val="tx1"/>
                  </w14:solidFill>
                </w14:textFill>
              </w:rPr>
              <w:t>。</w:t>
            </w:r>
          </w:p>
          <w:p w14:paraId="6BA6DDA5">
            <w:pPr>
              <w:widowControl/>
              <w:spacing w:line="360" w:lineRule="auto"/>
              <w:ind w:firstLine="480" w:firstLineChars="200"/>
              <w:rPr>
                <w:color w:val="000000" w:themeColor="text1"/>
                <w:kern w:val="0"/>
                <w:sz w:val="24"/>
                <w:highlight w:val="none"/>
                <w:lang w:bidi="ar"/>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1.4 大气环境防护距离</w:t>
            </w:r>
          </w:p>
          <w:p w14:paraId="1C8A6341">
            <w:pPr>
              <w:widowControl/>
              <w:spacing w:line="360" w:lineRule="auto"/>
              <w:ind w:firstLine="480" w:firstLineChars="200"/>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根据《环境影响评价导则大气环境》（HJ2.2-2018）中规定，</w:t>
            </w:r>
            <w:r>
              <w:rPr>
                <w:rFonts w:hint="eastAsia" w:ascii="宋体" w:hAnsi="宋体" w:cs="宋体"/>
                <w:color w:val="000000" w:themeColor="text1"/>
                <w:kern w:val="0"/>
                <w:sz w:val="24"/>
                <w:highlight w:val="none"/>
                <w:lang w:bidi="ar"/>
                <w14:textFill>
                  <w14:solidFill>
                    <w14:schemeClr w14:val="tx1"/>
                  </w14:solidFill>
                </w14:textFill>
              </w:rPr>
              <w:t>“对于项目厂界浓度满足大气污染物厂界浓度限值，但厂界外大气污染物短期贡献浓度超过环境质量浓度限值的，可以自厂界向外设置一定范围的大气环境防护距离，以确保大气环境防护区域外的污染物贡献浓度满足环境质量标准”</w:t>
            </w:r>
            <w:r>
              <w:rPr>
                <w:color w:val="000000" w:themeColor="text1"/>
                <w:kern w:val="0"/>
                <w:sz w:val="24"/>
                <w:highlight w:val="none"/>
                <w:lang w:bidi="ar"/>
                <w14:textFill>
                  <w14:solidFill>
                    <w14:schemeClr w14:val="tx1"/>
                  </w14:solidFill>
                </w14:textFill>
              </w:rPr>
              <w:t>。本环评采用AERSCREEN模型计算本项目无组织排放的颗粒物的贡献值，各污染物厂界外贡献值无超过环境质量浓度限值数值，因此，本项目不需要设置大气环境防护距离。</w:t>
            </w:r>
          </w:p>
          <w:p w14:paraId="124DB1B7">
            <w:pPr>
              <w:widowControl/>
              <w:spacing w:line="360" w:lineRule="auto"/>
              <w:ind w:firstLine="480" w:firstLineChars="200"/>
              <w:rPr>
                <w:color w:val="FF0000"/>
                <w:sz w:val="24"/>
                <w:highlight w:val="none"/>
              </w:rPr>
            </w:pPr>
            <w:r>
              <w:rPr>
                <w:color w:val="FF0000"/>
                <w:kern w:val="0"/>
                <w:sz w:val="24"/>
                <w:highlight w:val="none"/>
                <w:lang w:bidi="ar"/>
              </w:rPr>
              <w:t>1.</w:t>
            </w:r>
            <w:r>
              <w:rPr>
                <w:rFonts w:hint="eastAsia"/>
                <w:color w:val="FF0000"/>
                <w:kern w:val="0"/>
                <w:sz w:val="24"/>
                <w:highlight w:val="none"/>
                <w:lang w:bidi="ar"/>
              </w:rPr>
              <w:t>5</w:t>
            </w:r>
            <w:r>
              <w:rPr>
                <w:color w:val="FF0000"/>
                <w:kern w:val="0"/>
                <w:sz w:val="24"/>
                <w:highlight w:val="none"/>
                <w:lang w:bidi="ar"/>
              </w:rPr>
              <w:t xml:space="preserve"> 非正常工况污染物排放</w:t>
            </w:r>
          </w:p>
          <w:p w14:paraId="6F6735D3">
            <w:pPr>
              <w:widowControl/>
              <w:spacing w:line="360" w:lineRule="auto"/>
              <w:ind w:firstLine="480" w:firstLineChars="200"/>
              <w:jc w:val="left"/>
              <w:rPr>
                <w:color w:val="FF0000"/>
                <w:highlight w:val="none"/>
              </w:rPr>
            </w:pPr>
            <w:r>
              <w:rPr>
                <w:rFonts w:hint="eastAsia" w:ascii="宋体" w:hAnsi="宋体" w:cs="宋体"/>
                <w:color w:val="FF0000"/>
                <w:kern w:val="0"/>
                <w:sz w:val="24"/>
                <w:highlight w:val="none"/>
                <w:lang w:bidi="ar"/>
              </w:rPr>
              <w:t>本项目非正常工况为袋式除尘器故障，无法处理粉尘除尘灰将以无组织粉尘的形式排放，针对这种非正常工况，建设单位应采取相应措施，如停止生产线作业，检修环保设施，直至环保设备重新正常工作。表本项目非正常排放总体参数情况详见表</w:t>
            </w:r>
            <w:r>
              <w:rPr>
                <w:color w:val="FF0000"/>
                <w:kern w:val="0"/>
                <w:sz w:val="24"/>
                <w:highlight w:val="none"/>
                <w:lang w:bidi="ar"/>
              </w:rPr>
              <w:t>4-</w:t>
            </w:r>
            <w:r>
              <w:rPr>
                <w:rFonts w:hint="eastAsia"/>
                <w:color w:val="FF0000"/>
                <w:kern w:val="0"/>
                <w:sz w:val="24"/>
                <w:highlight w:val="none"/>
                <w:lang w:val="en-US" w:eastAsia="zh-CN" w:bidi="ar"/>
              </w:rPr>
              <w:t>7</w:t>
            </w:r>
            <w:r>
              <w:rPr>
                <w:rFonts w:hint="eastAsia" w:ascii="宋体" w:hAnsi="宋体" w:cs="宋体"/>
                <w:color w:val="FF0000"/>
                <w:kern w:val="0"/>
                <w:sz w:val="24"/>
                <w:highlight w:val="none"/>
                <w:lang w:bidi="ar"/>
              </w:rPr>
              <w:t>统计。</w:t>
            </w:r>
          </w:p>
          <w:p w14:paraId="49335BB7">
            <w:pPr>
              <w:widowControl/>
              <w:jc w:val="center"/>
              <w:rPr>
                <w:b/>
                <w:bCs/>
                <w:color w:val="FF0000"/>
                <w:szCs w:val="21"/>
                <w:highlight w:val="none"/>
              </w:rPr>
            </w:pPr>
            <w:r>
              <w:rPr>
                <w:b/>
                <w:bCs/>
                <w:color w:val="FF0000"/>
                <w:kern w:val="0"/>
                <w:szCs w:val="21"/>
                <w:highlight w:val="none"/>
                <w:lang w:bidi="ar"/>
              </w:rPr>
              <w:t>表4-</w:t>
            </w:r>
            <w:r>
              <w:rPr>
                <w:rFonts w:hint="eastAsia"/>
                <w:b/>
                <w:bCs/>
                <w:color w:val="FF0000"/>
                <w:kern w:val="0"/>
                <w:szCs w:val="21"/>
                <w:highlight w:val="none"/>
                <w:lang w:val="en-US" w:eastAsia="zh-CN" w:bidi="ar"/>
              </w:rPr>
              <w:t>7</w:t>
            </w:r>
            <w:r>
              <w:rPr>
                <w:b/>
                <w:bCs/>
                <w:color w:val="FF0000"/>
                <w:kern w:val="0"/>
                <w:szCs w:val="21"/>
                <w:highlight w:val="none"/>
                <w:lang w:bidi="ar"/>
              </w:rPr>
              <w:t xml:space="preserve"> 本项目非正常排放参数表</w:t>
            </w:r>
          </w:p>
          <w:tbl>
            <w:tblPr>
              <w:tblStyle w:val="19"/>
              <w:tblW w:w="499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66"/>
              <w:gridCol w:w="1198"/>
              <w:gridCol w:w="831"/>
              <w:gridCol w:w="1128"/>
              <w:gridCol w:w="1513"/>
              <w:gridCol w:w="960"/>
              <w:gridCol w:w="827"/>
              <w:gridCol w:w="828"/>
            </w:tblGrid>
            <w:tr w14:paraId="0881AB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pct"/>
                  <w:vMerge w:val="restart"/>
                  <w:tcBorders>
                    <w:tl2br w:val="nil"/>
                    <w:tr2bl w:val="nil"/>
                  </w:tcBorders>
                  <w:vAlign w:val="center"/>
                </w:tcPr>
                <w:p w14:paraId="4AE5EEC2">
                  <w:pPr>
                    <w:pStyle w:val="13"/>
                    <w:jc w:val="center"/>
                    <w:rPr>
                      <w:b/>
                      <w:bCs/>
                      <w:color w:val="FF0000"/>
                      <w:sz w:val="21"/>
                      <w:szCs w:val="21"/>
                      <w:highlight w:val="none"/>
                    </w:rPr>
                  </w:pPr>
                  <w:r>
                    <w:rPr>
                      <w:b/>
                      <w:bCs/>
                      <w:color w:val="FF0000"/>
                      <w:sz w:val="21"/>
                      <w:szCs w:val="21"/>
                      <w:highlight w:val="none"/>
                    </w:rPr>
                    <w:t>非正常排放源</w:t>
                  </w:r>
                </w:p>
              </w:tc>
              <w:tc>
                <w:tcPr>
                  <w:tcW w:w="717" w:type="pct"/>
                  <w:vMerge w:val="restart"/>
                  <w:tcBorders>
                    <w:tl2br w:val="nil"/>
                    <w:tr2bl w:val="nil"/>
                  </w:tcBorders>
                  <w:vAlign w:val="center"/>
                </w:tcPr>
                <w:p w14:paraId="46BE4C18">
                  <w:pPr>
                    <w:pStyle w:val="13"/>
                    <w:jc w:val="center"/>
                    <w:rPr>
                      <w:b/>
                      <w:bCs/>
                      <w:color w:val="FF0000"/>
                      <w:sz w:val="21"/>
                      <w:szCs w:val="21"/>
                      <w:highlight w:val="none"/>
                    </w:rPr>
                  </w:pPr>
                  <w:r>
                    <w:rPr>
                      <w:b/>
                      <w:bCs/>
                      <w:color w:val="FF0000"/>
                      <w:sz w:val="21"/>
                      <w:szCs w:val="21"/>
                      <w:highlight w:val="none"/>
                    </w:rPr>
                    <w:t>非正常排放原因</w:t>
                  </w:r>
                </w:p>
              </w:tc>
              <w:tc>
                <w:tcPr>
                  <w:tcW w:w="497" w:type="pct"/>
                  <w:vMerge w:val="restart"/>
                  <w:tcBorders>
                    <w:tl2br w:val="nil"/>
                    <w:tr2bl w:val="nil"/>
                  </w:tcBorders>
                  <w:vAlign w:val="center"/>
                </w:tcPr>
                <w:p w14:paraId="7A01EF5C">
                  <w:pPr>
                    <w:pStyle w:val="13"/>
                    <w:jc w:val="center"/>
                    <w:rPr>
                      <w:b/>
                      <w:bCs/>
                      <w:color w:val="FF0000"/>
                      <w:sz w:val="21"/>
                      <w:szCs w:val="21"/>
                      <w:highlight w:val="none"/>
                    </w:rPr>
                  </w:pPr>
                  <w:r>
                    <w:rPr>
                      <w:b/>
                      <w:bCs/>
                      <w:color w:val="FF0000"/>
                      <w:sz w:val="21"/>
                      <w:szCs w:val="21"/>
                      <w:highlight w:val="none"/>
                    </w:rPr>
                    <w:t>污染物</w:t>
                  </w:r>
                </w:p>
              </w:tc>
              <w:tc>
                <w:tcPr>
                  <w:tcW w:w="1580" w:type="pct"/>
                  <w:gridSpan w:val="2"/>
                  <w:tcBorders>
                    <w:tl2br w:val="nil"/>
                    <w:tr2bl w:val="nil"/>
                  </w:tcBorders>
                  <w:vAlign w:val="center"/>
                </w:tcPr>
                <w:p w14:paraId="493F90F4">
                  <w:pPr>
                    <w:pStyle w:val="13"/>
                    <w:jc w:val="center"/>
                    <w:rPr>
                      <w:b/>
                      <w:bCs/>
                      <w:color w:val="FF0000"/>
                      <w:sz w:val="21"/>
                      <w:szCs w:val="21"/>
                      <w:highlight w:val="none"/>
                    </w:rPr>
                  </w:pPr>
                  <w:r>
                    <w:rPr>
                      <w:b/>
                      <w:bCs/>
                      <w:color w:val="FF0000"/>
                      <w:sz w:val="21"/>
                      <w:szCs w:val="21"/>
                      <w:highlight w:val="none"/>
                    </w:rPr>
                    <w:t>非正常排放</w:t>
                  </w:r>
                </w:p>
              </w:tc>
              <w:tc>
                <w:tcPr>
                  <w:tcW w:w="575" w:type="pct"/>
                  <w:vMerge w:val="restart"/>
                  <w:tcBorders>
                    <w:tl2br w:val="nil"/>
                    <w:tr2bl w:val="nil"/>
                  </w:tcBorders>
                  <w:vAlign w:val="center"/>
                </w:tcPr>
                <w:p w14:paraId="1B6EFC7D">
                  <w:pPr>
                    <w:pStyle w:val="13"/>
                    <w:jc w:val="center"/>
                    <w:rPr>
                      <w:b/>
                      <w:bCs/>
                      <w:color w:val="FF0000"/>
                      <w:sz w:val="21"/>
                      <w:szCs w:val="21"/>
                      <w:highlight w:val="none"/>
                    </w:rPr>
                  </w:pPr>
                  <w:r>
                    <w:rPr>
                      <w:b/>
                      <w:bCs/>
                      <w:color w:val="FF0000"/>
                      <w:sz w:val="21"/>
                      <w:szCs w:val="21"/>
                      <w:highlight w:val="none"/>
                    </w:rPr>
                    <w:t>单次持续时间/h</w:t>
                  </w:r>
                </w:p>
              </w:tc>
              <w:tc>
                <w:tcPr>
                  <w:tcW w:w="495" w:type="pct"/>
                  <w:vMerge w:val="restart"/>
                  <w:tcBorders>
                    <w:tl2br w:val="nil"/>
                    <w:tr2bl w:val="nil"/>
                  </w:tcBorders>
                  <w:vAlign w:val="center"/>
                </w:tcPr>
                <w:p w14:paraId="09F13C38">
                  <w:pPr>
                    <w:pStyle w:val="13"/>
                    <w:jc w:val="center"/>
                    <w:rPr>
                      <w:b/>
                      <w:bCs/>
                      <w:color w:val="FF0000"/>
                      <w:sz w:val="21"/>
                      <w:szCs w:val="21"/>
                      <w:highlight w:val="none"/>
                    </w:rPr>
                  </w:pPr>
                  <w:r>
                    <w:rPr>
                      <w:b/>
                      <w:bCs/>
                      <w:color w:val="FF0000"/>
                      <w:sz w:val="21"/>
                      <w:szCs w:val="21"/>
                      <w:highlight w:val="none"/>
                    </w:rPr>
                    <w:t>年发生频次</w:t>
                  </w:r>
                </w:p>
              </w:tc>
              <w:tc>
                <w:tcPr>
                  <w:tcW w:w="495" w:type="pct"/>
                  <w:vMerge w:val="restart"/>
                  <w:tcBorders>
                    <w:tl2br w:val="nil"/>
                    <w:tr2bl w:val="nil"/>
                  </w:tcBorders>
                  <w:vAlign w:val="center"/>
                </w:tcPr>
                <w:p w14:paraId="4E672D7A">
                  <w:pPr>
                    <w:pStyle w:val="13"/>
                    <w:jc w:val="center"/>
                    <w:rPr>
                      <w:rFonts w:hint="default" w:eastAsia="宋体"/>
                      <w:b/>
                      <w:bCs/>
                      <w:color w:val="FF0000"/>
                      <w:sz w:val="21"/>
                      <w:szCs w:val="21"/>
                      <w:highlight w:val="none"/>
                      <w:lang w:val="en-US" w:eastAsia="zh-CN"/>
                    </w:rPr>
                  </w:pPr>
                  <w:r>
                    <w:rPr>
                      <w:rFonts w:hint="eastAsia"/>
                      <w:b/>
                      <w:bCs/>
                      <w:color w:val="FF0000"/>
                      <w:sz w:val="21"/>
                      <w:szCs w:val="21"/>
                      <w:highlight w:val="none"/>
                      <w:lang w:val="en-US" w:eastAsia="zh-CN"/>
                    </w:rPr>
                    <w:t>年排放量t/a</w:t>
                  </w:r>
                </w:p>
              </w:tc>
            </w:tr>
            <w:tr w14:paraId="1E1261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pct"/>
                  <w:vMerge w:val="continue"/>
                  <w:tcBorders>
                    <w:tl2br w:val="nil"/>
                    <w:tr2bl w:val="nil"/>
                  </w:tcBorders>
                  <w:vAlign w:val="center"/>
                </w:tcPr>
                <w:p w14:paraId="72D2A216">
                  <w:pPr>
                    <w:pStyle w:val="13"/>
                    <w:jc w:val="center"/>
                    <w:rPr>
                      <w:color w:val="FF0000"/>
                      <w:sz w:val="21"/>
                      <w:szCs w:val="21"/>
                      <w:highlight w:val="none"/>
                    </w:rPr>
                  </w:pPr>
                </w:p>
              </w:tc>
              <w:tc>
                <w:tcPr>
                  <w:tcW w:w="717" w:type="pct"/>
                  <w:vMerge w:val="continue"/>
                  <w:tcBorders>
                    <w:tl2br w:val="nil"/>
                    <w:tr2bl w:val="nil"/>
                  </w:tcBorders>
                  <w:vAlign w:val="center"/>
                </w:tcPr>
                <w:p w14:paraId="262F9E25">
                  <w:pPr>
                    <w:pStyle w:val="13"/>
                    <w:jc w:val="center"/>
                    <w:rPr>
                      <w:color w:val="FF0000"/>
                      <w:sz w:val="21"/>
                      <w:szCs w:val="21"/>
                      <w:highlight w:val="none"/>
                    </w:rPr>
                  </w:pPr>
                </w:p>
              </w:tc>
              <w:tc>
                <w:tcPr>
                  <w:tcW w:w="497" w:type="pct"/>
                  <w:vMerge w:val="continue"/>
                  <w:tcBorders>
                    <w:tl2br w:val="nil"/>
                    <w:tr2bl w:val="nil"/>
                  </w:tcBorders>
                  <w:vAlign w:val="center"/>
                </w:tcPr>
                <w:p w14:paraId="54D871FF">
                  <w:pPr>
                    <w:pStyle w:val="13"/>
                    <w:jc w:val="center"/>
                    <w:rPr>
                      <w:color w:val="FF0000"/>
                      <w:sz w:val="21"/>
                      <w:szCs w:val="21"/>
                      <w:highlight w:val="none"/>
                    </w:rPr>
                  </w:pPr>
                </w:p>
              </w:tc>
              <w:tc>
                <w:tcPr>
                  <w:tcW w:w="675" w:type="pct"/>
                  <w:tcBorders>
                    <w:tl2br w:val="nil"/>
                    <w:tr2bl w:val="nil"/>
                  </w:tcBorders>
                  <w:vAlign w:val="center"/>
                </w:tcPr>
                <w:p w14:paraId="0A37616D">
                  <w:pPr>
                    <w:widowControl/>
                    <w:jc w:val="center"/>
                    <w:rPr>
                      <w:b/>
                      <w:bCs/>
                      <w:color w:val="FF0000"/>
                      <w:szCs w:val="21"/>
                      <w:highlight w:val="none"/>
                    </w:rPr>
                  </w:pPr>
                  <w:r>
                    <w:rPr>
                      <w:b/>
                      <w:bCs/>
                      <w:color w:val="FF0000"/>
                      <w:szCs w:val="21"/>
                      <w:highlight w:val="none"/>
                    </w:rPr>
                    <w:t>速率kg/h</w:t>
                  </w:r>
                </w:p>
              </w:tc>
              <w:tc>
                <w:tcPr>
                  <w:tcW w:w="905" w:type="pct"/>
                  <w:tcBorders>
                    <w:tl2br w:val="nil"/>
                    <w:tr2bl w:val="nil"/>
                  </w:tcBorders>
                  <w:vAlign w:val="center"/>
                </w:tcPr>
                <w:p w14:paraId="108C43DB">
                  <w:pPr>
                    <w:widowControl/>
                    <w:jc w:val="center"/>
                    <w:rPr>
                      <w:b/>
                      <w:bCs/>
                      <w:color w:val="FF0000"/>
                      <w:szCs w:val="21"/>
                      <w:highlight w:val="none"/>
                    </w:rPr>
                  </w:pPr>
                  <w:r>
                    <w:rPr>
                      <w:b/>
                      <w:bCs/>
                      <w:color w:val="FF0000"/>
                      <w:szCs w:val="21"/>
                      <w:highlight w:val="none"/>
                    </w:rPr>
                    <w:t>排放浓度mg/m</w:t>
                  </w:r>
                  <w:r>
                    <w:rPr>
                      <w:b/>
                      <w:bCs/>
                      <w:color w:val="FF0000"/>
                      <w:szCs w:val="21"/>
                      <w:highlight w:val="none"/>
                      <w:vertAlign w:val="superscript"/>
                    </w:rPr>
                    <w:t>3</w:t>
                  </w:r>
                </w:p>
              </w:tc>
              <w:tc>
                <w:tcPr>
                  <w:tcW w:w="575" w:type="pct"/>
                  <w:vMerge w:val="continue"/>
                  <w:tcBorders>
                    <w:tl2br w:val="nil"/>
                    <w:tr2bl w:val="nil"/>
                  </w:tcBorders>
                  <w:vAlign w:val="center"/>
                </w:tcPr>
                <w:p w14:paraId="40C50EE6">
                  <w:pPr>
                    <w:pStyle w:val="13"/>
                    <w:jc w:val="center"/>
                    <w:rPr>
                      <w:color w:val="FF0000"/>
                      <w:sz w:val="21"/>
                      <w:szCs w:val="21"/>
                      <w:highlight w:val="none"/>
                    </w:rPr>
                  </w:pPr>
                </w:p>
              </w:tc>
              <w:tc>
                <w:tcPr>
                  <w:tcW w:w="495" w:type="pct"/>
                  <w:vMerge w:val="continue"/>
                  <w:tcBorders>
                    <w:tl2br w:val="nil"/>
                    <w:tr2bl w:val="nil"/>
                  </w:tcBorders>
                  <w:vAlign w:val="center"/>
                </w:tcPr>
                <w:p w14:paraId="113E6DD6">
                  <w:pPr>
                    <w:pStyle w:val="13"/>
                    <w:jc w:val="center"/>
                    <w:rPr>
                      <w:color w:val="FF0000"/>
                      <w:sz w:val="21"/>
                      <w:szCs w:val="21"/>
                      <w:highlight w:val="none"/>
                    </w:rPr>
                  </w:pPr>
                </w:p>
              </w:tc>
              <w:tc>
                <w:tcPr>
                  <w:tcW w:w="495" w:type="pct"/>
                  <w:vMerge w:val="continue"/>
                  <w:tcBorders>
                    <w:tl2br w:val="nil"/>
                    <w:tr2bl w:val="nil"/>
                  </w:tcBorders>
                  <w:vAlign w:val="center"/>
                </w:tcPr>
                <w:p w14:paraId="7324C624">
                  <w:pPr>
                    <w:pStyle w:val="13"/>
                    <w:jc w:val="center"/>
                    <w:rPr>
                      <w:color w:val="FF0000"/>
                      <w:sz w:val="21"/>
                      <w:szCs w:val="21"/>
                      <w:highlight w:val="none"/>
                    </w:rPr>
                  </w:pPr>
                </w:p>
              </w:tc>
            </w:tr>
            <w:tr w14:paraId="6AD8CA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38" w:type="pct"/>
                  <w:tcBorders>
                    <w:tl2br w:val="nil"/>
                    <w:tr2bl w:val="nil"/>
                  </w:tcBorders>
                  <w:vAlign w:val="center"/>
                </w:tcPr>
                <w:p w14:paraId="3BB5FFF2">
                  <w:pPr>
                    <w:widowControl/>
                    <w:jc w:val="center"/>
                    <w:rPr>
                      <w:color w:val="FF0000"/>
                      <w:szCs w:val="21"/>
                      <w:highlight w:val="none"/>
                    </w:rPr>
                  </w:pPr>
                  <w:r>
                    <w:rPr>
                      <w:color w:val="FF0000"/>
                      <w:kern w:val="0"/>
                      <w:szCs w:val="21"/>
                      <w:highlight w:val="none"/>
                      <w:lang w:bidi="ar"/>
                    </w:rPr>
                    <w:t>DA001</w:t>
                  </w:r>
                </w:p>
              </w:tc>
              <w:tc>
                <w:tcPr>
                  <w:tcW w:w="717" w:type="pct"/>
                  <w:tcBorders>
                    <w:tl2br w:val="nil"/>
                    <w:tr2bl w:val="nil"/>
                  </w:tcBorders>
                  <w:vAlign w:val="center"/>
                </w:tcPr>
                <w:p w14:paraId="436D434C">
                  <w:pPr>
                    <w:widowControl/>
                    <w:jc w:val="center"/>
                    <w:rPr>
                      <w:color w:val="FF0000"/>
                      <w:szCs w:val="21"/>
                      <w:highlight w:val="none"/>
                    </w:rPr>
                  </w:pPr>
                  <w:r>
                    <w:rPr>
                      <w:color w:val="FF0000"/>
                      <w:kern w:val="0"/>
                      <w:szCs w:val="21"/>
                      <w:highlight w:val="none"/>
                      <w:lang w:bidi="ar"/>
                    </w:rPr>
                    <w:t>废气治理措施失效，废气直排</w:t>
                  </w:r>
                </w:p>
              </w:tc>
              <w:tc>
                <w:tcPr>
                  <w:tcW w:w="497" w:type="pct"/>
                  <w:tcBorders>
                    <w:tl2br w:val="nil"/>
                    <w:tr2bl w:val="nil"/>
                  </w:tcBorders>
                  <w:vAlign w:val="center"/>
                </w:tcPr>
                <w:p w14:paraId="4333158C">
                  <w:pPr>
                    <w:pStyle w:val="13"/>
                    <w:jc w:val="center"/>
                    <w:rPr>
                      <w:color w:val="FF0000"/>
                      <w:sz w:val="21"/>
                      <w:szCs w:val="21"/>
                      <w:highlight w:val="none"/>
                    </w:rPr>
                  </w:pPr>
                  <w:r>
                    <w:rPr>
                      <w:color w:val="FF0000"/>
                      <w:sz w:val="21"/>
                      <w:szCs w:val="21"/>
                      <w:highlight w:val="none"/>
                    </w:rPr>
                    <w:t>颗粒物</w:t>
                  </w:r>
                </w:p>
              </w:tc>
              <w:tc>
                <w:tcPr>
                  <w:tcW w:w="675" w:type="pct"/>
                  <w:tcBorders>
                    <w:tl2br w:val="nil"/>
                    <w:tr2bl w:val="nil"/>
                  </w:tcBorders>
                  <w:vAlign w:val="center"/>
                </w:tcPr>
                <w:p w14:paraId="1F68B881">
                  <w:pPr>
                    <w:keepNext w:val="0"/>
                    <w:keepLines w:val="0"/>
                    <w:widowControl/>
                    <w:suppressLineNumbers w:val="0"/>
                    <w:jc w:val="center"/>
                    <w:textAlignment w:val="center"/>
                    <w:rPr>
                      <w:rFonts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446.949</w:t>
                  </w:r>
                </w:p>
              </w:tc>
              <w:tc>
                <w:tcPr>
                  <w:tcW w:w="905" w:type="pct"/>
                  <w:tcBorders>
                    <w:tl2br w:val="nil"/>
                    <w:tr2bl w:val="nil"/>
                  </w:tcBorders>
                  <w:vAlign w:val="center"/>
                </w:tcPr>
                <w:p w14:paraId="3B5C275B">
                  <w:pPr>
                    <w:keepNext w:val="0"/>
                    <w:keepLines w:val="0"/>
                    <w:widowControl/>
                    <w:suppressLineNumbers w:val="0"/>
                    <w:jc w:val="center"/>
                    <w:textAlignment w:val="center"/>
                    <w:rPr>
                      <w:rFonts w:ascii="Times New Roman" w:hAnsi="Times New Roman" w:eastAsia="宋体" w:cs="Times New Roman"/>
                      <w:color w:val="FF0000"/>
                      <w:kern w:val="0"/>
                      <w:sz w:val="21"/>
                      <w:szCs w:val="21"/>
                      <w:highlight w:val="none"/>
                      <w:lang w:val="en-US" w:eastAsia="zh-CN" w:bidi="ar-SA"/>
                    </w:rPr>
                  </w:pPr>
                  <w:r>
                    <w:rPr>
                      <w:rFonts w:hint="eastAsia" w:ascii="Times New Roman" w:hAnsi="Times New Roman" w:eastAsia="宋体" w:cs="Times New Roman"/>
                      <w:color w:val="FF0000"/>
                      <w:kern w:val="0"/>
                      <w:sz w:val="21"/>
                      <w:szCs w:val="21"/>
                      <w:highlight w:val="none"/>
                      <w:lang w:val="en-US" w:eastAsia="zh-CN" w:bidi="ar-SA"/>
                    </w:rPr>
                    <w:t>1414.844</w:t>
                  </w:r>
                </w:p>
              </w:tc>
              <w:tc>
                <w:tcPr>
                  <w:tcW w:w="575" w:type="pct"/>
                  <w:tcBorders>
                    <w:tl2br w:val="nil"/>
                    <w:tr2bl w:val="nil"/>
                  </w:tcBorders>
                  <w:vAlign w:val="center"/>
                </w:tcPr>
                <w:p w14:paraId="30423CB1">
                  <w:pPr>
                    <w:pStyle w:val="13"/>
                    <w:jc w:val="center"/>
                    <w:rPr>
                      <w:rFonts w:hint="eastAsia" w:eastAsia="宋体"/>
                      <w:color w:val="FF0000"/>
                      <w:sz w:val="21"/>
                      <w:szCs w:val="21"/>
                      <w:highlight w:val="none"/>
                      <w:lang w:eastAsia="zh-CN"/>
                    </w:rPr>
                  </w:pPr>
                  <w:r>
                    <w:rPr>
                      <w:rFonts w:hint="eastAsia"/>
                      <w:color w:val="FF0000"/>
                      <w:sz w:val="21"/>
                      <w:szCs w:val="21"/>
                      <w:highlight w:val="none"/>
                      <w:lang w:val="en-US" w:eastAsia="zh-CN"/>
                    </w:rPr>
                    <w:t>2</w:t>
                  </w:r>
                </w:p>
              </w:tc>
              <w:tc>
                <w:tcPr>
                  <w:tcW w:w="495" w:type="pct"/>
                  <w:tcBorders>
                    <w:tl2br w:val="nil"/>
                    <w:tr2bl w:val="nil"/>
                  </w:tcBorders>
                  <w:vAlign w:val="center"/>
                </w:tcPr>
                <w:p w14:paraId="1D31F550">
                  <w:pPr>
                    <w:pStyle w:val="13"/>
                    <w:jc w:val="center"/>
                    <w:rPr>
                      <w:color w:val="FF0000"/>
                      <w:sz w:val="21"/>
                      <w:szCs w:val="21"/>
                      <w:highlight w:val="none"/>
                    </w:rPr>
                  </w:pPr>
                  <w:r>
                    <w:rPr>
                      <w:rFonts w:hint="eastAsia"/>
                      <w:color w:val="FF0000"/>
                      <w:sz w:val="21"/>
                      <w:szCs w:val="21"/>
                      <w:highlight w:val="none"/>
                    </w:rPr>
                    <w:t>1</w:t>
                  </w:r>
                </w:p>
              </w:tc>
              <w:tc>
                <w:tcPr>
                  <w:tcW w:w="495" w:type="pct"/>
                  <w:tcBorders>
                    <w:tl2br w:val="nil"/>
                    <w:tr2bl w:val="nil"/>
                  </w:tcBorders>
                  <w:vAlign w:val="center"/>
                </w:tcPr>
                <w:p w14:paraId="0560A89C">
                  <w:pPr>
                    <w:pStyle w:val="13"/>
                    <w:jc w:val="center"/>
                    <w:rPr>
                      <w:rFonts w:hint="default" w:eastAsia="宋体"/>
                      <w:color w:val="FF0000"/>
                      <w:sz w:val="21"/>
                      <w:szCs w:val="21"/>
                      <w:highlight w:val="none"/>
                      <w:lang w:val="en-US" w:eastAsia="zh-CN"/>
                    </w:rPr>
                  </w:pPr>
                  <w:r>
                    <w:rPr>
                      <w:rFonts w:hint="eastAsia"/>
                      <w:color w:val="FF0000"/>
                      <w:sz w:val="21"/>
                      <w:szCs w:val="21"/>
                      <w:highlight w:val="none"/>
                      <w:lang w:val="en-US" w:eastAsia="zh-CN"/>
                    </w:rPr>
                    <w:t>893.898</w:t>
                  </w:r>
                </w:p>
              </w:tc>
            </w:tr>
          </w:tbl>
          <w:p w14:paraId="2970F72D">
            <w:pPr>
              <w:keepNext w:val="0"/>
              <w:keepLines w:val="0"/>
              <w:pageBreakBefore w:val="0"/>
              <w:widowControl/>
              <w:kinsoku/>
              <w:wordWrap/>
              <w:overflowPunct/>
              <w:topLinePunct w:val="0"/>
              <w:autoSpaceDE/>
              <w:autoSpaceDN/>
              <w:bidi w:val="0"/>
              <w:adjustRightInd/>
              <w:snapToGrid/>
              <w:spacing w:before="157" w:beforeLines="50" w:line="360" w:lineRule="auto"/>
              <w:ind w:firstLine="480" w:firstLineChars="200"/>
              <w:jc w:val="left"/>
              <w:textAlignment w:val="auto"/>
              <w:rPr>
                <w:b/>
                <w:bCs/>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为尽可能减轻非正常工况时可能带来的不利影响，应加强管理，提高工作人员技术水平，按技术规范操作；污染治理设施要定期维护、维修和保养，各种关键设备要进行备用，同时设置二级电源，一旦处理设备失效，建设单位应在</w:t>
            </w:r>
            <w:r>
              <w:rPr>
                <w:color w:val="000000" w:themeColor="text1"/>
                <w:kern w:val="0"/>
                <w:sz w:val="24"/>
                <w:highlight w:val="none"/>
                <w:lang w:bidi="ar"/>
                <w14:textFill>
                  <w14:solidFill>
                    <w14:schemeClr w14:val="tx1"/>
                  </w14:solidFill>
                </w14:textFill>
              </w:rPr>
              <w:t>1h</w:t>
            </w:r>
            <w:r>
              <w:rPr>
                <w:rFonts w:hint="eastAsia" w:ascii="宋体" w:hAnsi="宋体" w:cs="宋体"/>
                <w:color w:val="000000" w:themeColor="text1"/>
                <w:kern w:val="0"/>
                <w:sz w:val="24"/>
                <w:highlight w:val="none"/>
                <w:lang w:bidi="ar"/>
                <w14:textFill>
                  <w14:solidFill>
                    <w14:schemeClr w14:val="tx1"/>
                  </w14:solidFill>
                </w14:textFill>
              </w:rPr>
              <w:t>内停止生产，待设备恢复正常后，再重新启动生产。建设单位应定期检修维护环保设施，并为环保设备建立设备管理档案，避免非正常工况的出现。</w:t>
            </w:r>
          </w:p>
          <w:p w14:paraId="09DA608E">
            <w:pPr>
              <w:widowControl/>
              <w:spacing w:line="360" w:lineRule="auto"/>
              <w:ind w:firstLine="480" w:firstLineChars="200"/>
              <w:jc w:val="left"/>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1.</w:t>
            </w:r>
            <w:r>
              <w:rPr>
                <w:rFonts w:hint="eastAsia"/>
                <w:color w:val="000000" w:themeColor="text1"/>
                <w:kern w:val="0"/>
                <w:sz w:val="24"/>
                <w:highlight w:val="none"/>
                <w:lang w:val="en-US" w:eastAsia="zh-CN" w:bidi="ar"/>
                <w14:textFill>
                  <w14:solidFill>
                    <w14:schemeClr w14:val="tx1"/>
                  </w14:solidFill>
                </w14:textFill>
              </w:rPr>
              <w:t>6</w:t>
            </w:r>
            <w:r>
              <w:rPr>
                <w:rFonts w:hint="eastAsia" w:ascii="宋体" w:hAnsi="宋体" w:cs="宋体"/>
                <w:color w:val="000000" w:themeColor="text1"/>
                <w:kern w:val="0"/>
                <w:sz w:val="24"/>
                <w:highlight w:val="none"/>
                <w:lang w:bidi="ar"/>
                <w14:textFill>
                  <w14:solidFill>
                    <w14:schemeClr w14:val="tx1"/>
                  </w14:solidFill>
                </w14:textFill>
              </w:rPr>
              <w:t>监测计划</w:t>
            </w:r>
          </w:p>
          <w:p w14:paraId="18C57BD5">
            <w:pPr>
              <w:widowControl/>
              <w:spacing w:line="360" w:lineRule="auto"/>
              <w:ind w:firstLine="480" w:firstLineChars="200"/>
              <w:rPr>
                <w:rFonts w:ascii="宋体" w:hAnsi="宋体" w:cs="宋体"/>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根据</w:t>
            </w:r>
            <w:r>
              <w:rPr>
                <w:rFonts w:hint="eastAsia"/>
                <w:color w:val="000000" w:themeColor="text1"/>
                <w:kern w:val="0"/>
                <w:sz w:val="24"/>
                <w:highlight w:val="none"/>
                <w:lang w:bidi="ar"/>
                <w14:textFill>
                  <w14:solidFill>
                    <w14:schemeClr w14:val="tx1"/>
                  </w14:solidFill>
                </w14:textFill>
              </w:rPr>
              <w:t>《</w:t>
            </w:r>
            <w:r>
              <w:rPr>
                <w:color w:val="000000" w:themeColor="text1"/>
                <w:kern w:val="0"/>
                <w:sz w:val="24"/>
                <w:highlight w:val="none"/>
                <w:lang w:bidi="ar"/>
                <w14:textFill>
                  <w14:solidFill>
                    <w14:schemeClr w14:val="tx1"/>
                  </w14:solidFill>
                </w14:textFill>
              </w:rPr>
              <w:t xml:space="preserve">排污单位自行监测技术指南 </w:t>
            </w:r>
            <w:r>
              <w:rPr>
                <w:rFonts w:hint="eastAsia"/>
                <w:color w:val="000000" w:themeColor="text1"/>
                <w:kern w:val="0"/>
                <w:sz w:val="24"/>
                <w:highlight w:val="none"/>
                <w:lang w:bidi="ar"/>
                <w14:textFill>
                  <w14:solidFill>
                    <w14:schemeClr w14:val="tx1"/>
                  </w14:solidFill>
                </w14:textFill>
              </w:rPr>
              <w:t>总则</w:t>
            </w:r>
            <w:r>
              <w:rPr>
                <w:color w:val="000000" w:themeColor="text1"/>
                <w:kern w:val="0"/>
                <w:sz w:val="24"/>
                <w:highlight w:val="none"/>
                <w:lang w:bidi="ar"/>
                <w14:textFill>
                  <w14:solidFill>
                    <w14:schemeClr w14:val="tx1"/>
                  </w14:solidFill>
                </w14:textFill>
              </w:rPr>
              <w:t xml:space="preserve">（HJ </w:t>
            </w:r>
            <w:r>
              <w:rPr>
                <w:rFonts w:hint="eastAsia"/>
                <w:color w:val="000000" w:themeColor="text1"/>
                <w:kern w:val="0"/>
                <w:sz w:val="24"/>
                <w:highlight w:val="none"/>
                <w:lang w:bidi="ar"/>
                <w14:textFill>
                  <w14:solidFill>
                    <w14:schemeClr w14:val="tx1"/>
                  </w14:solidFill>
                </w14:textFill>
              </w:rPr>
              <w:t>819-</w:t>
            </w:r>
            <w:r>
              <w:rPr>
                <w:color w:val="000000" w:themeColor="text1"/>
                <w:kern w:val="0"/>
                <w:sz w:val="24"/>
                <w:highlight w:val="none"/>
                <w:lang w:bidi="ar"/>
                <w14:textFill>
                  <w14:solidFill>
                    <w14:schemeClr w14:val="tx1"/>
                  </w14:solidFill>
                </w14:textFill>
              </w:rPr>
              <w:t>20</w:t>
            </w:r>
            <w:r>
              <w:rPr>
                <w:rFonts w:hint="eastAsia"/>
                <w:color w:val="000000" w:themeColor="text1"/>
                <w:kern w:val="0"/>
                <w:sz w:val="24"/>
                <w:highlight w:val="none"/>
                <w:lang w:bidi="ar"/>
                <w14:textFill>
                  <w14:solidFill>
                    <w14:schemeClr w14:val="tx1"/>
                  </w14:solidFill>
                </w14:textFill>
              </w:rPr>
              <w:t>17</w:t>
            </w:r>
            <w:r>
              <w:rPr>
                <w:color w:val="000000" w:themeColor="text1"/>
                <w:kern w:val="0"/>
                <w:sz w:val="24"/>
                <w:highlight w:val="none"/>
                <w:lang w:bidi="ar"/>
                <w14:textFill>
                  <w14:solidFill>
                    <w14:schemeClr w14:val="tx1"/>
                  </w14:solidFill>
                </w14:textFill>
              </w:rPr>
              <w:t>）</w:t>
            </w:r>
            <w:r>
              <w:rPr>
                <w:rFonts w:hint="eastAsia"/>
                <w:color w:val="000000" w:themeColor="text1"/>
                <w:kern w:val="0"/>
                <w:sz w:val="24"/>
                <w:highlight w:val="none"/>
                <w:lang w:bidi="ar"/>
                <w14:textFill>
                  <w14:solidFill>
                    <w14:schemeClr w14:val="tx1"/>
                  </w14:solidFill>
                </w14:textFill>
              </w:rPr>
              <w:t>》</w:t>
            </w:r>
            <w:r>
              <w:rPr>
                <w:color w:val="000000" w:themeColor="text1"/>
                <w:kern w:val="0"/>
                <w:sz w:val="24"/>
                <w:highlight w:val="none"/>
                <w:lang w:bidi="ar"/>
                <w14:textFill>
                  <w14:solidFill>
                    <w14:schemeClr w14:val="tx1"/>
                  </w14:solidFill>
                </w14:textFill>
              </w:rPr>
              <w:t>和《排污许可证申请与核发技术规范 陶瓷砖瓦工业》（HJ954</w:t>
            </w:r>
            <w:r>
              <w:rPr>
                <w:rFonts w:hint="eastAsia"/>
                <w:color w:val="000000" w:themeColor="text1"/>
                <w:kern w:val="0"/>
                <w:sz w:val="24"/>
                <w:highlight w:val="none"/>
                <w:lang w:bidi="ar"/>
                <w14:textFill>
                  <w14:solidFill>
                    <w14:schemeClr w14:val="tx1"/>
                  </w14:solidFill>
                </w14:textFill>
              </w:rPr>
              <w:t>-</w:t>
            </w:r>
            <w:r>
              <w:rPr>
                <w:color w:val="000000" w:themeColor="text1"/>
                <w:kern w:val="0"/>
                <w:sz w:val="24"/>
                <w:highlight w:val="none"/>
                <w:lang w:bidi="ar"/>
                <w14:textFill>
                  <w14:solidFill>
                    <w14:schemeClr w14:val="tx1"/>
                  </w14:solidFill>
                </w14:textFill>
              </w:rPr>
              <w:t>2018）</w:t>
            </w:r>
            <w:r>
              <w:rPr>
                <w:rFonts w:hint="eastAsia" w:ascii="宋体" w:hAnsi="宋体" w:cs="宋体"/>
                <w:color w:val="000000" w:themeColor="text1"/>
                <w:kern w:val="0"/>
                <w:sz w:val="24"/>
                <w:highlight w:val="none"/>
                <w:lang w:bidi="ar"/>
                <w14:textFill>
                  <w14:solidFill>
                    <w14:schemeClr w14:val="tx1"/>
                  </w14:solidFill>
                </w14:textFill>
              </w:rPr>
              <w:t>的要求，本项目对废气监测口进行规范化设置。生产车间内产生的废气经过集气收集后通过</w:t>
            </w:r>
            <w:r>
              <w:rPr>
                <w:color w:val="000000" w:themeColor="text1"/>
                <w:kern w:val="0"/>
                <w:sz w:val="24"/>
                <w:highlight w:val="none"/>
                <w:lang w:bidi="ar"/>
                <w14:textFill>
                  <w14:solidFill>
                    <w14:schemeClr w14:val="tx1"/>
                  </w14:solidFill>
                </w14:textFill>
              </w:rPr>
              <w:t>“</w:t>
            </w:r>
            <w:r>
              <w:rPr>
                <w:rFonts w:hint="eastAsia" w:ascii="宋体" w:hAnsi="宋体" w:cs="宋体"/>
                <w:color w:val="000000" w:themeColor="text1"/>
                <w:kern w:val="0"/>
                <w:sz w:val="24"/>
                <w:highlight w:val="none"/>
                <w:lang w:bidi="ar"/>
                <w14:textFill>
                  <w14:solidFill>
                    <w14:schemeClr w14:val="tx1"/>
                  </w14:solidFill>
                </w14:textFill>
              </w:rPr>
              <w:t>袋式除尘器</w:t>
            </w:r>
            <w:r>
              <w:rPr>
                <w:color w:val="000000" w:themeColor="text1"/>
                <w:kern w:val="0"/>
                <w:sz w:val="24"/>
                <w:highlight w:val="none"/>
                <w:lang w:bidi="ar"/>
                <w14:textFill>
                  <w14:solidFill>
                    <w14:schemeClr w14:val="tx1"/>
                  </w14:solidFill>
                </w14:textFill>
              </w:rPr>
              <w:t>+15m</w:t>
            </w:r>
            <w:r>
              <w:rPr>
                <w:rFonts w:hint="eastAsia" w:ascii="宋体" w:hAnsi="宋体" w:cs="宋体"/>
                <w:color w:val="000000" w:themeColor="text1"/>
                <w:kern w:val="0"/>
                <w:sz w:val="24"/>
                <w:highlight w:val="none"/>
                <w:lang w:bidi="ar"/>
                <w14:textFill>
                  <w14:solidFill>
                    <w14:schemeClr w14:val="tx1"/>
                  </w14:solidFill>
                </w14:textFill>
              </w:rPr>
              <w:t>高排气筒</w:t>
            </w:r>
            <w:r>
              <w:rPr>
                <w:color w:val="000000" w:themeColor="text1"/>
                <w:kern w:val="0"/>
                <w:sz w:val="24"/>
                <w:highlight w:val="none"/>
                <w:lang w:bidi="ar"/>
                <w14:textFill>
                  <w14:solidFill>
                    <w14:schemeClr w14:val="tx1"/>
                  </w14:solidFill>
                </w14:textFill>
              </w:rPr>
              <w:t>”</w:t>
            </w:r>
            <w:r>
              <w:rPr>
                <w:rFonts w:hint="eastAsia" w:ascii="宋体" w:hAnsi="宋体" w:cs="宋体"/>
                <w:color w:val="000000" w:themeColor="text1"/>
                <w:kern w:val="0"/>
                <w:sz w:val="24"/>
                <w:highlight w:val="none"/>
                <w:lang w:bidi="ar"/>
                <w14:textFill>
                  <w14:solidFill>
                    <w14:schemeClr w14:val="tx1"/>
                  </w14:solidFill>
                </w14:textFill>
              </w:rPr>
              <w:t>达标排放，有组织废气排放口设置了标准监测口，用于例行监测与采样。具体监测项目、频率、点位见下表。</w:t>
            </w:r>
          </w:p>
          <w:p w14:paraId="01D9AC1F">
            <w:pPr>
              <w:pStyle w:val="13"/>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表4-</w:t>
            </w:r>
            <w:r>
              <w:rPr>
                <w:rFonts w:hint="eastAsia"/>
                <w:b/>
                <w:bCs/>
                <w:color w:val="000000" w:themeColor="text1"/>
                <w:sz w:val="21"/>
                <w:szCs w:val="21"/>
                <w:highlight w:val="none"/>
                <w:lang w:val="en-US" w:eastAsia="zh-CN"/>
                <w14:textFill>
                  <w14:solidFill>
                    <w14:schemeClr w14:val="tx1"/>
                  </w14:solidFill>
                </w14:textFill>
              </w:rPr>
              <w:t>8</w:t>
            </w:r>
            <w:r>
              <w:rPr>
                <w:rFonts w:hint="eastAsia"/>
                <w:b/>
                <w:bCs/>
                <w:color w:val="000000" w:themeColor="text1"/>
                <w:sz w:val="21"/>
                <w:szCs w:val="21"/>
                <w:highlight w:val="none"/>
                <w14:textFill>
                  <w14:solidFill>
                    <w14:schemeClr w14:val="tx1"/>
                  </w14:solidFill>
                </w14:textFill>
              </w:rPr>
              <w:t xml:space="preserve"> 本项目废气监测计划</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87"/>
              <w:gridCol w:w="1836"/>
              <w:gridCol w:w="3114"/>
              <w:gridCol w:w="1314"/>
            </w:tblGrid>
            <w:tr w14:paraId="0857891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42" w:hRule="atLeast"/>
              </w:trPr>
              <w:tc>
                <w:tcPr>
                  <w:tcW w:w="1249" w:type="pct"/>
                  <w:tcBorders>
                    <w:tl2br w:val="nil"/>
                    <w:tr2bl w:val="nil"/>
                  </w:tcBorders>
                </w:tcPr>
                <w:p w14:paraId="61C341F4">
                  <w:pPr>
                    <w:pStyle w:val="13"/>
                    <w:spacing w:before="120" w:beforeLines="50" w:after="120" w:afterLines="50"/>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监测位置</w:t>
                  </w:r>
                </w:p>
              </w:tc>
              <w:tc>
                <w:tcPr>
                  <w:tcW w:w="1099" w:type="pct"/>
                  <w:tcBorders>
                    <w:tl2br w:val="nil"/>
                    <w:tr2bl w:val="nil"/>
                  </w:tcBorders>
                </w:tcPr>
                <w:p w14:paraId="0F8E118F">
                  <w:pPr>
                    <w:pStyle w:val="13"/>
                    <w:spacing w:before="120" w:beforeLines="50" w:after="120" w:afterLines="50"/>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监测项目</w:t>
                  </w:r>
                </w:p>
              </w:tc>
              <w:tc>
                <w:tcPr>
                  <w:tcW w:w="1863" w:type="pct"/>
                  <w:tcBorders>
                    <w:tl2br w:val="nil"/>
                    <w:tr2bl w:val="nil"/>
                  </w:tcBorders>
                </w:tcPr>
                <w:p w14:paraId="7EBA86EA">
                  <w:pPr>
                    <w:pStyle w:val="13"/>
                    <w:spacing w:before="120" w:beforeLines="50" w:after="120" w:afterLines="50"/>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执行标准</w:t>
                  </w:r>
                </w:p>
              </w:tc>
              <w:tc>
                <w:tcPr>
                  <w:tcW w:w="786" w:type="pct"/>
                  <w:tcBorders>
                    <w:tl2br w:val="nil"/>
                    <w:tr2bl w:val="nil"/>
                  </w:tcBorders>
                </w:tcPr>
                <w:p w14:paraId="1A55A3A4">
                  <w:pPr>
                    <w:pStyle w:val="13"/>
                    <w:spacing w:before="120" w:beforeLines="50" w:after="120" w:afterLines="50"/>
                    <w:jc w:val="center"/>
                    <w:rPr>
                      <w:b/>
                      <w:bCs/>
                      <w:color w:val="000000" w:themeColor="text1"/>
                      <w:sz w:val="21"/>
                      <w:szCs w:val="21"/>
                      <w:highlight w:val="none"/>
                      <w14:textFill>
                        <w14:solidFill>
                          <w14:schemeClr w14:val="tx1"/>
                        </w14:solidFill>
                      </w14:textFill>
                    </w:rPr>
                  </w:pPr>
                  <w:r>
                    <w:rPr>
                      <w:rFonts w:hint="eastAsia"/>
                      <w:b/>
                      <w:bCs/>
                      <w:color w:val="000000" w:themeColor="text1"/>
                      <w:sz w:val="21"/>
                      <w:szCs w:val="21"/>
                      <w:highlight w:val="none"/>
                      <w14:textFill>
                        <w14:solidFill>
                          <w14:schemeClr w14:val="tx1"/>
                        </w14:solidFill>
                      </w14:textFill>
                    </w:rPr>
                    <w:t>监测频率</w:t>
                  </w:r>
                </w:p>
              </w:tc>
            </w:tr>
            <w:tr w14:paraId="4079F0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1249" w:type="pct"/>
                  <w:tcBorders>
                    <w:tl2br w:val="nil"/>
                    <w:tr2bl w:val="nil"/>
                  </w:tcBorders>
                  <w:vAlign w:val="center"/>
                </w:tcPr>
                <w:p w14:paraId="1C684003">
                  <w:pPr>
                    <w:widowControl/>
                    <w:jc w:val="center"/>
                    <w:rPr>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lang w:bidi="ar"/>
                      <w14:textFill>
                        <w14:solidFill>
                          <w14:schemeClr w14:val="tx1"/>
                        </w14:solidFill>
                      </w14:textFill>
                    </w:rPr>
                    <w:t>排气筒（</w:t>
                  </w:r>
                  <w:r>
                    <w:rPr>
                      <w:color w:val="000000" w:themeColor="text1"/>
                      <w:kern w:val="0"/>
                      <w:szCs w:val="21"/>
                      <w:highlight w:val="none"/>
                      <w:lang w:bidi="ar"/>
                      <w14:textFill>
                        <w14:solidFill>
                          <w14:schemeClr w14:val="tx1"/>
                        </w14:solidFill>
                      </w14:textFill>
                    </w:rPr>
                    <w:t>DA001</w:t>
                  </w:r>
                  <w:r>
                    <w:rPr>
                      <w:rFonts w:hint="eastAsia" w:ascii="宋体" w:hAnsi="宋体" w:cs="宋体"/>
                      <w:color w:val="000000" w:themeColor="text1"/>
                      <w:kern w:val="0"/>
                      <w:szCs w:val="21"/>
                      <w:highlight w:val="none"/>
                      <w:lang w:bidi="ar"/>
                      <w14:textFill>
                        <w14:solidFill>
                          <w14:schemeClr w14:val="tx1"/>
                        </w14:solidFill>
                      </w14:textFill>
                    </w:rPr>
                    <w:t>）</w:t>
                  </w:r>
                </w:p>
              </w:tc>
              <w:tc>
                <w:tcPr>
                  <w:tcW w:w="1099" w:type="pct"/>
                  <w:vMerge w:val="restart"/>
                  <w:tcBorders>
                    <w:tl2br w:val="nil"/>
                    <w:tr2bl w:val="nil"/>
                  </w:tcBorders>
                  <w:vAlign w:val="center"/>
                </w:tcPr>
                <w:p w14:paraId="3F39E009">
                  <w:pPr>
                    <w:widowControl/>
                    <w:jc w:val="center"/>
                    <w:rPr>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lang w:bidi="ar"/>
                      <w14:textFill>
                        <w14:solidFill>
                          <w14:schemeClr w14:val="tx1"/>
                        </w14:solidFill>
                      </w14:textFill>
                    </w:rPr>
                    <w:t>颗粒物</w:t>
                  </w:r>
                </w:p>
              </w:tc>
              <w:tc>
                <w:tcPr>
                  <w:tcW w:w="1863" w:type="pct"/>
                  <w:vMerge w:val="restart"/>
                  <w:tcBorders>
                    <w:tl2br w:val="nil"/>
                    <w:tr2bl w:val="nil"/>
                  </w:tcBorders>
                  <w:vAlign w:val="center"/>
                </w:tcPr>
                <w:p w14:paraId="7505F49A">
                  <w:pPr>
                    <w:widowControl/>
                    <w:jc w:val="center"/>
                    <w:rPr>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lang w:bidi="ar"/>
                      <w14:textFill>
                        <w14:solidFill>
                          <w14:schemeClr w14:val="tx1"/>
                        </w14:solidFill>
                      </w14:textFill>
                    </w:rPr>
                    <w:t>《大气污染物综合排放标准》</w:t>
                  </w:r>
                </w:p>
                <w:p w14:paraId="6886840E">
                  <w:pPr>
                    <w:widowControl/>
                    <w:jc w:val="center"/>
                    <w:rPr>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lang w:bidi="ar"/>
                      <w14:textFill>
                        <w14:solidFill>
                          <w14:schemeClr w14:val="tx1"/>
                        </w14:solidFill>
                      </w14:textFill>
                    </w:rPr>
                    <w:t>（</w:t>
                  </w:r>
                  <w:r>
                    <w:rPr>
                      <w:color w:val="000000" w:themeColor="text1"/>
                      <w:kern w:val="0"/>
                      <w:szCs w:val="21"/>
                      <w:highlight w:val="none"/>
                      <w:lang w:bidi="ar"/>
                      <w14:textFill>
                        <w14:solidFill>
                          <w14:schemeClr w14:val="tx1"/>
                        </w14:solidFill>
                      </w14:textFill>
                    </w:rPr>
                    <w:t>GB16297-1996</w:t>
                  </w:r>
                  <w:r>
                    <w:rPr>
                      <w:rFonts w:hint="eastAsia" w:ascii="宋体" w:hAnsi="宋体" w:cs="宋体"/>
                      <w:color w:val="000000" w:themeColor="text1"/>
                      <w:kern w:val="0"/>
                      <w:szCs w:val="21"/>
                      <w:highlight w:val="none"/>
                      <w:lang w:bidi="ar"/>
                      <w14:textFill>
                        <w14:solidFill>
                          <w14:schemeClr w14:val="tx1"/>
                        </w14:solidFill>
                      </w14:textFill>
                    </w:rPr>
                    <w:t>）表</w:t>
                  </w:r>
                  <w:r>
                    <w:rPr>
                      <w:color w:val="000000" w:themeColor="text1"/>
                      <w:kern w:val="0"/>
                      <w:szCs w:val="21"/>
                      <w:highlight w:val="none"/>
                      <w:lang w:bidi="ar"/>
                      <w14:textFill>
                        <w14:solidFill>
                          <w14:schemeClr w14:val="tx1"/>
                        </w14:solidFill>
                      </w14:textFill>
                    </w:rPr>
                    <w:t>2</w:t>
                  </w:r>
                </w:p>
              </w:tc>
              <w:tc>
                <w:tcPr>
                  <w:tcW w:w="786" w:type="pct"/>
                  <w:vMerge w:val="restart"/>
                  <w:tcBorders>
                    <w:tl2br w:val="nil"/>
                    <w:tr2bl w:val="nil"/>
                  </w:tcBorders>
                  <w:vAlign w:val="center"/>
                </w:tcPr>
                <w:p w14:paraId="7FDECCDB">
                  <w:pPr>
                    <w:widowControl/>
                    <w:jc w:val="center"/>
                    <w:rPr>
                      <w:color w:val="000000" w:themeColor="text1"/>
                      <w:szCs w:val="21"/>
                      <w:highlight w:val="none"/>
                      <w14:textFill>
                        <w14:solidFill>
                          <w14:schemeClr w14:val="tx1"/>
                        </w14:solidFill>
                      </w14:textFill>
                    </w:rPr>
                  </w:pPr>
                  <w:r>
                    <w:rPr>
                      <w:color w:val="000000" w:themeColor="text1"/>
                      <w:kern w:val="0"/>
                      <w:szCs w:val="21"/>
                      <w:highlight w:val="none"/>
                      <w:lang w:bidi="ar"/>
                      <w14:textFill>
                        <w14:solidFill>
                          <w14:schemeClr w14:val="tx1"/>
                        </w14:solidFill>
                      </w14:textFill>
                    </w:rPr>
                    <w:t>1</w:t>
                  </w:r>
                  <w:r>
                    <w:rPr>
                      <w:rFonts w:hint="eastAsia" w:ascii="宋体" w:hAnsi="宋体" w:cs="宋体"/>
                      <w:color w:val="000000" w:themeColor="text1"/>
                      <w:kern w:val="0"/>
                      <w:szCs w:val="21"/>
                      <w:highlight w:val="none"/>
                      <w:lang w:bidi="ar"/>
                      <w14:textFill>
                        <w14:solidFill>
                          <w14:schemeClr w14:val="tx1"/>
                        </w14:solidFill>
                      </w14:textFill>
                    </w:rPr>
                    <w:t>次</w:t>
                  </w:r>
                  <w:r>
                    <w:rPr>
                      <w:color w:val="000000" w:themeColor="text1"/>
                      <w:kern w:val="0"/>
                      <w:szCs w:val="21"/>
                      <w:highlight w:val="none"/>
                      <w:lang w:bidi="ar"/>
                      <w14:textFill>
                        <w14:solidFill>
                          <w14:schemeClr w14:val="tx1"/>
                        </w14:solidFill>
                      </w14:textFill>
                    </w:rPr>
                    <w:t>/</w:t>
                  </w:r>
                  <w:r>
                    <w:rPr>
                      <w:rFonts w:hint="eastAsia" w:ascii="宋体" w:hAnsi="宋体" w:cs="宋体"/>
                      <w:color w:val="000000" w:themeColor="text1"/>
                      <w:kern w:val="0"/>
                      <w:szCs w:val="21"/>
                      <w:highlight w:val="none"/>
                      <w:lang w:bidi="ar"/>
                      <w14:textFill>
                        <w14:solidFill>
                          <w14:schemeClr w14:val="tx1"/>
                        </w14:solidFill>
                      </w14:textFill>
                    </w:rPr>
                    <w:t>年</w:t>
                  </w:r>
                </w:p>
              </w:tc>
            </w:tr>
            <w:tr w14:paraId="74EDD3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4" w:hRule="atLeast"/>
              </w:trPr>
              <w:tc>
                <w:tcPr>
                  <w:tcW w:w="1249" w:type="pct"/>
                  <w:tcBorders>
                    <w:tl2br w:val="nil"/>
                    <w:tr2bl w:val="nil"/>
                  </w:tcBorders>
                  <w:vAlign w:val="center"/>
                </w:tcPr>
                <w:p w14:paraId="3B082368">
                  <w:pPr>
                    <w:widowControl/>
                    <w:jc w:val="center"/>
                    <w:rPr>
                      <w:color w:val="000000" w:themeColor="text1"/>
                      <w:szCs w:val="21"/>
                      <w:highlight w:val="none"/>
                      <w14:textFill>
                        <w14:solidFill>
                          <w14:schemeClr w14:val="tx1"/>
                        </w14:solidFill>
                      </w14:textFill>
                    </w:rPr>
                  </w:pPr>
                  <w:r>
                    <w:rPr>
                      <w:rFonts w:hint="eastAsia" w:ascii="宋体" w:hAnsi="宋体" w:cs="宋体"/>
                      <w:color w:val="000000" w:themeColor="text1"/>
                      <w:kern w:val="0"/>
                      <w:szCs w:val="21"/>
                      <w:highlight w:val="none"/>
                      <w:lang w:bidi="ar"/>
                      <w14:textFill>
                        <w14:solidFill>
                          <w14:schemeClr w14:val="tx1"/>
                        </w14:solidFill>
                      </w14:textFill>
                    </w:rPr>
                    <w:t>厂界</w:t>
                  </w:r>
                </w:p>
              </w:tc>
              <w:tc>
                <w:tcPr>
                  <w:tcW w:w="1099" w:type="pct"/>
                  <w:vMerge w:val="continue"/>
                  <w:tcBorders>
                    <w:tl2br w:val="nil"/>
                    <w:tr2bl w:val="nil"/>
                  </w:tcBorders>
                  <w:vAlign w:val="center"/>
                </w:tcPr>
                <w:p w14:paraId="307AA0CF">
                  <w:pPr>
                    <w:pStyle w:val="13"/>
                    <w:jc w:val="center"/>
                    <w:rPr>
                      <w:color w:val="000000" w:themeColor="text1"/>
                      <w:sz w:val="21"/>
                      <w:szCs w:val="21"/>
                      <w:highlight w:val="none"/>
                      <w14:textFill>
                        <w14:solidFill>
                          <w14:schemeClr w14:val="tx1"/>
                        </w14:solidFill>
                      </w14:textFill>
                    </w:rPr>
                  </w:pPr>
                </w:p>
              </w:tc>
              <w:tc>
                <w:tcPr>
                  <w:tcW w:w="1863" w:type="pct"/>
                  <w:vMerge w:val="continue"/>
                  <w:tcBorders>
                    <w:tl2br w:val="nil"/>
                    <w:tr2bl w:val="nil"/>
                  </w:tcBorders>
                  <w:vAlign w:val="center"/>
                </w:tcPr>
                <w:p w14:paraId="006D4A3F">
                  <w:pPr>
                    <w:pStyle w:val="13"/>
                    <w:jc w:val="center"/>
                    <w:rPr>
                      <w:color w:val="000000" w:themeColor="text1"/>
                      <w:sz w:val="21"/>
                      <w:szCs w:val="21"/>
                      <w:highlight w:val="none"/>
                      <w14:textFill>
                        <w14:solidFill>
                          <w14:schemeClr w14:val="tx1"/>
                        </w14:solidFill>
                      </w14:textFill>
                    </w:rPr>
                  </w:pPr>
                </w:p>
              </w:tc>
              <w:tc>
                <w:tcPr>
                  <w:tcW w:w="786" w:type="pct"/>
                  <w:vMerge w:val="continue"/>
                  <w:tcBorders>
                    <w:tl2br w:val="nil"/>
                    <w:tr2bl w:val="nil"/>
                  </w:tcBorders>
                  <w:vAlign w:val="center"/>
                </w:tcPr>
                <w:p w14:paraId="58EA550C">
                  <w:pPr>
                    <w:pStyle w:val="13"/>
                    <w:jc w:val="center"/>
                    <w:rPr>
                      <w:color w:val="000000" w:themeColor="text1"/>
                      <w:sz w:val="21"/>
                      <w:szCs w:val="21"/>
                      <w:highlight w:val="none"/>
                      <w14:textFill>
                        <w14:solidFill>
                          <w14:schemeClr w14:val="tx1"/>
                        </w14:solidFill>
                      </w14:textFill>
                    </w:rPr>
                  </w:pPr>
                </w:p>
              </w:tc>
            </w:tr>
          </w:tbl>
          <w:p w14:paraId="694FA32B">
            <w:pPr>
              <w:keepNext w:val="0"/>
              <w:keepLines w:val="0"/>
              <w:pageBreakBefore w:val="0"/>
              <w:widowControl/>
              <w:kinsoku/>
              <w:wordWrap/>
              <w:overflowPunct/>
              <w:topLinePunct w:val="0"/>
              <w:autoSpaceDE/>
              <w:autoSpaceDN/>
              <w:bidi w:val="0"/>
              <w:adjustRightInd/>
              <w:snapToGrid/>
              <w:spacing w:before="157" w:beforeLines="50" w:line="360" w:lineRule="auto"/>
              <w:jc w:val="left"/>
              <w:textAlignment w:val="auto"/>
              <w:rPr>
                <w:b/>
                <w:bCs/>
                <w:color w:val="000000" w:themeColor="text1"/>
                <w:sz w:val="24"/>
                <w:highlight w:val="none"/>
                <w14:textFill>
                  <w14:solidFill>
                    <w14:schemeClr w14:val="tx1"/>
                  </w14:solidFill>
                </w14:textFill>
              </w:rPr>
            </w:pPr>
            <w:r>
              <w:rPr>
                <w:b/>
                <w:bCs/>
                <w:color w:val="000000" w:themeColor="text1"/>
                <w:kern w:val="0"/>
                <w:sz w:val="24"/>
                <w:highlight w:val="none"/>
                <w:lang w:bidi="ar"/>
                <w14:textFill>
                  <w14:solidFill>
                    <w14:schemeClr w14:val="tx1"/>
                  </w14:solidFill>
                </w14:textFill>
              </w:rPr>
              <w:t>2</w:t>
            </w:r>
            <w:r>
              <w:rPr>
                <w:rFonts w:hint="eastAsia" w:ascii="宋体" w:hAnsi="宋体" w:cs="宋体"/>
                <w:b/>
                <w:bCs/>
                <w:color w:val="000000" w:themeColor="text1"/>
                <w:kern w:val="0"/>
                <w:sz w:val="24"/>
                <w:highlight w:val="none"/>
                <w:lang w:bidi="ar"/>
                <w14:textFill>
                  <w14:solidFill>
                    <w14:schemeClr w14:val="tx1"/>
                  </w14:solidFill>
                </w14:textFill>
              </w:rPr>
              <w:t>、废水</w:t>
            </w:r>
          </w:p>
          <w:p w14:paraId="64CD3CD0">
            <w:pPr>
              <w:widowControl/>
              <w:spacing w:line="360" w:lineRule="auto"/>
              <w:ind w:firstLine="480" w:firstLineChars="200"/>
              <w:rPr>
                <w:rFonts w:hint="eastAsia"/>
                <w:color w:val="auto"/>
                <w:sz w:val="24"/>
                <w:highlight w:val="none"/>
                <w:lang w:val="en-US" w:eastAsia="zh-CN"/>
              </w:rPr>
            </w:pPr>
            <w:r>
              <w:rPr>
                <w:rFonts w:hint="eastAsia"/>
                <w:color w:val="auto"/>
                <w:sz w:val="24"/>
                <w:highlight w:val="none"/>
                <w:lang w:val="en-US" w:eastAsia="zh-CN"/>
              </w:rPr>
              <w:t>2.1 废水源强分析</w:t>
            </w:r>
          </w:p>
          <w:p w14:paraId="3B680D55">
            <w:pPr>
              <w:widowControl/>
              <w:spacing w:line="360" w:lineRule="auto"/>
              <w:ind w:firstLine="480" w:firstLineChars="200"/>
              <w:rPr>
                <w:rFonts w:hint="eastAsia" w:eastAsia="宋体"/>
                <w:color w:val="auto"/>
                <w:sz w:val="24"/>
                <w:highlight w:val="none"/>
                <w:lang w:val="en-US" w:eastAsia="zh-CN"/>
              </w:rPr>
            </w:pPr>
            <w:bookmarkStart w:id="3" w:name="OLE_LINK5"/>
            <w:r>
              <w:rPr>
                <w:rFonts w:hint="eastAsia"/>
                <w:color w:val="auto"/>
                <w:sz w:val="24"/>
                <w:highlight w:val="none"/>
              </w:rPr>
              <w:t>本项目</w:t>
            </w:r>
            <w:r>
              <w:rPr>
                <w:color w:val="auto"/>
                <w:sz w:val="24"/>
                <w:highlight w:val="none"/>
              </w:rPr>
              <w:t>运输</w:t>
            </w:r>
            <w:r>
              <w:rPr>
                <w:rFonts w:hint="eastAsia"/>
                <w:color w:val="auto"/>
                <w:sz w:val="24"/>
                <w:highlight w:val="none"/>
              </w:rPr>
              <w:t>车辆</w:t>
            </w:r>
            <w:r>
              <w:rPr>
                <w:color w:val="auto"/>
                <w:sz w:val="24"/>
                <w:highlight w:val="none"/>
              </w:rPr>
              <w:t>清洗</w:t>
            </w:r>
            <w:r>
              <w:rPr>
                <w:rFonts w:hint="eastAsia"/>
                <w:color w:val="auto"/>
                <w:sz w:val="24"/>
                <w:highlight w:val="none"/>
              </w:rPr>
              <w:t>废水经沉淀池（</w:t>
            </w:r>
            <w:r>
              <w:rPr>
                <w:rFonts w:hint="eastAsia"/>
                <w:color w:val="auto"/>
                <w:sz w:val="24"/>
                <w:highlight w:val="none"/>
                <w:lang w:val="en-US" w:eastAsia="zh-CN"/>
              </w:rPr>
              <w:t>5</w:t>
            </w:r>
            <w:r>
              <w:rPr>
                <w:color w:val="auto"/>
                <w:sz w:val="24"/>
                <w:highlight w:val="none"/>
              </w:rPr>
              <w:t>m</w:t>
            </w:r>
            <w:r>
              <w:rPr>
                <w:color w:val="auto"/>
                <w:sz w:val="24"/>
                <w:highlight w:val="none"/>
                <w:vertAlign w:val="superscript"/>
              </w:rPr>
              <w:t>3</w:t>
            </w:r>
            <w:r>
              <w:rPr>
                <w:rFonts w:hint="eastAsia"/>
                <w:color w:val="auto"/>
                <w:sz w:val="24"/>
                <w:highlight w:val="none"/>
              </w:rPr>
              <w:t>）沉淀后循环使用不外排，沉淀池普遍应用于处理工艺循环水，可实现水资源的综合利用，该技术具有可行性；</w:t>
            </w:r>
            <w:r>
              <w:rPr>
                <w:color w:val="auto"/>
                <w:sz w:val="24"/>
                <w:highlight w:val="none"/>
              </w:rPr>
              <w:t>洒水抑尘</w:t>
            </w:r>
            <w:r>
              <w:rPr>
                <w:rFonts w:hint="eastAsia"/>
                <w:color w:val="auto"/>
                <w:sz w:val="24"/>
                <w:highlight w:val="none"/>
              </w:rPr>
              <w:t>用水</w:t>
            </w:r>
            <w:r>
              <w:rPr>
                <w:color w:val="auto"/>
                <w:sz w:val="24"/>
                <w:highlight w:val="none"/>
              </w:rPr>
              <w:t>以自然形式</w:t>
            </w:r>
            <w:r>
              <w:rPr>
                <w:rFonts w:hint="eastAsia"/>
                <w:color w:val="auto"/>
                <w:sz w:val="24"/>
                <w:highlight w:val="none"/>
              </w:rPr>
              <w:t>全部</w:t>
            </w:r>
            <w:r>
              <w:rPr>
                <w:color w:val="auto"/>
                <w:sz w:val="24"/>
                <w:highlight w:val="none"/>
              </w:rPr>
              <w:t>蒸发，无</w:t>
            </w:r>
            <w:r>
              <w:rPr>
                <w:rFonts w:hint="eastAsia"/>
                <w:color w:val="auto"/>
                <w:sz w:val="24"/>
                <w:highlight w:val="none"/>
              </w:rPr>
              <w:t>生产</w:t>
            </w:r>
            <w:r>
              <w:rPr>
                <w:color w:val="auto"/>
                <w:sz w:val="24"/>
                <w:highlight w:val="none"/>
              </w:rPr>
              <w:t>废水产生。员工生活污水排放量为</w:t>
            </w:r>
            <w:r>
              <w:rPr>
                <w:rFonts w:hint="eastAsia"/>
                <w:color w:val="auto"/>
                <w:sz w:val="24"/>
                <w:highlight w:val="none"/>
                <w:lang w:val="en-US" w:eastAsia="zh-CN"/>
              </w:rPr>
              <w:t>57.6</w:t>
            </w:r>
            <w:r>
              <w:rPr>
                <w:color w:val="auto"/>
                <w:sz w:val="24"/>
                <w:highlight w:val="none"/>
              </w:rPr>
              <w:t>m</w:t>
            </w:r>
            <w:r>
              <w:rPr>
                <w:color w:val="auto"/>
                <w:sz w:val="24"/>
                <w:highlight w:val="none"/>
                <w:vertAlign w:val="superscript"/>
              </w:rPr>
              <w:t>3</w:t>
            </w:r>
            <w:r>
              <w:rPr>
                <w:color w:val="auto"/>
                <w:sz w:val="24"/>
                <w:highlight w:val="none"/>
              </w:rPr>
              <w:t>/a（0.</w:t>
            </w:r>
            <w:r>
              <w:rPr>
                <w:rFonts w:hint="eastAsia"/>
                <w:color w:val="auto"/>
                <w:sz w:val="24"/>
                <w:highlight w:val="none"/>
                <w:lang w:val="en-US" w:eastAsia="zh-CN"/>
              </w:rPr>
              <w:t>2</w:t>
            </w:r>
            <w:r>
              <w:rPr>
                <w:rFonts w:hint="eastAsia"/>
                <w:color w:val="auto"/>
                <w:sz w:val="24"/>
                <w:highlight w:val="none"/>
              </w:rPr>
              <w:t>4</w:t>
            </w:r>
            <w:r>
              <w:rPr>
                <w:color w:val="auto"/>
                <w:sz w:val="24"/>
                <w:highlight w:val="none"/>
              </w:rPr>
              <w:t>m</w:t>
            </w:r>
            <w:r>
              <w:rPr>
                <w:color w:val="auto"/>
                <w:sz w:val="24"/>
                <w:highlight w:val="none"/>
                <w:vertAlign w:val="superscript"/>
              </w:rPr>
              <w:t>3</w:t>
            </w:r>
            <w:r>
              <w:rPr>
                <w:color w:val="auto"/>
                <w:sz w:val="24"/>
                <w:highlight w:val="none"/>
              </w:rPr>
              <w:t>/d）</w:t>
            </w:r>
            <w:r>
              <w:rPr>
                <w:rFonts w:hint="eastAsia"/>
                <w:color w:val="auto"/>
                <w:sz w:val="24"/>
                <w:highlight w:val="none"/>
                <w:lang w:eastAsia="zh-CN"/>
              </w:rPr>
              <w:t>，</w:t>
            </w:r>
            <w:r>
              <w:rPr>
                <w:color w:val="auto"/>
                <w:sz w:val="24"/>
                <w:highlight w:val="none"/>
              </w:rPr>
              <w:t>排入</w:t>
            </w:r>
            <w:r>
              <w:rPr>
                <w:rFonts w:hint="eastAsia"/>
                <w:color w:val="auto"/>
                <w:sz w:val="24"/>
                <w:highlight w:val="none"/>
                <w:lang w:val="en-US" w:eastAsia="zh-CN"/>
              </w:rPr>
              <w:t>依托的</w:t>
            </w:r>
            <w:r>
              <w:rPr>
                <w:color w:val="auto"/>
                <w:sz w:val="24"/>
                <w:highlight w:val="none"/>
              </w:rPr>
              <w:t>防渗旱厕</w:t>
            </w:r>
            <w:r>
              <w:rPr>
                <w:rFonts w:hint="eastAsia"/>
                <w:color w:val="auto"/>
                <w:sz w:val="24"/>
                <w:highlight w:val="none"/>
                <w:lang w:eastAsia="zh-CN"/>
              </w:rPr>
              <w:t>（</w:t>
            </w:r>
            <w:r>
              <w:rPr>
                <w:rFonts w:hint="eastAsia"/>
                <w:color w:val="auto"/>
                <w:sz w:val="24"/>
                <w:highlight w:val="none"/>
                <w:lang w:val="en-US" w:eastAsia="zh-CN"/>
              </w:rPr>
              <w:t>5m</w:t>
            </w:r>
            <w:r>
              <w:rPr>
                <w:rFonts w:hint="eastAsia"/>
                <w:color w:val="auto"/>
                <w:sz w:val="24"/>
                <w:highlight w:val="none"/>
                <w:vertAlign w:val="superscript"/>
                <w:lang w:val="en-US" w:eastAsia="zh-CN"/>
              </w:rPr>
              <w:t>3</w:t>
            </w:r>
            <w:r>
              <w:rPr>
                <w:rFonts w:hint="eastAsia"/>
                <w:color w:val="auto"/>
                <w:sz w:val="24"/>
                <w:highlight w:val="none"/>
                <w:lang w:eastAsia="zh-CN"/>
              </w:rPr>
              <w:t>）</w:t>
            </w:r>
            <w:r>
              <w:rPr>
                <w:color w:val="auto"/>
                <w:sz w:val="24"/>
                <w:highlight w:val="none"/>
              </w:rPr>
              <w:t>，定期清掏，</w:t>
            </w:r>
            <w:r>
              <w:rPr>
                <w:rFonts w:hint="eastAsia"/>
                <w:color w:val="auto"/>
                <w:sz w:val="24"/>
                <w:highlight w:val="none"/>
              </w:rPr>
              <w:t>不外排</w:t>
            </w:r>
            <w:r>
              <w:rPr>
                <w:rFonts w:hint="eastAsia"/>
                <w:color w:val="auto"/>
                <w:sz w:val="24"/>
                <w:highlight w:val="none"/>
                <w:lang w:val="en-US" w:eastAsia="zh-CN"/>
              </w:rPr>
              <w:t>。</w:t>
            </w:r>
          </w:p>
          <w:bookmarkEnd w:id="3"/>
          <w:p w14:paraId="77689D86">
            <w:pPr>
              <w:widowControl/>
              <w:spacing w:line="360" w:lineRule="auto"/>
              <w:ind w:firstLine="422" w:firstLineChars="200"/>
              <w:jc w:val="center"/>
              <w:rPr>
                <w:b/>
                <w:bCs/>
                <w:color w:val="auto"/>
                <w:highlight w:val="none"/>
              </w:rPr>
            </w:pPr>
            <w:r>
              <w:rPr>
                <w:rFonts w:hint="eastAsia"/>
                <w:b/>
                <w:bCs/>
                <w:color w:val="auto"/>
                <w:highlight w:val="none"/>
              </w:rPr>
              <w:t>表4-</w:t>
            </w:r>
            <w:r>
              <w:rPr>
                <w:rFonts w:hint="eastAsia"/>
                <w:b/>
                <w:bCs/>
                <w:color w:val="auto"/>
                <w:highlight w:val="none"/>
                <w:lang w:val="en-US" w:eastAsia="zh-CN"/>
              </w:rPr>
              <w:t>9</w:t>
            </w:r>
            <w:r>
              <w:rPr>
                <w:rFonts w:hint="eastAsia"/>
                <w:b/>
                <w:bCs/>
                <w:color w:val="auto"/>
                <w:highlight w:val="none"/>
              </w:rPr>
              <w:t xml:space="preserve">  </w:t>
            </w:r>
            <w:r>
              <w:rPr>
                <w:b/>
                <w:bCs/>
                <w:color w:val="auto"/>
                <w:highlight w:val="none"/>
              </w:rPr>
              <w:t>废水类别、污染物及污染治理设施信息表</w:t>
            </w:r>
          </w:p>
          <w:tbl>
            <w:tblPr>
              <w:tblStyle w:val="19"/>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875"/>
              <w:gridCol w:w="1331"/>
              <w:gridCol w:w="3136"/>
              <w:gridCol w:w="1118"/>
              <w:gridCol w:w="891"/>
            </w:tblGrid>
            <w:tr w14:paraId="4A7B0E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122" w:type="pct"/>
                  <w:vMerge w:val="restart"/>
                  <w:tcBorders>
                    <w:tl2br w:val="nil"/>
                    <w:tr2bl w:val="nil"/>
                  </w:tcBorders>
                  <w:vAlign w:val="center"/>
                </w:tcPr>
                <w:p w14:paraId="2991EF4B">
                  <w:pPr>
                    <w:pStyle w:val="13"/>
                    <w:spacing w:before="120" w:beforeLines="50" w:after="120" w:afterLines="50"/>
                    <w:jc w:val="center"/>
                    <w:rPr>
                      <w:b/>
                      <w:bCs/>
                      <w:color w:val="auto"/>
                      <w:sz w:val="21"/>
                      <w:szCs w:val="21"/>
                      <w:highlight w:val="none"/>
                    </w:rPr>
                  </w:pPr>
                  <w:r>
                    <w:rPr>
                      <w:rFonts w:hint="eastAsia"/>
                      <w:b/>
                      <w:bCs/>
                      <w:color w:val="auto"/>
                      <w:sz w:val="21"/>
                      <w:szCs w:val="21"/>
                      <w:highlight w:val="none"/>
                    </w:rPr>
                    <w:t>废水类别</w:t>
                  </w:r>
                </w:p>
              </w:tc>
              <w:tc>
                <w:tcPr>
                  <w:tcW w:w="797" w:type="pct"/>
                  <w:vMerge w:val="restart"/>
                  <w:tcBorders>
                    <w:tl2br w:val="nil"/>
                    <w:tr2bl w:val="nil"/>
                  </w:tcBorders>
                  <w:vAlign w:val="center"/>
                </w:tcPr>
                <w:p w14:paraId="31FC2D6C">
                  <w:pPr>
                    <w:pStyle w:val="13"/>
                    <w:spacing w:before="120" w:beforeLines="50" w:after="120" w:afterLines="50"/>
                    <w:jc w:val="center"/>
                    <w:rPr>
                      <w:b/>
                      <w:bCs/>
                      <w:color w:val="auto"/>
                      <w:sz w:val="21"/>
                      <w:szCs w:val="21"/>
                      <w:highlight w:val="none"/>
                    </w:rPr>
                  </w:pPr>
                  <w:r>
                    <w:rPr>
                      <w:rFonts w:hint="eastAsia"/>
                      <w:b/>
                      <w:bCs/>
                      <w:color w:val="auto"/>
                      <w:sz w:val="21"/>
                      <w:szCs w:val="21"/>
                      <w:highlight w:val="none"/>
                    </w:rPr>
                    <w:t>污染物种类</w:t>
                  </w:r>
                </w:p>
              </w:tc>
              <w:tc>
                <w:tcPr>
                  <w:tcW w:w="1877" w:type="pct"/>
                  <w:vMerge w:val="restart"/>
                  <w:tcBorders>
                    <w:tl2br w:val="nil"/>
                    <w:tr2bl w:val="nil"/>
                  </w:tcBorders>
                  <w:vAlign w:val="center"/>
                </w:tcPr>
                <w:p w14:paraId="547F8BC1">
                  <w:pPr>
                    <w:pStyle w:val="13"/>
                    <w:spacing w:before="120" w:beforeLines="50" w:after="120" w:afterLines="50"/>
                    <w:jc w:val="center"/>
                    <w:rPr>
                      <w:b/>
                      <w:bCs/>
                      <w:color w:val="auto"/>
                      <w:sz w:val="21"/>
                      <w:szCs w:val="21"/>
                      <w:highlight w:val="none"/>
                    </w:rPr>
                  </w:pPr>
                  <w:r>
                    <w:rPr>
                      <w:rFonts w:hint="eastAsia"/>
                      <w:b/>
                      <w:bCs/>
                      <w:color w:val="auto"/>
                      <w:sz w:val="21"/>
                      <w:szCs w:val="21"/>
                      <w:highlight w:val="none"/>
                    </w:rPr>
                    <w:t>排放去向</w:t>
                  </w:r>
                </w:p>
              </w:tc>
              <w:tc>
                <w:tcPr>
                  <w:tcW w:w="1202" w:type="pct"/>
                  <w:gridSpan w:val="2"/>
                  <w:tcBorders>
                    <w:tl2br w:val="nil"/>
                    <w:tr2bl w:val="nil"/>
                  </w:tcBorders>
                  <w:vAlign w:val="center"/>
                </w:tcPr>
                <w:p w14:paraId="7BEF4322">
                  <w:pPr>
                    <w:pStyle w:val="13"/>
                    <w:spacing w:before="120" w:beforeLines="50" w:after="120" w:afterLines="50"/>
                    <w:jc w:val="center"/>
                    <w:rPr>
                      <w:b/>
                      <w:bCs/>
                      <w:color w:val="auto"/>
                      <w:sz w:val="21"/>
                      <w:szCs w:val="21"/>
                      <w:highlight w:val="none"/>
                    </w:rPr>
                  </w:pPr>
                  <w:r>
                    <w:rPr>
                      <w:rFonts w:hint="eastAsia"/>
                      <w:b/>
                      <w:bCs/>
                      <w:color w:val="auto"/>
                      <w:sz w:val="21"/>
                      <w:szCs w:val="21"/>
                      <w:highlight w:val="none"/>
                    </w:rPr>
                    <w:t>污染治理设施</w:t>
                  </w:r>
                </w:p>
              </w:tc>
            </w:tr>
            <w:tr w14:paraId="0F51DD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1" w:hRule="atLeast"/>
              </w:trPr>
              <w:tc>
                <w:tcPr>
                  <w:tcW w:w="1122" w:type="pct"/>
                  <w:vMerge w:val="continue"/>
                  <w:tcBorders>
                    <w:tl2br w:val="nil"/>
                    <w:tr2bl w:val="nil"/>
                  </w:tcBorders>
                  <w:vAlign w:val="center"/>
                </w:tcPr>
                <w:p w14:paraId="0E749571">
                  <w:pPr>
                    <w:pStyle w:val="13"/>
                    <w:spacing w:before="120" w:beforeLines="50" w:after="120" w:afterLines="50"/>
                    <w:jc w:val="center"/>
                    <w:rPr>
                      <w:color w:val="auto"/>
                      <w:highlight w:val="none"/>
                    </w:rPr>
                  </w:pPr>
                </w:p>
              </w:tc>
              <w:tc>
                <w:tcPr>
                  <w:tcW w:w="797" w:type="pct"/>
                  <w:vMerge w:val="continue"/>
                  <w:tcBorders>
                    <w:tl2br w:val="nil"/>
                    <w:tr2bl w:val="nil"/>
                  </w:tcBorders>
                  <w:vAlign w:val="center"/>
                </w:tcPr>
                <w:p w14:paraId="539927AD">
                  <w:pPr>
                    <w:pStyle w:val="13"/>
                    <w:spacing w:before="120" w:beforeLines="50" w:after="120" w:afterLines="50"/>
                    <w:jc w:val="center"/>
                    <w:rPr>
                      <w:color w:val="auto"/>
                      <w:highlight w:val="none"/>
                    </w:rPr>
                  </w:pPr>
                </w:p>
              </w:tc>
              <w:tc>
                <w:tcPr>
                  <w:tcW w:w="1877" w:type="pct"/>
                  <w:vMerge w:val="continue"/>
                  <w:tcBorders>
                    <w:tl2br w:val="nil"/>
                    <w:tr2bl w:val="nil"/>
                  </w:tcBorders>
                  <w:vAlign w:val="center"/>
                </w:tcPr>
                <w:p w14:paraId="05715B2A">
                  <w:pPr>
                    <w:pStyle w:val="13"/>
                    <w:spacing w:before="120" w:beforeLines="50" w:after="120" w:afterLines="50"/>
                    <w:jc w:val="center"/>
                    <w:rPr>
                      <w:color w:val="auto"/>
                      <w:highlight w:val="none"/>
                    </w:rPr>
                  </w:pPr>
                </w:p>
              </w:tc>
              <w:tc>
                <w:tcPr>
                  <w:tcW w:w="669" w:type="pct"/>
                  <w:tcBorders>
                    <w:tl2br w:val="nil"/>
                    <w:tr2bl w:val="nil"/>
                  </w:tcBorders>
                  <w:vAlign w:val="center"/>
                </w:tcPr>
                <w:p w14:paraId="7294A2DD">
                  <w:pPr>
                    <w:pStyle w:val="13"/>
                    <w:spacing w:before="120" w:beforeLines="50" w:after="120" w:afterLines="50"/>
                    <w:jc w:val="center"/>
                    <w:rPr>
                      <w:b/>
                      <w:bCs/>
                      <w:color w:val="auto"/>
                      <w:sz w:val="21"/>
                      <w:szCs w:val="21"/>
                      <w:highlight w:val="none"/>
                    </w:rPr>
                  </w:pPr>
                  <w:r>
                    <w:rPr>
                      <w:rFonts w:hint="eastAsia" w:ascii="Times New Roman" w:hAnsi="Times New Roman" w:eastAsia="宋体" w:cs="Times New Roman"/>
                      <w:b/>
                      <w:bCs/>
                      <w:color w:val="auto"/>
                      <w:sz w:val="21"/>
                      <w:szCs w:val="21"/>
                      <w:highlight w:val="none"/>
                    </w:rPr>
                    <w:t>名称</w:t>
                  </w:r>
                </w:p>
              </w:tc>
              <w:tc>
                <w:tcPr>
                  <w:tcW w:w="533" w:type="pct"/>
                  <w:tcBorders>
                    <w:tl2br w:val="nil"/>
                    <w:tr2bl w:val="nil"/>
                  </w:tcBorders>
                  <w:vAlign w:val="center"/>
                </w:tcPr>
                <w:p w14:paraId="6F7425E7">
                  <w:pPr>
                    <w:pStyle w:val="13"/>
                    <w:spacing w:before="120" w:beforeLines="50" w:after="120" w:afterLines="50"/>
                    <w:jc w:val="center"/>
                    <w:rPr>
                      <w:b/>
                      <w:bCs/>
                      <w:color w:val="auto"/>
                      <w:sz w:val="21"/>
                      <w:szCs w:val="21"/>
                      <w:highlight w:val="none"/>
                    </w:rPr>
                  </w:pPr>
                  <w:r>
                    <w:rPr>
                      <w:rFonts w:hint="eastAsia"/>
                      <w:b/>
                      <w:bCs/>
                      <w:color w:val="auto"/>
                      <w:sz w:val="21"/>
                      <w:szCs w:val="21"/>
                      <w:highlight w:val="none"/>
                    </w:rPr>
                    <w:t>工艺</w:t>
                  </w:r>
                </w:p>
              </w:tc>
            </w:tr>
            <w:tr w14:paraId="51A3B7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1122" w:type="pct"/>
                  <w:tcBorders>
                    <w:tl2br w:val="nil"/>
                    <w:tr2bl w:val="nil"/>
                  </w:tcBorders>
                  <w:vAlign w:val="center"/>
                </w:tcPr>
                <w:p w14:paraId="10C950B1">
                  <w:pPr>
                    <w:widowControl/>
                    <w:jc w:val="center"/>
                    <w:rPr>
                      <w:color w:val="auto"/>
                      <w:szCs w:val="21"/>
                      <w:highlight w:val="none"/>
                    </w:rPr>
                  </w:pPr>
                  <w:r>
                    <w:rPr>
                      <w:rFonts w:hint="eastAsia" w:ascii="宋体" w:hAnsi="宋体" w:cs="宋体"/>
                      <w:color w:val="auto"/>
                      <w:kern w:val="0"/>
                      <w:szCs w:val="21"/>
                      <w:highlight w:val="none"/>
                      <w:lang w:bidi="ar"/>
                    </w:rPr>
                    <w:t>运输车辆清洗废水</w:t>
                  </w:r>
                </w:p>
              </w:tc>
              <w:tc>
                <w:tcPr>
                  <w:tcW w:w="797" w:type="pct"/>
                  <w:tcBorders>
                    <w:tl2br w:val="nil"/>
                    <w:tr2bl w:val="nil"/>
                  </w:tcBorders>
                  <w:vAlign w:val="center"/>
                </w:tcPr>
                <w:p w14:paraId="0DD76B20">
                  <w:pPr>
                    <w:widowControl/>
                    <w:jc w:val="center"/>
                    <w:rPr>
                      <w:color w:val="auto"/>
                      <w:szCs w:val="21"/>
                      <w:highlight w:val="none"/>
                    </w:rPr>
                  </w:pPr>
                  <w:r>
                    <w:rPr>
                      <w:color w:val="auto"/>
                      <w:kern w:val="0"/>
                      <w:szCs w:val="21"/>
                      <w:highlight w:val="none"/>
                      <w:lang w:bidi="ar"/>
                    </w:rPr>
                    <w:t>SS</w:t>
                  </w:r>
                  <w:r>
                    <w:rPr>
                      <w:rFonts w:hint="eastAsia"/>
                      <w:color w:val="auto"/>
                      <w:kern w:val="0"/>
                      <w:szCs w:val="21"/>
                      <w:highlight w:val="none"/>
                      <w:lang w:bidi="ar"/>
                    </w:rPr>
                    <w:t>、石油类</w:t>
                  </w:r>
                </w:p>
              </w:tc>
              <w:tc>
                <w:tcPr>
                  <w:tcW w:w="1877" w:type="pct"/>
                  <w:tcBorders>
                    <w:tl2br w:val="nil"/>
                    <w:tr2bl w:val="nil"/>
                  </w:tcBorders>
                  <w:vAlign w:val="center"/>
                </w:tcPr>
                <w:p w14:paraId="460D850E">
                  <w:pPr>
                    <w:widowControl/>
                    <w:jc w:val="center"/>
                    <w:rPr>
                      <w:color w:val="auto"/>
                      <w:szCs w:val="21"/>
                      <w:highlight w:val="none"/>
                    </w:rPr>
                  </w:pPr>
                  <w:r>
                    <w:rPr>
                      <w:rFonts w:hint="eastAsia" w:ascii="宋体" w:hAnsi="宋体" w:cs="宋体"/>
                      <w:color w:val="auto"/>
                      <w:kern w:val="0"/>
                      <w:szCs w:val="21"/>
                      <w:highlight w:val="none"/>
                      <w:lang w:bidi="ar"/>
                    </w:rPr>
                    <w:t>经沉淀池沉淀后循环使用不外排</w:t>
                  </w:r>
                </w:p>
              </w:tc>
              <w:tc>
                <w:tcPr>
                  <w:tcW w:w="669" w:type="pct"/>
                  <w:tcBorders>
                    <w:tl2br w:val="nil"/>
                    <w:tr2bl w:val="nil"/>
                  </w:tcBorders>
                  <w:vAlign w:val="center"/>
                </w:tcPr>
                <w:p w14:paraId="69A6E446">
                  <w:pPr>
                    <w:widowControl/>
                    <w:jc w:val="center"/>
                    <w:rPr>
                      <w:color w:val="auto"/>
                      <w:szCs w:val="21"/>
                      <w:highlight w:val="none"/>
                    </w:rPr>
                  </w:pPr>
                  <w:r>
                    <w:rPr>
                      <w:rFonts w:hint="eastAsia" w:ascii="宋体" w:hAnsi="宋体" w:cs="宋体"/>
                      <w:color w:val="auto"/>
                      <w:kern w:val="0"/>
                      <w:szCs w:val="21"/>
                      <w:highlight w:val="none"/>
                      <w:lang w:bidi="ar"/>
                    </w:rPr>
                    <w:t>沉淀池</w:t>
                  </w:r>
                </w:p>
              </w:tc>
              <w:tc>
                <w:tcPr>
                  <w:tcW w:w="533" w:type="pct"/>
                  <w:tcBorders>
                    <w:tl2br w:val="nil"/>
                    <w:tr2bl w:val="nil"/>
                  </w:tcBorders>
                  <w:vAlign w:val="center"/>
                </w:tcPr>
                <w:p w14:paraId="750A38DE">
                  <w:pPr>
                    <w:widowControl/>
                    <w:jc w:val="center"/>
                    <w:rPr>
                      <w:color w:val="auto"/>
                      <w:kern w:val="0"/>
                      <w:szCs w:val="21"/>
                      <w:highlight w:val="none"/>
                      <w:lang w:bidi="ar"/>
                    </w:rPr>
                  </w:pPr>
                  <w:r>
                    <w:rPr>
                      <w:rFonts w:hint="eastAsia" w:ascii="宋体" w:hAnsi="宋体" w:cs="宋体"/>
                      <w:color w:val="auto"/>
                      <w:kern w:val="0"/>
                      <w:szCs w:val="21"/>
                      <w:highlight w:val="none"/>
                      <w:lang w:bidi="ar"/>
                    </w:rPr>
                    <w:t>沉淀</w:t>
                  </w:r>
                </w:p>
              </w:tc>
            </w:tr>
            <w:tr w14:paraId="3B8470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04" w:hRule="atLeast"/>
              </w:trPr>
              <w:tc>
                <w:tcPr>
                  <w:tcW w:w="1122" w:type="pct"/>
                  <w:tcBorders>
                    <w:tl2br w:val="nil"/>
                    <w:tr2bl w:val="nil"/>
                  </w:tcBorders>
                  <w:vAlign w:val="center"/>
                </w:tcPr>
                <w:p w14:paraId="33B66ECA">
                  <w:pPr>
                    <w:widowControl/>
                    <w:jc w:val="center"/>
                    <w:rPr>
                      <w:rFonts w:hint="eastAsia" w:ascii="宋体" w:hAnsi="宋体" w:eastAsia="宋体" w:cs="宋体"/>
                      <w:color w:val="auto"/>
                      <w:kern w:val="0"/>
                      <w:sz w:val="21"/>
                      <w:szCs w:val="21"/>
                      <w:highlight w:val="none"/>
                      <w:lang w:val="en-US" w:eastAsia="zh-CN" w:bidi="ar"/>
                    </w:rPr>
                  </w:pPr>
                  <w:r>
                    <w:rPr>
                      <w:rFonts w:hint="eastAsia" w:ascii="宋体" w:hAnsi="宋体" w:cs="宋体"/>
                      <w:color w:val="auto"/>
                      <w:kern w:val="0"/>
                      <w:sz w:val="21"/>
                      <w:szCs w:val="21"/>
                      <w:highlight w:val="none"/>
                      <w:lang w:val="en-US" w:eastAsia="zh-CN" w:bidi="ar"/>
                    </w:rPr>
                    <w:t>生活污水</w:t>
                  </w:r>
                </w:p>
              </w:tc>
              <w:tc>
                <w:tcPr>
                  <w:tcW w:w="797" w:type="pct"/>
                  <w:tcBorders>
                    <w:tl2br w:val="nil"/>
                    <w:tr2bl w:val="nil"/>
                  </w:tcBorders>
                  <w:vAlign w:val="center"/>
                </w:tcPr>
                <w:p w14:paraId="527D4AF5">
                  <w:pPr>
                    <w:widowControl/>
                    <w:jc w:val="center"/>
                    <w:rPr>
                      <w:color w:val="auto"/>
                      <w:kern w:val="0"/>
                      <w:sz w:val="21"/>
                      <w:szCs w:val="21"/>
                      <w:highlight w:val="none"/>
                      <w:lang w:bidi="ar"/>
                    </w:rPr>
                  </w:pPr>
                  <w:r>
                    <w:rPr>
                      <w:rFonts w:hint="eastAsia"/>
                      <w:color w:val="auto"/>
                      <w:kern w:val="0"/>
                      <w:sz w:val="21"/>
                      <w:szCs w:val="21"/>
                      <w:highlight w:val="none"/>
                      <w:lang w:val="en-US" w:eastAsia="zh-CN" w:bidi="ar"/>
                    </w:rPr>
                    <w:t>pH、COD、氨氮等</w:t>
                  </w:r>
                </w:p>
              </w:tc>
              <w:tc>
                <w:tcPr>
                  <w:tcW w:w="1877" w:type="pct"/>
                  <w:tcBorders>
                    <w:tl2br w:val="nil"/>
                    <w:tr2bl w:val="nil"/>
                  </w:tcBorders>
                  <w:vAlign w:val="center"/>
                </w:tcPr>
                <w:p w14:paraId="3501607C">
                  <w:pPr>
                    <w:widowControl/>
                    <w:jc w:val="center"/>
                    <w:rPr>
                      <w:rFonts w:hint="eastAsia" w:ascii="宋体" w:hAnsi="宋体" w:cs="宋体"/>
                      <w:color w:val="auto"/>
                      <w:kern w:val="0"/>
                      <w:sz w:val="21"/>
                      <w:szCs w:val="21"/>
                      <w:highlight w:val="none"/>
                      <w:lang w:bidi="ar"/>
                    </w:rPr>
                  </w:pPr>
                  <w:r>
                    <w:rPr>
                      <w:color w:val="auto"/>
                      <w:sz w:val="21"/>
                      <w:szCs w:val="21"/>
                      <w:highlight w:val="none"/>
                    </w:rPr>
                    <w:t>排入</w:t>
                  </w:r>
                  <w:r>
                    <w:rPr>
                      <w:rFonts w:hint="eastAsia"/>
                      <w:color w:val="auto"/>
                      <w:sz w:val="21"/>
                      <w:szCs w:val="21"/>
                      <w:highlight w:val="none"/>
                      <w:lang w:val="en-US" w:eastAsia="zh-CN"/>
                    </w:rPr>
                    <w:t>依托的</w:t>
                  </w:r>
                  <w:r>
                    <w:rPr>
                      <w:color w:val="auto"/>
                      <w:sz w:val="21"/>
                      <w:szCs w:val="21"/>
                      <w:highlight w:val="none"/>
                    </w:rPr>
                    <w:t>防渗旱厕</w:t>
                  </w:r>
                  <w:r>
                    <w:rPr>
                      <w:rFonts w:hint="eastAsia"/>
                      <w:color w:val="auto"/>
                      <w:sz w:val="21"/>
                      <w:szCs w:val="21"/>
                      <w:highlight w:val="none"/>
                      <w:lang w:eastAsia="zh-CN"/>
                    </w:rPr>
                    <w:t>（</w:t>
                  </w:r>
                  <w:r>
                    <w:rPr>
                      <w:rFonts w:hint="eastAsia"/>
                      <w:color w:val="auto"/>
                      <w:sz w:val="21"/>
                      <w:szCs w:val="21"/>
                      <w:highlight w:val="none"/>
                      <w:lang w:val="en-US" w:eastAsia="zh-CN"/>
                    </w:rPr>
                    <w:t>5m</w:t>
                  </w:r>
                  <w:r>
                    <w:rPr>
                      <w:rFonts w:hint="eastAsia"/>
                      <w:color w:val="auto"/>
                      <w:sz w:val="21"/>
                      <w:szCs w:val="21"/>
                      <w:highlight w:val="none"/>
                      <w:vertAlign w:val="superscript"/>
                      <w:lang w:val="en-US" w:eastAsia="zh-CN"/>
                    </w:rPr>
                    <w:t>3</w:t>
                  </w:r>
                  <w:r>
                    <w:rPr>
                      <w:rFonts w:hint="eastAsia"/>
                      <w:color w:val="auto"/>
                      <w:sz w:val="21"/>
                      <w:szCs w:val="21"/>
                      <w:highlight w:val="none"/>
                      <w:lang w:eastAsia="zh-CN"/>
                    </w:rPr>
                    <w:t>）</w:t>
                  </w:r>
                  <w:r>
                    <w:rPr>
                      <w:color w:val="auto"/>
                      <w:sz w:val="21"/>
                      <w:szCs w:val="21"/>
                      <w:highlight w:val="none"/>
                    </w:rPr>
                    <w:t>，定期清掏，</w:t>
                  </w:r>
                  <w:r>
                    <w:rPr>
                      <w:rFonts w:hint="eastAsia"/>
                      <w:color w:val="auto"/>
                      <w:sz w:val="21"/>
                      <w:szCs w:val="21"/>
                      <w:highlight w:val="none"/>
                    </w:rPr>
                    <w:t>不外排</w:t>
                  </w:r>
                </w:p>
              </w:tc>
              <w:tc>
                <w:tcPr>
                  <w:tcW w:w="669" w:type="pct"/>
                  <w:tcBorders>
                    <w:tl2br w:val="nil"/>
                    <w:tr2bl w:val="nil"/>
                  </w:tcBorders>
                  <w:vAlign w:val="center"/>
                </w:tcPr>
                <w:p w14:paraId="6492418C">
                  <w:pPr>
                    <w:widowControl/>
                    <w:jc w:val="center"/>
                    <w:rPr>
                      <w:rFonts w:hint="eastAsia" w:ascii="宋体" w:hAnsi="宋体" w:eastAsia="宋体" w:cs="宋体"/>
                      <w:color w:val="auto"/>
                      <w:kern w:val="0"/>
                      <w:sz w:val="21"/>
                      <w:szCs w:val="21"/>
                      <w:highlight w:val="none"/>
                      <w:lang w:val="en-US" w:eastAsia="zh-CN" w:bidi="ar"/>
                    </w:rPr>
                  </w:pPr>
                  <w:r>
                    <w:rPr>
                      <w:rFonts w:hint="eastAsia" w:ascii="宋体" w:hAnsi="宋体" w:cs="宋体"/>
                      <w:color w:val="auto"/>
                      <w:kern w:val="0"/>
                      <w:sz w:val="21"/>
                      <w:szCs w:val="21"/>
                      <w:highlight w:val="none"/>
                      <w:lang w:val="en-US" w:eastAsia="zh-CN" w:bidi="ar"/>
                    </w:rPr>
                    <w:t>防渗旱厕</w:t>
                  </w:r>
                </w:p>
              </w:tc>
              <w:tc>
                <w:tcPr>
                  <w:tcW w:w="533" w:type="pct"/>
                  <w:tcBorders>
                    <w:tl2br w:val="nil"/>
                    <w:tr2bl w:val="nil"/>
                  </w:tcBorders>
                  <w:vAlign w:val="center"/>
                </w:tcPr>
                <w:p w14:paraId="66D19492">
                  <w:pPr>
                    <w:widowControl/>
                    <w:jc w:val="center"/>
                    <w:rPr>
                      <w:rFonts w:hint="default" w:ascii="宋体" w:hAnsi="宋体" w:eastAsia="宋体" w:cs="宋体"/>
                      <w:color w:val="auto"/>
                      <w:kern w:val="0"/>
                      <w:sz w:val="21"/>
                      <w:szCs w:val="21"/>
                      <w:highlight w:val="none"/>
                      <w:lang w:val="en-US" w:eastAsia="zh-CN" w:bidi="ar"/>
                    </w:rPr>
                  </w:pPr>
                  <w:r>
                    <w:rPr>
                      <w:rFonts w:hint="eastAsia" w:ascii="宋体" w:hAnsi="宋体" w:cs="宋体"/>
                      <w:color w:val="auto"/>
                      <w:kern w:val="0"/>
                      <w:sz w:val="21"/>
                      <w:szCs w:val="21"/>
                      <w:highlight w:val="none"/>
                      <w:lang w:val="en-US" w:eastAsia="zh-CN" w:bidi="ar"/>
                    </w:rPr>
                    <w:t>/</w:t>
                  </w:r>
                </w:p>
              </w:tc>
            </w:tr>
          </w:tbl>
          <w:p w14:paraId="332921E7">
            <w:pPr>
              <w:widowControl/>
              <w:spacing w:line="360" w:lineRule="auto"/>
              <w:ind w:firstLine="480" w:firstLineChars="200"/>
              <w:rPr>
                <w:rFonts w:hint="eastAsia" w:eastAsia="宋体"/>
                <w:color w:val="auto"/>
                <w:sz w:val="24"/>
                <w:highlight w:val="none"/>
                <w:lang w:val="en-US" w:eastAsia="zh-CN"/>
              </w:rPr>
            </w:pPr>
            <w:r>
              <w:rPr>
                <w:rFonts w:hint="eastAsia" w:eastAsia="宋体"/>
                <w:color w:val="auto"/>
                <w:sz w:val="24"/>
                <w:highlight w:val="none"/>
                <w:lang w:val="en-US" w:eastAsia="zh-CN"/>
              </w:rPr>
              <w:t>2.2 依托防渗旱厕可行性分析</w:t>
            </w:r>
          </w:p>
          <w:p w14:paraId="02AB4208">
            <w:pPr>
              <w:widowControl/>
              <w:spacing w:line="360" w:lineRule="auto"/>
              <w:ind w:firstLine="480" w:firstLineChars="200"/>
              <w:rPr>
                <w:rFonts w:hint="eastAsia" w:eastAsia="宋体"/>
                <w:color w:val="auto"/>
                <w:sz w:val="24"/>
                <w:highlight w:val="none"/>
              </w:rPr>
            </w:pPr>
            <w:r>
              <w:rPr>
                <w:rFonts w:hint="default" w:eastAsia="宋体"/>
                <w:color w:val="auto"/>
                <w:sz w:val="24"/>
                <w:highlight w:val="none"/>
                <w:lang w:val="en-US" w:eastAsia="zh-CN"/>
              </w:rPr>
              <w:t>本项目</w:t>
            </w:r>
            <w:r>
              <w:rPr>
                <w:rFonts w:hint="eastAsia" w:eastAsia="宋体"/>
                <w:color w:val="auto"/>
                <w:sz w:val="24"/>
                <w:highlight w:val="none"/>
                <w:lang w:val="en-US" w:eastAsia="zh-CN"/>
              </w:rPr>
              <w:t>员工日常</w:t>
            </w:r>
            <w:r>
              <w:rPr>
                <w:rFonts w:hint="default" w:eastAsia="宋体"/>
                <w:color w:val="auto"/>
                <w:sz w:val="24"/>
                <w:highlight w:val="none"/>
                <w:lang w:val="en-US" w:eastAsia="zh-CN"/>
              </w:rPr>
              <w:t>的生活污水排入</w:t>
            </w:r>
            <w:r>
              <w:rPr>
                <w:rFonts w:hint="eastAsia" w:eastAsia="宋体"/>
                <w:color w:val="auto"/>
                <w:sz w:val="24"/>
                <w:highlight w:val="none"/>
                <w:lang w:val="en-US" w:eastAsia="zh-CN"/>
              </w:rPr>
              <w:t>防渗</w:t>
            </w:r>
            <w:r>
              <w:rPr>
                <w:rFonts w:hint="default" w:eastAsia="宋体"/>
                <w:color w:val="auto"/>
                <w:sz w:val="24"/>
                <w:highlight w:val="none"/>
                <w:lang w:val="en-US" w:eastAsia="zh-CN"/>
              </w:rPr>
              <w:t>旱厕定期清掏，不外排，</w:t>
            </w:r>
            <w:r>
              <w:rPr>
                <w:rFonts w:hint="eastAsia" w:eastAsia="宋体"/>
                <w:color w:val="auto"/>
                <w:sz w:val="24"/>
                <w:highlight w:val="none"/>
                <w:lang w:val="en-US" w:eastAsia="zh-CN"/>
              </w:rPr>
              <w:t>本项目旱厕</w:t>
            </w:r>
            <w:r>
              <w:rPr>
                <w:rFonts w:hint="default" w:eastAsia="宋体"/>
                <w:color w:val="auto"/>
                <w:sz w:val="24"/>
                <w:highlight w:val="none"/>
                <w:lang w:val="en-US" w:eastAsia="zh-CN"/>
              </w:rPr>
              <w:t>按照</w:t>
            </w:r>
            <w:r>
              <w:rPr>
                <w:rFonts w:hint="eastAsia" w:eastAsia="宋体"/>
                <w:color w:val="auto"/>
                <w:sz w:val="24"/>
                <w:highlight w:val="none"/>
                <w:lang w:val="en-US" w:eastAsia="zh-CN"/>
              </w:rPr>
              <w:t>一般</w:t>
            </w:r>
            <w:r>
              <w:rPr>
                <w:rFonts w:hint="default" w:eastAsia="宋体"/>
                <w:color w:val="auto"/>
                <w:sz w:val="24"/>
                <w:highlight w:val="none"/>
                <w:lang w:val="en-US" w:eastAsia="zh-CN"/>
              </w:rPr>
              <w:t>防渗，措施可行。</w:t>
            </w:r>
          </w:p>
          <w:p w14:paraId="4B550C2F">
            <w:pPr>
              <w:keepNext w:val="0"/>
              <w:keepLines w:val="0"/>
              <w:pageBreakBefore w:val="0"/>
              <w:widowControl/>
              <w:kinsoku/>
              <w:wordWrap/>
              <w:overflowPunct/>
              <w:topLinePunct w:val="0"/>
              <w:autoSpaceDE/>
              <w:autoSpaceDN/>
              <w:bidi w:val="0"/>
              <w:adjustRightInd/>
              <w:snapToGrid/>
              <w:spacing w:before="157" w:beforeLines="50" w:line="360" w:lineRule="auto"/>
              <w:jc w:val="left"/>
              <w:textAlignment w:val="auto"/>
              <w:rPr>
                <w:b/>
                <w:bCs/>
                <w:color w:val="000000" w:themeColor="text1"/>
                <w:kern w:val="0"/>
                <w:sz w:val="24"/>
                <w:highlight w:val="none"/>
                <w:lang w:bidi="ar"/>
                <w14:textFill>
                  <w14:solidFill>
                    <w14:schemeClr w14:val="tx1"/>
                  </w14:solidFill>
                </w14:textFill>
              </w:rPr>
            </w:pPr>
            <w:r>
              <w:rPr>
                <w:b/>
                <w:bCs/>
                <w:color w:val="000000" w:themeColor="text1"/>
                <w:kern w:val="0"/>
                <w:sz w:val="24"/>
                <w:highlight w:val="none"/>
                <w:lang w:bidi="ar"/>
                <w14:textFill>
                  <w14:solidFill>
                    <w14:schemeClr w14:val="tx1"/>
                  </w14:solidFill>
                </w14:textFill>
              </w:rPr>
              <w:t>3</w:t>
            </w:r>
            <w:r>
              <w:rPr>
                <w:rFonts w:hint="eastAsia"/>
                <w:b/>
                <w:bCs/>
                <w:color w:val="000000" w:themeColor="text1"/>
                <w:kern w:val="0"/>
                <w:sz w:val="24"/>
                <w:highlight w:val="none"/>
                <w:lang w:bidi="ar"/>
                <w14:textFill>
                  <w14:solidFill>
                    <w14:schemeClr w14:val="tx1"/>
                  </w14:solidFill>
                </w14:textFill>
              </w:rPr>
              <w:t>、噪声</w:t>
            </w:r>
          </w:p>
          <w:p w14:paraId="4BA0AB16">
            <w:pPr>
              <w:widowControl/>
              <w:spacing w:line="360" w:lineRule="auto"/>
              <w:ind w:firstLine="480" w:firstLineChars="200"/>
              <w:jc w:val="left"/>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3.1 噪声源强</w:t>
            </w:r>
            <w:r>
              <w:rPr>
                <w:rFonts w:hint="eastAsia"/>
                <w:color w:val="000000" w:themeColor="text1"/>
                <w:kern w:val="0"/>
                <w:sz w:val="24"/>
                <w:highlight w:val="none"/>
                <w:lang w:bidi="ar"/>
                <w14:textFill>
                  <w14:solidFill>
                    <w14:schemeClr w14:val="tx1"/>
                  </w14:solidFill>
                </w14:textFill>
              </w:rPr>
              <w:t>分析</w:t>
            </w:r>
          </w:p>
          <w:p w14:paraId="1E19EE9E">
            <w:pPr>
              <w:widowControl/>
              <w:spacing w:line="360" w:lineRule="auto"/>
              <w:ind w:firstLine="480" w:firstLineChars="200"/>
              <w:jc w:val="left"/>
              <w:rPr>
                <w:color w:val="000000" w:themeColor="text1"/>
                <w:highlight w:val="none"/>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本项目主要噪声源主要为给料机、颚式破碎机、锤式破碎机、振动筛、布袋除尘器风机、运输车辆等机械设备，噪声源强在</w:t>
            </w:r>
            <w:r>
              <w:rPr>
                <w:color w:val="000000" w:themeColor="text1"/>
                <w:kern w:val="0"/>
                <w:sz w:val="24"/>
                <w:highlight w:val="none"/>
                <w:lang w:bidi="ar"/>
                <w14:textFill>
                  <w14:solidFill>
                    <w14:schemeClr w14:val="tx1"/>
                  </w14:solidFill>
                </w14:textFill>
              </w:rPr>
              <w:t>70～</w:t>
            </w:r>
            <w:r>
              <w:rPr>
                <w:rFonts w:hint="eastAsia"/>
                <w:color w:val="000000" w:themeColor="text1"/>
                <w:kern w:val="0"/>
                <w:sz w:val="24"/>
                <w:highlight w:val="none"/>
                <w:lang w:val="en-US" w:eastAsia="zh-CN" w:bidi="ar"/>
                <w14:textFill>
                  <w14:solidFill>
                    <w14:schemeClr w14:val="tx1"/>
                  </w14:solidFill>
                </w14:textFill>
              </w:rPr>
              <w:t>95</w:t>
            </w:r>
            <w:r>
              <w:rPr>
                <w:color w:val="000000" w:themeColor="text1"/>
                <w:kern w:val="0"/>
                <w:sz w:val="24"/>
                <w:highlight w:val="none"/>
                <w:lang w:bidi="ar"/>
                <w14:textFill>
                  <w14:solidFill>
                    <w14:schemeClr w14:val="tx1"/>
                  </w14:solidFill>
                </w14:textFill>
              </w:rPr>
              <w:t>dB(A)</w:t>
            </w:r>
            <w:r>
              <w:rPr>
                <w:rFonts w:hint="eastAsia" w:ascii="宋体" w:hAnsi="宋体" w:cs="宋体"/>
                <w:color w:val="000000" w:themeColor="text1"/>
                <w:kern w:val="0"/>
                <w:sz w:val="24"/>
                <w:highlight w:val="none"/>
                <w:lang w:bidi="ar"/>
                <w14:textFill>
                  <w14:solidFill>
                    <w14:schemeClr w14:val="tx1"/>
                  </w14:solidFill>
                </w14:textFill>
              </w:rPr>
              <w:t>范围内。本项目设计中选用低噪声设备，并采取设置减振基础、安装消声器等降噪措施，可有效降低噪声源强</w:t>
            </w:r>
            <w:r>
              <w:rPr>
                <w:color w:val="000000" w:themeColor="text1"/>
                <w:kern w:val="0"/>
                <w:sz w:val="24"/>
                <w:highlight w:val="none"/>
                <w:lang w:bidi="ar"/>
                <w14:textFill>
                  <w14:solidFill>
                    <w14:schemeClr w14:val="tx1"/>
                  </w14:solidFill>
                </w14:textFill>
              </w:rPr>
              <w:t>20</w:t>
            </w:r>
            <w:r>
              <w:rPr>
                <w:rFonts w:hint="eastAsia" w:ascii="宋体" w:hAnsi="宋体" w:cs="宋体"/>
                <w:color w:val="000000" w:themeColor="text1"/>
                <w:kern w:val="0"/>
                <w:sz w:val="24"/>
                <w:highlight w:val="none"/>
                <w:lang w:bidi="ar"/>
                <w14:textFill>
                  <w14:solidFill>
                    <w14:schemeClr w14:val="tx1"/>
                  </w14:solidFill>
                </w14:textFill>
              </w:rPr>
              <w:t>～</w:t>
            </w:r>
            <w:r>
              <w:rPr>
                <w:color w:val="000000" w:themeColor="text1"/>
                <w:kern w:val="0"/>
                <w:sz w:val="24"/>
                <w:highlight w:val="none"/>
                <w:lang w:bidi="ar"/>
                <w14:textFill>
                  <w14:solidFill>
                    <w14:schemeClr w14:val="tx1"/>
                  </w14:solidFill>
                </w14:textFill>
              </w:rPr>
              <w:t>25dB(A)。</w:t>
            </w:r>
            <w:r>
              <w:rPr>
                <w:rFonts w:hint="eastAsia" w:ascii="宋体" w:hAnsi="宋体" w:cs="宋体"/>
                <w:color w:val="000000" w:themeColor="text1"/>
                <w:kern w:val="0"/>
                <w:sz w:val="24"/>
                <w:highlight w:val="none"/>
                <w:lang w:bidi="ar"/>
                <w14:textFill>
                  <w14:solidFill>
                    <w14:schemeClr w14:val="tx1"/>
                  </w14:solidFill>
                </w14:textFill>
              </w:rPr>
              <w:t>本项目噪声源强一览见表</w:t>
            </w:r>
            <w:r>
              <w:rPr>
                <w:color w:val="000000" w:themeColor="text1"/>
                <w:kern w:val="0"/>
                <w:sz w:val="24"/>
                <w:highlight w:val="none"/>
                <w:lang w:bidi="ar"/>
                <w14:textFill>
                  <w14:solidFill>
                    <w14:schemeClr w14:val="tx1"/>
                  </w14:solidFill>
                </w14:textFill>
              </w:rPr>
              <w:t>4</w:t>
            </w:r>
            <w:r>
              <w:rPr>
                <w:rFonts w:hint="eastAsia" w:ascii="宋体" w:hAnsi="宋体" w:cs="宋体"/>
                <w:color w:val="000000" w:themeColor="text1"/>
                <w:kern w:val="0"/>
                <w:sz w:val="24"/>
                <w:highlight w:val="none"/>
                <w:lang w:bidi="ar"/>
                <w14:textFill>
                  <w14:solidFill>
                    <w14:schemeClr w14:val="tx1"/>
                  </w14:solidFill>
                </w14:textFill>
              </w:rPr>
              <w:t>-</w:t>
            </w:r>
            <w:r>
              <w:rPr>
                <w:rFonts w:hint="eastAsia"/>
                <w:color w:val="000000" w:themeColor="text1"/>
                <w:kern w:val="0"/>
                <w:sz w:val="24"/>
                <w:highlight w:val="none"/>
                <w:lang w:val="en-US" w:eastAsia="zh-CN" w:bidi="ar"/>
                <w14:textFill>
                  <w14:solidFill>
                    <w14:schemeClr w14:val="tx1"/>
                  </w14:solidFill>
                </w14:textFill>
              </w:rPr>
              <w:t>10、4-11</w:t>
            </w:r>
            <w:r>
              <w:rPr>
                <w:rFonts w:hint="eastAsia" w:ascii="宋体" w:hAnsi="宋体" w:cs="宋体"/>
                <w:color w:val="000000" w:themeColor="text1"/>
                <w:kern w:val="0"/>
                <w:sz w:val="24"/>
                <w:highlight w:val="none"/>
                <w:lang w:bidi="ar"/>
                <w14:textFill>
                  <w14:solidFill>
                    <w14:schemeClr w14:val="tx1"/>
                  </w14:solidFill>
                </w14:textFill>
              </w:rPr>
              <w:t>。</w:t>
            </w:r>
          </w:p>
          <w:p w14:paraId="55B0B902">
            <w:pPr>
              <w:widowControl/>
              <w:jc w:val="left"/>
              <w:rPr>
                <w:color w:val="000000" w:themeColor="text1"/>
                <w:highlight w:val="none"/>
                <w14:textFill>
                  <w14:solidFill>
                    <w14:schemeClr w14:val="tx1"/>
                  </w14:solidFill>
                </w14:textFill>
              </w:rPr>
            </w:pPr>
          </w:p>
          <w:p w14:paraId="764F18B8">
            <w:pPr>
              <w:widowControl/>
              <w:jc w:val="left"/>
              <w:rPr>
                <w:rFonts w:ascii="宋体" w:hAnsi="宋体" w:cs="宋体"/>
                <w:b/>
                <w:bCs/>
                <w:color w:val="000000" w:themeColor="text1"/>
                <w:kern w:val="0"/>
                <w:sz w:val="24"/>
                <w:highlight w:val="none"/>
                <w:lang w:bidi="ar"/>
                <w14:textFill>
                  <w14:solidFill>
                    <w14:schemeClr w14:val="tx1"/>
                  </w14:solidFill>
                </w14:textFill>
              </w:rPr>
            </w:pPr>
          </w:p>
          <w:p w14:paraId="4AD56C19">
            <w:pPr>
              <w:widowControl/>
              <w:jc w:val="left"/>
              <w:rPr>
                <w:color w:val="000000" w:themeColor="text1"/>
                <w:highlight w:val="none"/>
                <w14:textFill>
                  <w14:solidFill>
                    <w14:schemeClr w14:val="tx1"/>
                  </w14:solidFill>
                </w14:textFill>
              </w:rPr>
            </w:pPr>
          </w:p>
          <w:p w14:paraId="37073BDC">
            <w:pPr>
              <w:widowControl/>
              <w:jc w:val="left"/>
              <w:rPr>
                <w:color w:val="000000" w:themeColor="text1"/>
                <w:highlight w:val="none"/>
                <w14:textFill>
                  <w14:solidFill>
                    <w14:schemeClr w14:val="tx1"/>
                  </w14:solidFill>
                </w14:textFill>
              </w:rPr>
            </w:pPr>
          </w:p>
          <w:p w14:paraId="73E19776">
            <w:pPr>
              <w:widowControl/>
              <w:jc w:val="left"/>
              <w:rPr>
                <w:rFonts w:ascii="宋体" w:hAnsi="宋体" w:cs="宋体"/>
                <w:b/>
                <w:bCs/>
                <w:color w:val="000000" w:themeColor="text1"/>
                <w:kern w:val="0"/>
                <w:sz w:val="24"/>
                <w:highlight w:val="none"/>
                <w:lang w:bidi="ar"/>
                <w14:textFill>
                  <w14:solidFill>
                    <w14:schemeClr w14:val="tx1"/>
                  </w14:solidFill>
                </w14:textFill>
              </w:rPr>
            </w:pPr>
          </w:p>
          <w:p w14:paraId="1315A0DD">
            <w:pPr>
              <w:widowControl/>
              <w:jc w:val="left"/>
              <w:rPr>
                <w:color w:val="000000" w:themeColor="text1"/>
                <w:highlight w:val="none"/>
                <w14:textFill>
                  <w14:solidFill>
                    <w14:schemeClr w14:val="tx1"/>
                  </w14:solidFill>
                </w14:textFill>
              </w:rPr>
            </w:pPr>
          </w:p>
          <w:p w14:paraId="2ADD9B09">
            <w:pPr>
              <w:widowControl/>
              <w:jc w:val="left"/>
              <w:rPr>
                <w:rFonts w:ascii="宋体" w:hAnsi="宋体" w:cs="宋体"/>
                <w:b/>
                <w:bCs/>
                <w:color w:val="000000" w:themeColor="text1"/>
                <w:kern w:val="0"/>
                <w:sz w:val="24"/>
                <w:highlight w:val="none"/>
                <w:lang w:bidi="ar"/>
                <w14:textFill>
                  <w14:solidFill>
                    <w14:schemeClr w14:val="tx1"/>
                  </w14:solidFill>
                </w14:textFill>
              </w:rPr>
            </w:pPr>
          </w:p>
          <w:p w14:paraId="1EF444E5">
            <w:pPr>
              <w:widowControl/>
              <w:jc w:val="left"/>
              <w:rPr>
                <w:color w:val="000000" w:themeColor="text1"/>
                <w:highlight w:val="none"/>
                <w14:textFill>
                  <w14:solidFill>
                    <w14:schemeClr w14:val="tx1"/>
                  </w14:solidFill>
                </w14:textFill>
              </w:rPr>
            </w:pPr>
          </w:p>
          <w:p w14:paraId="7DD99917">
            <w:pPr>
              <w:pStyle w:val="13"/>
              <w:rPr>
                <w:color w:val="000000" w:themeColor="text1"/>
                <w:highlight w:val="none"/>
                <w14:textFill>
                  <w14:solidFill>
                    <w14:schemeClr w14:val="tx1"/>
                  </w14:solidFill>
                </w14:textFill>
              </w:rPr>
            </w:pPr>
          </w:p>
        </w:tc>
      </w:tr>
    </w:tbl>
    <w:p w14:paraId="109710CD">
      <w:pPr>
        <w:rPr>
          <w:color w:val="000000" w:themeColor="text1"/>
          <w:highlight w:val="none"/>
          <w14:textFill>
            <w14:solidFill>
              <w14:schemeClr w14:val="tx1"/>
            </w14:solidFill>
          </w14:textFill>
        </w:rPr>
        <w:sectPr>
          <w:pgSz w:w="11907" w:h="16840"/>
          <w:pgMar w:top="1701" w:right="1531" w:bottom="2127" w:left="1531" w:header="851" w:footer="851" w:gutter="0"/>
          <w:pgNumType w:fmt="decimal"/>
          <w:cols w:space="720" w:num="1"/>
          <w:docGrid w:linePitch="312" w:charSpace="0"/>
        </w:sectPr>
      </w:pPr>
    </w:p>
    <w:tbl>
      <w:tblPr>
        <w:tblStyle w:val="18"/>
        <w:tblW w:w="5029"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330"/>
        <w:gridCol w:w="12894"/>
      </w:tblGrid>
      <w:tr w14:paraId="7FF374C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125" w:type="pct"/>
            <w:tcMar>
              <w:left w:w="28" w:type="dxa"/>
              <w:right w:w="28" w:type="dxa"/>
            </w:tcMar>
            <w:vAlign w:val="center"/>
          </w:tcPr>
          <w:p w14:paraId="6CE2D627">
            <w:pPr>
              <w:adjustRightInd w:val="0"/>
              <w:snapToGrid w:val="0"/>
              <w:jc w:val="center"/>
              <w:rPr>
                <w:rFonts w:ascii="宋体" w:hAnsi="宋体" w:cs="宋体"/>
                <w:bCs/>
                <w:color w:val="000000" w:themeColor="text1"/>
                <w:szCs w:val="21"/>
                <w:highlight w:val="none"/>
                <w14:textFill>
                  <w14:solidFill>
                    <w14:schemeClr w14:val="tx1"/>
                  </w14:solidFill>
                </w14:textFill>
              </w:rPr>
            </w:pPr>
          </w:p>
        </w:tc>
        <w:tc>
          <w:tcPr>
            <w:tcW w:w="4874" w:type="pct"/>
            <w:vAlign w:val="center"/>
          </w:tcPr>
          <w:p w14:paraId="514C91F5">
            <w:pPr>
              <w:pStyle w:val="13"/>
              <w:rPr>
                <w:color w:val="000000" w:themeColor="text1"/>
                <w:highlight w:val="none"/>
                <w14:textFill>
                  <w14:solidFill>
                    <w14:schemeClr w14:val="tx1"/>
                  </w14:solidFill>
                </w14:textFill>
              </w:rPr>
            </w:pPr>
          </w:p>
          <w:p w14:paraId="0DBCB771">
            <w:pPr>
              <w:pStyle w:val="23"/>
              <w:ind w:left="0"/>
              <w:jc w:val="center"/>
              <w:rPr>
                <w:color w:val="FF0000"/>
                <w:highlight w:val="none"/>
              </w:rPr>
            </w:pPr>
            <w:r>
              <w:rPr>
                <w:rFonts w:ascii="Times New Roman" w:hAnsi="Times New Roman"/>
                <w:b/>
                <w:bCs/>
                <w:color w:val="FF0000"/>
                <w:szCs w:val="21"/>
                <w:highlight w:val="none"/>
                <w:lang w:bidi="ar"/>
              </w:rPr>
              <w:t>表4-</w:t>
            </w:r>
            <w:r>
              <w:rPr>
                <w:rFonts w:hint="eastAsia" w:ascii="Times New Roman" w:hAnsi="Times New Roman"/>
                <w:b/>
                <w:bCs/>
                <w:color w:val="FF0000"/>
                <w:szCs w:val="21"/>
                <w:highlight w:val="none"/>
                <w:lang w:val="en-US" w:eastAsia="zh-CN" w:bidi="ar"/>
              </w:rPr>
              <w:t>10</w:t>
            </w:r>
            <w:r>
              <w:rPr>
                <w:rFonts w:hint="eastAsia" w:ascii="Times New Roman" w:hAnsi="Times New Roman"/>
                <w:b/>
                <w:bCs/>
                <w:color w:val="FF0000"/>
                <w:szCs w:val="21"/>
                <w:highlight w:val="none"/>
                <w:lang w:bidi="ar"/>
              </w:rPr>
              <w:t xml:space="preserve"> </w:t>
            </w:r>
            <w:r>
              <w:rPr>
                <w:rFonts w:ascii="Times New Roman" w:hAnsi="Times New Roman"/>
                <w:b/>
                <w:bCs/>
                <w:color w:val="FF0000"/>
                <w:szCs w:val="21"/>
                <w:highlight w:val="none"/>
                <w:lang w:bidi="ar"/>
              </w:rPr>
              <w:t xml:space="preserve"> 工业企业噪声源强调查清单</w:t>
            </w:r>
            <w:r>
              <w:rPr>
                <w:rFonts w:hint="eastAsia"/>
                <w:b/>
                <w:bCs/>
                <w:color w:val="FF0000"/>
                <w:szCs w:val="21"/>
                <w:highlight w:val="none"/>
                <w:lang w:bidi="ar"/>
              </w:rPr>
              <w:t>（室内声源）</w:t>
            </w:r>
            <w:r>
              <w:rPr>
                <w:rFonts w:ascii="Times New Roman" w:hAnsi="Times New Roman"/>
                <w:b/>
                <w:bCs/>
                <w:color w:val="FF0000"/>
                <w:szCs w:val="21"/>
                <w:highlight w:val="none"/>
                <w:lang w:bidi="ar"/>
              </w:rPr>
              <w:t xml:space="preserve"> </w:t>
            </w:r>
            <w:r>
              <w:rPr>
                <w:rFonts w:hint="eastAsia"/>
                <w:b/>
                <w:bCs/>
                <w:color w:val="FF0000"/>
                <w:szCs w:val="21"/>
                <w:highlight w:val="none"/>
                <w:lang w:bidi="ar"/>
              </w:rPr>
              <w:t>单位：</w:t>
            </w:r>
            <w:r>
              <w:rPr>
                <w:rFonts w:ascii="Times New Roman" w:hAnsi="Times New Roman"/>
                <w:b/>
                <w:bCs/>
                <w:color w:val="FF0000"/>
                <w:szCs w:val="21"/>
                <w:highlight w:val="none"/>
                <w:lang w:bidi="ar"/>
              </w:rPr>
              <w:t>dB（A）</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57"/>
              <w:gridCol w:w="818"/>
              <w:gridCol w:w="742"/>
              <w:gridCol w:w="923"/>
              <w:gridCol w:w="986"/>
              <w:gridCol w:w="1123"/>
              <w:gridCol w:w="862"/>
              <w:gridCol w:w="1037"/>
              <w:gridCol w:w="1341"/>
              <w:gridCol w:w="910"/>
              <w:gridCol w:w="910"/>
              <w:gridCol w:w="1194"/>
              <w:gridCol w:w="1070"/>
            </w:tblGrid>
            <w:tr w14:paraId="7E21C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9" w:type="pct"/>
                  <w:vMerge w:val="restart"/>
                  <w:tcBorders>
                    <w:tl2br w:val="nil"/>
                    <w:tr2bl w:val="nil"/>
                  </w:tcBorders>
                  <w:vAlign w:val="center"/>
                </w:tcPr>
                <w:p w14:paraId="19707095">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建筑物名称</w:t>
                  </w:r>
                </w:p>
              </w:tc>
              <w:tc>
                <w:tcPr>
                  <w:tcW w:w="323" w:type="pct"/>
                  <w:vMerge w:val="restart"/>
                  <w:tcBorders>
                    <w:tl2br w:val="nil"/>
                    <w:tr2bl w:val="nil"/>
                  </w:tcBorders>
                  <w:vAlign w:val="center"/>
                </w:tcPr>
                <w:p w14:paraId="5A316208">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声源名称</w:t>
                  </w:r>
                </w:p>
              </w:tc>
              <w:tc>
                <w:tcPr>
                  <w:tcW w:w="293" w:type="pct"/>
                  <w:vMerge w:val="restart"/>
                  <w:tcBorders>
                    <w:tl2br w:val="nil"/>
                    <w:tr2bl w:val="nil"/>
                  </w:tcBorders>
                  <w:vAlign w:val="center"/>
                </w:tcPr>
                <w:p w14:paraId="17C901D7">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声源源强</w:t>
                  </w:r>
                </w:p>
              </w:tc>
              <w:tc>
                <w:tcPr>
                  <w:tcW w:w="364" w:type="pct"/>
                  <w:vMerge w:val="restart"/>
                  <w:tcBorders>
                    <w:tl2br w:val="nil"/>
                    <w:tr2bl w:val="nil"/>
                  </w:tcBorders>
                  <w:vAlign w:val="center"/>
                </w:tcPr>
                <w:p w14:paraId="14CB2C6B">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声源控制措施</w:t>
                  </w:r>
                </w:p>
              </w:tc>
              <w:tc>
                <w:tcPr>
                  <w:tcW w:w="1172" w:type="pct"/>
                  <w:gridSpan w:val="3"/>
                  <w:tcBorders>
                    <w:tl2br w:val="nil"/>
                    <w:tr2bl w:val="nil"/>
                  </w:tcBorders>
                  <w:vAlign w:val="center"/>
                </w:tcPr>
                <w:p w14:paraId="1FD0FC9B">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空间相对位置</w:t>
                  </w:r>
                  <w:r>
                    <w:rPr>
                      <w:rFonts w:hint="eastAsia" w:ascii="宋体" w:hAnsi="宋体" w:cs="宋体"/>
                      <w:color w:val="FF0000"/>
                      <w:kern w:val="0"/>
                      <w:sz w:val="16"/>
                      <w:szCs w:val="16"/>
                      <w:highlight w:val="none"/>
                      <w:lang w:bidi="ar"/>
                    </w:rPr>
                    <w:t>①</w:t>
                  </w:r>
                </w:p>
              </w:tc>
              <w:tc>
                <w:tcPr>
                  <w:tcW w:w="409" w:type="pct"/>
                  <w:vMerge w:val="restart"/>
                  <w:tcBorders>
                    <w:tl2br w:val="nil"/>
                    <w:tr2bl w:val="nil"/>
                  </w:tcBorders>
                  <w:vAlign w:val="center"/>
                </w:tcPr>
                <w:p w14:paraId="33473D31">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rFonts w:hint="default" w:eastAsia="宋体"/>
                      <w:b/>
                      <w:bCs/>
                      <w:color w:val="FF0000"/>
                      <w:sz w:val="20"/>
                      <w:szCs w:val="20"/>
                      <w:highlight w:val="none"/>
                      <w:lang w:val="en-US" w:eastAsia="zh-CN"/>
                    </w:rPr>
                  </w:pPr>
                  <w:r>
                    <w:rPr>
                      <w:b/>
                      <w:bCs/>
                      <w:color w:val="FF0000"/>
                      <w:sz w:val="20"/>
                      <w:szCs w:val="20"/>
                      <w:highlight w:val="none"/>
                    </w:rPr>
                    <w:t>距离室内边界距离</w:t>
                  </w:r>
                  <w:r>
                    <w:rPr>
                      <w:rFonts w:hint="eastAsia"/>
                      <w:b/>
                      <w:bCs/>
                      <w:color w:val="FF0000"/>
                      <w:sz w:val="20"/>
                      <w:szCs w:val="20"/>
                      <w:highlight w:val="none"/>
                      <w:lang w:val="en-US" w:eastAsia="zh-CN"/>
                    </w:rPr>
                    <w:t xml:space="preserve"> m</w:t>
                  </w:r>
                </w:p>
              </w:tc>
              <w:tc>
                <w:tcPr>
                  <w:tcW w:w="529" w:type="pct"/>
                  <w:vMerge w:val="restart"/>
                  <w:tcBorders>
                    <w:tl2br w:val="nil"/>
                    <w:tr2bl w:val="nil"/>
                  </w:tcBorders>
                  <w:vAlign w:val="center"/>
                </w:tcPr>
                <w:p w14:paraId="6BBA0601">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rFonts w:hint="eastAsia" w:eastAsia="宋体"/>
                      <w:b/>
                      <w:bCs/>
                      <w:color w:val="FF0000"/>
                      <w:sz w:val="20"/>
                      <w:szCs w:val="20"/>
                      <w:highlight w:val="none"/>
                      <w:lang w:val="en-US" w:eastAsia="zh-CN"/>
                    </w:rPr>
                  </w:pPr>
                  <w:r>
                    <w:rPr>
                      <w:b/>
                      <w:bCs/>
                      <w:color w:val="FF0000"/>
                      <w:sz w:val="20"/>
                      <w:szCs w:val="20"/>
                      <w:highlight w:val="none"/>
                    </w:rPr>
                    <w:t>室内边界声级</w:t>
                  </w:r>
                </w:p>
              </w:tc>
              <w:tc>
                <w:tcPr>
                  <w:tcW w:w="359" w:type="pct"/>
                  <w:vMerge w:val="restart"/>
                  <w:tcBorders>
                    <w:tl2br w:val="nil"/>
                    <w:tr2bl w:val="nil"/>
                  </w:tcBorders>
                  <w:vAlign w:val="center"/>
                </w:tcPr>
                <w:p w14:paraId="0ED7F72E">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运行时段</w:t>
                  </w:r>
                </w:p>
              </w:tc>
              <w:tc>
                <w:tcPr>
                  <w:tcW w:w="359" w:type="pct"/>
                  <w:vMerge w:val="restart"/>
                  <w:tcBorders>
                    <w:tl2br w:val="nil"/>
                    <w:tr2bl w:val="nil"/>
                  </w:tcBorders>
                  <w:vAlign w:val="center"/>
                </w:tcPr>
                <w:p w14:paraId="11D5FD54">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建筑物插入损失</w:t>
                  </w:r>
                </w:p>
              </w:tc>
              <w:tc>
                <w:tcPr>
                  <w:tcW w:w="891" w:type="pct"/>
                  <w:gridSpan w:val="2"/>
                  <w:tcBorders>
                    <w:tl2br w:val="nil"/>
                    <w:tr2bl w:val="nil"/>
                  </w:tcBorders>
                  <w:vAlign w:val="center"/>
                </w:tcPr>
                <w:p w14:paraId="12F14082">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建筑物外噪声</w:t>
                  </w:r>
                </w:p>
              </w:tc>
            </w:tr>
            <w:tr w14:paraId="730F8E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9" w:type="pct"/>
                  <w:vMerge w:val="continue"/>
                  <w:tcBorders>
                    <w:tl2br w:val="nil"/>
                    <w:tr2bl w:val="nil"/>
                  </w:tcBorders>
                  <w:vAlign w:val="center"/>
                </w:tcPr>
                <w:p w14:paraId="2C6DFEA4">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23" w:type="pct"/>
                  <w:vMerge w:val="continue"/>
                  <w:tcBorders>
                    <w:tl2br w:val="nil"/>
                    <w:tr2bl w:val="nil"/>
                  </w:tcBorders>
                  <w:vAlign w:val="center"/>
                </w:tcPr>
                <w:p w14:paraId="47ECFC39">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293" w:type="pct"/>
                  <w:vMerge w:val="continue"/>
                  <w:tcBorders>
                    <w:tl2br w:val="nil"/>
                    <w:tr2bl w:val="nil"/>
                  </w:tcBorders>
                  <w:vAlign w:val="center"/>
                </w:tcPr>
                <w:p w14:paraId="47C90494">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64" w:type="pct"/>
                  <w:vMerge w:val="continue"/>
                  <w:tcBorders>
                    <w:tl2br w:val="nil"/>
                    <w:tr2bl w:val="nil"/>
                  </w:tcBorders>
                  <w:vAlign w:val="center"/>
                </w:tcPr>
                <w:p w14:paraId="2468D7EA">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89" w:type="pct"/>
                  <w:tcBorders>
                    <w:tl2br w:val="nil"/>
                    <w:tr2bl w:val="nil"/>
                  </w:tcBorders>
                  <w:vAlign w:val="center"/>
                </w:tcPr>
                <w:p w14:paraId="0AB0575A">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X</w:t>
                  </w:r>
                </w:p>
              </w:tc>
              <w:tc>
                <w:tcPr>
                  <w:tcW w:w="443" w:type="pct"/>
                  <w:tcBorders>
                    <w:tl2br w:val="nil"/>
                    <w:tr2bl w:val="nil"/>
                  </w:tcBorders>
                  <w:vAlign w:val="center"/>
                </w:tcPr>
                <w:p w14:paraId="53009771">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Y</w:t>
                  </w:r>
                </w:p>
              </w:tc>
              <w:tc>
                <w:tcPr>
                  <w:tcW w:w="340" w:type="pct"/>
                  <w:tcBorders>
                    <w:tl2br w:val="nil"/>
                    <w:tr2bl w:val="nil"/>
                  </w:tcBorders>
                  <w:vAlign w:val="center"/>
                </w:tcPr>
                <w:p w14:paraId="6732A8D9">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Z</w:t>
                  </w:r>
                </w:p>
              </w:tc>
              <w:tc>
                <w:tcPr>
                  <w:tcW w:w="409" w:type="pct"/>
                  <w:vMerge w:val="continue"/>
                  <w:tcBorders>
                    <w:tl2br w:val="nil"/>
                    <w:tr2bl w:val="nil"/>
                  </w:tcBorders>
                  <w:vAlign w:val="center"/>
                </w:tcPr>
                <w:p w14:paraId="22F8890B">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529" w:type="pct"/>
                  <w:vMerge w:val="continue"/>
                  <w:tcBorders>
                    <w:tl2br w:val="nil"/>
                    <w:tr2bl w:val="nil"/>
                  </w:tcBorders>
                  <w:vAlign w:val="center"/>
                </w:tcPr>
                <w:p w14:paraId="580A5293">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59" w:type="pct"/>
                  <w:vMerge w:val="continue"/>
                  <w:tcBorders>
                    <w:tl2br w:val="nil"/>
                    <w:tr2bl w:val="nil"/>
                  </w:tcBorders>
                  <w:vAlign w:val="center"/>
                </w:tcPr>
                <w:p w14:paraId="4728802A">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59" w:type="pct"/>
                  <w:vMerge w:val="continue"/>
                  <w:tcBorders>
                    <w:tl2br w:val="nil"/>
                    <w:tr2bl w:val="nil"/>
                  </w:tcBorders>
                  <w:vAlign w:val="center"/>
                </w:tcPr>
                <w:p w14:paraId="402ACB0A">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471" w:type="pct"/>
                  <w:tcBorders>
                    <w:tl2br w:val="nil"/>
                    <w:tr2bl w:val="nil"/>
                  </w:tcBorders>
                  <w:vAlign w:val="center"/>
                </w:tcPr>
                <w:p w14:paraId="48BA6A6E">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声压级</w:t>
                  </w:r>
                </w:p>
              </w:tc>
              <w:tc>
                <w:tcPr>
                  <w:tcW w:w="420" w:type="pct"/>
                  <w:tcBorders>
                    <w:tl2br w:val="nil"/>
                    <w:tr2bl w:val="nil"/>
                  </w:tcBorders>
                  <w:vAlign w:val="center"/>
                </w:tcPr>
                <w:p w14:paraId="41856C2A">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b/>
                      <w:bCs/>
                      <w:color w:val="FF0000"/>
                      <w:sz w:val="20"/>
                      <w:szCs w:val="20"/>
                      <w:highlight w:val="none"/>
                    </w:rPr>
                  </w:pPr>
                  <w:r>
                    <w:rPr>
                      <w:b/>
                      <w:bCs/>
                      <w:color w:val="FF0000"/>
                      <w:sz w:val="20"/>
                      <w:szCs w:val="20"/>
                      <w:highlight w:val="none"/>
                    </w:rPr>
                    <w:t>建筑物外距离</w:t>
                  </w:r>
                  <w:r>
                    <w:rPr>
                      <w:rFonts w:hint="eastAsia"/>
                      <w:b/>
                      <w:bCs/>
                      <w:color w:val="FF0000"/>
                      <w:sz w:val="20"/>
                      <w:szCs w:val="20"/>
                      <w:highlight w:val="none"/>
                    </w:rPr>
                    <w:t>/m</w:t>
                  </w:r>
                </w:p>
              </w:tc>
            </w:tr>
            <w:tr w14:paraId="4CBD24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9" w:type="pct"/>
                  <w:vMerge w:val="restart"/>
                  <w:tcBorders>
                    <w:tl2br w:val="nil"/>
                    <w:tr2bl w:val="nil"/>
                  </w:tcBorders>
                  <w:vAlign w:val="center"/>
                </w:tcPr>
                <w:p w14:paraId="5853CEE5">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rFonts w:hint="eastAsia" w:eastAsia="宋体"/>
                      <w:color w:val="FF0000"/>
                      <w:sz w:val="20"/>
                      <w:szCs w:val="20"/>
                      <w:highlight w:val="none"/>
                      <w:lang w:eastAsia="zh-CN"/>
                    </w:rPr>
                  </w:pPr>
                  <w:r>
                    <w:rPr>
                      <w:rFonts w:hint="eastAsia"/>
                      <w:color w:val="FF0000"/>
                      <w:sz w:val="20"/>
                      <w:szCs w:val="20"/>
                      <w:highlight w:val="none"/>
                    </w:rPr>
                    <w:t>碎石车间</w:t>
                  </w:r>
                  <w:r>
                    <w:rPr>
                      <w:rFonts w:hint="eastAsia"/>
                      <w:color w:val="FF0000"/>
                      <w:sz w:val="20"/>
                      <w:szCs w:val="20"/>
                      <w:highlight w:val="none"/>
                      <w:lang w:eastAsia="zh-CN"/>
                    </w:rPr>
                    <w:t>（</w:t>
                  </w:r>
                  <w:r>
                    <w:rPr>
                      <w:rFonts w:hint="eastAsia"/>
                      <w:color w:val="FF0000"/>
                      <w:sz w:val="20"/>
                      <w:szCs w:val="20"/>
                      <w:highlight w:val="none"/>
                      <w:lang w:val="en-US" w:eastAsia="zh-CN"/>
                    </w:rPr>
                    <w:t>全封闭</w:t>
                  </w:r>
                  <w:r>
                    <w:rPr>
                      <w:rFonts w:hint="eastAsia"/>
                      <w:color w:val="FF0000"/>
                      <w:sz w:val="20"/>
                      <w:szCs w:val="20"/>
                      <w:highlight w:val="none"/>
                      <w:lang w:eastAsia="zh-CN"/>
                    </w:rPr>
                    <w:t>）</w:t>
                  </w:r>
                </w:p>
              </w:tc>
              <w:tc>
                <w:tcPr>
                  <w:tcW w:w="323" w:type="pct"/>
                  <w:tcBorders>
                    <w:tl2br w:val="nil"/>
                    <w:tr2bl w:val="nil"/>
                  </w:tcBorders>
                  <w:vAlign w:val="center"/>
                </w:tcPr>
                <w:p w14:paraId="505D55E9">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color w:val="FF0000"/>
                      <w:sz w:val="20"/>
                      <w:szCs w:val="20"/>
                      <w:highlight w:val="none"/>
                    </w:rPr>
                    <w:t>给料机</w:t>
                  </w:r>
                </w:p>
              </w:tc>
              <w:tc>
                <w:tcPr>
                  <w:tcW w:w="293" w:type="pct"/>
                  <w:tcBorders>
                    <w:tl2br w:val="nil"/>
                    <w:tr2bl w:val="nil"/>
                  </w:tcBorders>
                  <w:vAlign w:val="center"/>
                </w:tcPr>
                <w:p w14:paraId="61589C8B">
                  <w:pPr>
                    <w:keepNext w:val="0"/>
                    <w:keepLines w:val="0"/>
                    <w:pageBreakBefore w:val="0"/>
                    <w:widowControl/>
                    <w:kinsoku/>
                    <w:wordWrap/>
                    <w:overflowPunct/>
                    <w:topLinePunct w:val="0"/>
                    <w:autoSpaceDE/>
                    <w:autoSpaceDN/>
                    <w:bidi w:val="0"/>
                    <w:adjustRightInd/>
                    <w:snapToGrid/>
                    <w:jc w:val="center"/>
                    <w:rPr>
                      <w:rFonts w:hint="default" w:eastAsia="宋体"/>
                      <w:color w:val="FF0000"/>
                      <w:sz w:val="20"/>
                      <w:szCs w:val="20"/>
                      <w:highlight w:val="none"/>
                      <w:lang w:val="en-US" w:eastAsia="zh-CN"/>
                    </w:rPr>
                  </w:pPr>
                  <w:r>
                    <w:rPr>
                      <w:rFonts w:hint="eastAsia"/>
                      <w:color w:val="FF0000"/>
                      <w:kern w:val="0"/>
                      <w:sz w:val="20"/>
                      <w:szCs w:val="20"/>
                      <w:highlight w:val="none"/>
                      <w:lang w:val="en-US" w:eastAsia="zh-CN" w:bidi="ar"/>
                    </w:rPr>
                    <w:t>85</w:t>
                  </w:r>
                </w:p>
              </w:tc>
              <w:tc>
                <w:tcPr>
                  <w:tcW w:w="364" w:type="pct"/>
                  <w:vMerge w:val="restart"/>
                  <w:tcBorders>
                    <w:tl2br w:val="nil"/>
                    <w:tr2bl w:val="nil"/>
                  </w:tcBorders>
                  <w:vAlign w:val="center"/>
                </w:tcPr>
                <w:p w14:paraId="0DB41937">
                  <w:pPr>
                    <w:keepNext w:val="0"/>
                    <w:keepLines w:val="0"/>
                    <w:pageBreakBefore w:val="0"/>
                    <w:widowControl/>
                    <w:kinsoku/>
                    <w:wordWrap/>
                    <w:overflowPunct/>
                    <w:topLinePunct w:val="0"/>
                    <w:autoSpaceDE/>
                    <w:autoSpaceDN/>
                    <w:bidi w:val="0"/>
                    <w:adjustRightInd/>
                    <w:snapToGrid/>
                    <w:jc w:val="center"/>
                    <w:rPr>
                      <w:color w:val="FF0000"/>
                      <w:sz w:val="20"/>
                      <w:szCs w:val="20"/>
                      <w:highlight w:val="none"/>
                    </w:rPr>
                  </w:pPr>
                  <w:r>
                    <w:rPr>
                      <w:color w:val="FF0000"/>
                      <w:kern w:val="0"/>
                      <w:sz w:val="20"/>
                      <w:szCs w:val="20"/>
                      <w:highlight w:val="none"/>
                      <w:lang w:bidi="ar"/>
                    </w:rPr>
                    <w:t>低噪</w:t>
                  </w:r>
                  <w:r>
                    <w:rPr>
                      <w:color w:val="FF0000"/>
                      <w:sz w:val="20"/>
                      <w:szCs w:val="20"/>
                      <w:highlight w:val="none"/>
                    </w:rPr>
                    <w:t>声</w:t>
                  </w:r>
                  <w:r>
                    <w:rPr>
                      <w:color w:val="FF0000"/>
                      <w:kern w:val="0"/>
                      <w:sz w:val="20"/>
                      <w:szCs w:val="20"/>
                      <w:highlight w:val="none"/>
                      <w:lang w:bidi="ar"/>
                    </w:rPr>
                    <w:t>设备、合理布局、基础减振、厂房隔声</w:t>
                  </w:r>
                </w:p>
              </w:tc>
              <w:tc>
                <w:tcPr>
                  <w:tcW w:w="389" w:type="pct"/>
                  <w:tcBorders>
                    <w:tl2br w:val="nil"/>
                    <w:tr2bl w:val="nil"/>
                  </w:tcBorders>
                  <w:vAlign w:val="center"/>
                </w:tcPr>
                <w:p w14:paraId="1B4D59E2">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-5</w:t>
                  </w:r>
                </w:p>
              </w:tc>
              <w:tc>
                <w:tcPr>
                  <w:tcW w:w="443" w:type="pct"/>
                  <w:tcBorders>
                    <w:tl2br w:val="nil"/>
                    <w:tr2bl w:val="nil"/>
                  </w:tcBorders>
                  <w:vAlign w:val="center"/>
                </w:tcPr>
                <w:p w14:paraId="7E95F6AC">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-26</w:t>
                  </w:r>
                </w:p>
              </w:tc>
              <w:tc>
                <w:tcPr>
                  <w:tcW w:w="340" w:type="pct"/>
                  <w:tcBorders>
                    <w:tl2br w:val="nil"/>
                    <w:tr2bl w:val="nil"/>
                  </w:tcBorders>
                  <w:vAlign w:val="center"/>
                </w:tcPr>
                <w:p w14:paraId="7572E986">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4</w:t>
                  </w:r>
                </w:p>
              </w:tc>
              <w:tc>
                <w:tcPr>
                  <w:tcW w:w="409" w:type="pct"/>
                  <w:tcBorders>
                    <w:tl2br w:val="nil"/>
                    <w:tr2bl w:val="nil"/>
                  </w:tcBorders>
                  <w:vAlign w:val="center"/>
                </w:tcPr>
                <w:p w14:paraId="221C2224">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1</w:t>
                  </w:r>
                </w:p>
              </w:tc>
              <w:tc>
                <w:tcPr>
                  <w:tcW w:w="529" w:type="pct"/>
                  <w:tcBorders>
                    <w:tl2br w:val="nil"/>
                    <w:tr2bl w:val="nil"/>
                  </w:tcBorders>
                  <w:vAlign w:val="center"/>
                </w:tcPr>
                <w:p w14:paraId="284E0010">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85</w:t>
                  </w:r>
                </w:p>
              </w:tc>
              <w:tc>
                <w:tcPr>
                  <w:tcW w:w="359" w:type="pct"/>
                  <w:vMerge w:val="restart"/>
                  <w:tcBorders>
                    <w:tl2br w:val="nil"/>
                    <w:tr2bl w:val="nil"/>
                  </w:tcBorders>
                  <w:vAlign w:val="center"/>
                </w:tcPr>
                <w:p w14:paraId="55B9E3D4">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2"/>
                      <w:highlight w:val="none"/>
                    </w:rPr>
                  </w:pPr>
                  <w:r>
                    <w:rPr>
                      <w:color w:val="FF0000"/>
                      <w:sz w:val="20"/>
                      <w:szCs w:val="20"/>
                      <w:highlight w:val="none"/>
                    </w:rPr>
                    <w:t>昼间</w:t>
                  </w:r>
                </w:p>
              </w:tc>
              <w:tc>
                <w:tcPr>
                  <w:tcW w:w="359" w:type="pct"/>
                  <w:tcBorders>
                    <w:tl2br w:val="nil"/>
                    <w:tr2bl w:val="nil"/>
                  </w:tcBorders>
                  <w:vAlign w:val="center"/>
                </w:tcPr>
                <w:p w14:paraId="18D04176">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rFonts w:hint="eastAsia"/>
                      <w:color w:val="FF0000"/>
                      <w:sz w:val="20"/>
                      <w:szCs w:val="20"/>
                      <w:highlight w:val="none"/>
                    </w:rPr>
                    <w:t>20</w:t>
                  </w:r>
                </w:p>
              </w:tc>
              <w:tc>
                <w:tcPr>
                  <w:tcW w:w="1194" w:type="dxa"/>
                  <w:tcBorders>
                    <w:tl2br w:val="nil"/>
                    <w:tr2bl w:val="nil"/>
                  </w:tcBorders>
                  <w:vAlign w:val="center"/>
                </w:tcPr>
                <w:p w14:paraId="0684E63C">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color w:val="FF0000"/>
                      <w:sz w:val="20"/>
                      <w:szCs w:val="20"/>
                      <w:highlight w:val="none"/>
                      <w:lang w:val="en-US"/>
                    </w:rPr>
                  </w:pPr>
                  <w:r>
                    <w:rPr>
                      <w:rFonts w:hint="eastAsia"/>
                      <w:color w:val="FF0000"/>
                      <w:sz w:val="20"/>
                      <w:szCs w:val="20"/>
                      <w:highlight w:val="none"/>
                      <w:lang w:val="en-US" w:eastAsia="zh-CN"/>
                    </w:rPr>
                    <w:t>65</w:t>
                  </w:r>
                </w:p>
              </w:tc>
              <w:tc>
                <w:tcPr>
                  <w:tcW w:w="420" w:type="pct"/>
                  <w:tcBorders>
                    <w:tl2br w:val="nil"/>
                    <w:tr2bl w:val="nil"/>
                  </w:tcBorders>
                  <w:vAlign w:val="center"/>
                </w:tcPr>
                <w:p w14:paraId="7CF87D08">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color w:val="FF0000"/>
                      <w:sz w:val="20"/>
                      <w:szCs w:val="20"/>
                      <w:highlight w:val="none"/>
                    </w:rPr>
                    <w:t>1</w:t>
                  </w:r>
                </w:p>
              </w:tc>
            </w:tr>
            <w:tr w14:paraId="1876F9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9" w:type="pct"/>
                  <w:vMerge w:val="continue"/>
                  <w:tcBorders>
                    <w:tl2br w:val="nil"/>
                    <w:tr2bl w:val="nil"/>
                  </w:tcBorders>
                  <w:vAlign w:val="center"/>
                </w:tcPr>
                <w:p w14:paraId="13A8BD62">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23" w:type="pct"/>
                  <w:tcBorders>
                    <w:tl2br w:val="nil"/>
                    <w:tr2bl w:val="nil"/>
                  </w:tcBorders>
                  <w:vAlign w:val="center"/>
                </w:tcPr>
                <w:p w14:paraId="20C16F2B">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color w:val="FF0000"/>
                      <w:sz w:val="20"/>
                      <w:szCs w:val="20"/>
                      <w:highlight w:val="none"/>
                    </w:rPr>
                    <w:t>颚式破碎机</w:t>
                  </w:r>
                </w:p>
              </w:tc>
              <w:tc>
                <w:tcPr>
                  <w:tcW w:w="293" w:type="pct"/>
                  <w:tcBorders>
                    <w:tl2br w:val="nil"/>
                    <w:tr2bl w:val="nil"/>
                  </w:tcBorders>
                  <w:vAlign w:val="center"/>
                </w:tcPr>
                <w:p w14:paraId="28F28017">
                  <w:pPr>
                    <w:keepNext w:val="0"/>
                    <w:keepLines w:val="0"/>
                    <w:pageBreakBefore w:val="0"/>
                    <w:widowControl/>
                    <w:kinsoku/>
                    <w:wordWrap/>
                    <w:overflowPunct/>
                    <w:topLinePunct w:val="0"/>
                    <w:autoSpaceDE/>
                    <w:autoSpaceDN/>
                    <w:bidi w:val="0"/>
                    <w:adjustRightInd/>
                    <w:snapToGrid/>
                    <w:jc w:val="center"/>
                    <w:rPr>
                      <w:rFonts w:hint="default" w:eastAsia="宋体"/>
                      <w:color w:val="FF0000"/>
                      <w:sz w:val="20"/>
                      <w:szCs w:val="20"/>
                      <w:highlight w:val="none"/>
                      <w:lang w:val="en-US" w:eastAsia="zh-CN"/>
                    </w:rPr>
                  </w:pPr>
                  <w:r>
                    <w:rPr>
                      <w:rFonts w:hint="eastAsia"/>
                      <w:color w:val="FF0000"/>
                      <w:kern w:val="0"/>
                      <w:sz w:val="20"/>
                      <w:szCs w:val="20"/>
                      <w:highlight w:val="none"/>
                      <w:lang w:val="en-US" w:eastAsia="zh-CN" w:bidi="ar"/>
                    </w:rPr>
                    <w:t>95</w:t>
                  </w:r>
                </w:p>
              </w:tc>
              <w:tc>
                <w:tcPr>
                  <w:tcW w:w="364" w:type="pct"/>
                  <w:vMerge w:val="continue"/>
                  <w:tcBorders>
                    <w:tl2br w:val="nil"/>
                    <w:tr2bl w:val="nil"/>
                  </w:tcBorders>
                  <w:vAlign w:val="center"/>
                </w:tcPr>
                <w:p w14:paraId="45654727">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89" w:type="pct"/>
                  <w:tcBorders>
                    <w:tl2br w:val="nil"/>
                    <w:tr2bl w:val="nil"/>
                  </w:tcBorders>
                  <w:vAlign w:val="center"/>
                </w:tcPr>
                <w:p w14:paraId="7E2B2C79">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-5</w:t>
                  </w:r>
                </w:p>
              </w:tc>
              <w:tc>
                <w:tcPr>
                  <w:tcW w:w="443" w:type="pct"/>
                  <w:tcBorders>
                    <w:tl2br w:val="nil"/>
                    <w:tr2bl w:val="nil"/>
                  </w:tcBorders>
                  <w:vAlign w:val="center"/>
                </w:tcPr>
                <w:p w14:paraId="412444CD">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-22</w:t>
                  </w:r>
                </w:p>
              </w:tc>
              <w:tc>
                <w:tcPr>
                  <w:tcW w:w="340" w:type="pct"/>
                  <w:tcBorders>
                    <w:tl2br w:val="nil"/>
                    <w:tr2bl w:val="nil"/>
                  </w:tcBorders>
                  <w:vAlign w:val="center"/>
                </w:tcPr>
                <w:p w14:paraId="029B7E3A">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2</w:t>
                  </w:r>
                </w:p>
              </w:tc>
              <w:tc>
                <w:tcPr>
                  <w:tcW w:w="409" w:type="pct"/>
                  <w:tcBorders>
                    <w:tl2br w:val="nil"/>
                    <w:tr2bl w:val="nil"/>
                  </w:tcBorders>
                  <w:vAlign w:val="center"/>
                </w:tcPr>
                <w:p w14:paraId="480099C8">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2</w:t>
                  </w:r>
                </w:p>
              </w:tc>
              <w:tc>
                <w:tcPr>
                  <w:tcW w:w="529" w:type="pct"/>
                  <w:tcBorders>
                    <w:tl2br w:val="nil"/>
                    <w:tr2bl w:val="nil"/>
                  </w:tcBorders>
                  <w:vAlign w:val="center"/>
                </w:tcPr>
                <w:p w14:paraId="4B9D0638">
                  <w:pPr>
                    <w:keepNext w:val="0"/>
                    <w:keepLines w:val="0"/>
                    <w:pageBreakBefore w:val="0"/>
                    <w:widowControl/>
                    <w:kinsoku/>
                    <w:wordWrap/>
                    <w:overflowPunct/>
                    <w:topLinePunct w:val="0"/>
                    <w:autoSpaceDE/>
                    <w:autoSpaceDN/>
                    <w:bidi w:val="0"/>
                    <w:adjustRightInd/>
                    <w:snapToGrid/>
                    <w:jc w:val="center"/>
                    <w:rPr>
                      <w:rFonts w:hint="default"/>
                      <w:color w:val="FF0000"/>
                      <w:kern w:val="0"/>
                      <w:sz w:val="20"/>
                      <w:szCs w:val="20"/>
                      <w:highlight w:val="none"/>
                      <w:lang w:val="en-US" w:eastAsia="zh-CN" w:bidi="ar"/>
                    </w:rPr>
                  </w:pPr>
                  <w:r>
                    <w:rPr>
                      <w:rFonts w:hint="eastAsia"/>
                      <w:color w:val="FF0000"/>
                      <w:kern w:val="0"/>
                      <w:sz w:val="20"/>
                      <w:szCs w:val="20"/>
                      <w:highlight w:val="none"/>
                      <w:lang w:val="en-US" w:eastAsia="zh-CN" w:bidi="ar"/>
                    </w:rPr>
                    <w:t>89</w:t>
                  </w:r>
                </w:p>
              </w:tc>
              <w:tc>
                <w:tcPr>
                  <w:tcW w:w="359" w:type="pct"/>
                  <w:vMerge w:val="continue"/>
                  <w:tcBorders>
                    <w:tl2br w:val="nil"/>
                    <w:tr2bl w:val="nil"/>
                  </w:tcBorders>
                  <w:vAlign w:val="center"/>
                </w:tcPr>
                <w:p w14:paraId="7B71D5F7">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59" w:type="pct"/>
                  <w:tcBorders>
                    <w:tl2br w:val="nil"/>
                    <w:tr2bl w:val="nil"/>
                  </w:tcBorders>
                  <w:vAlign w:val="center"/>
                </w:tcPr>
                <w:p w14:paraId="665AC668">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rFonts w:hint="eastAsia"/>
                      <w:color w:val="FF0000"/>
                      <w:sz w:val="20"/>
                      <w:szCs w:val="20"/>
                      <w:highlight w:val="none"/>
                    </w:rPr>
                    <w:t>20</w:t>
                  </w:r>
                </w:p>
              </w:tc>
              <w:tc>
                <w:tcPr>
                  <w:tcW w:w="1194" w:type="dxa"/>
                  <w:tcBorders>
                    <w:tl2br w:val="nil"/>
                    <w:tr2bl w:val="nil"/>
                  </w:tcBorders>
                  <w:vAlign w:val="center"/>
                </w:tcPr>
                <w:p w14:paraId="2BC60B1E">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color w:val="FF0000"/>
                      <w:sz w:val="20"/>
                      <w:szCs w:val="20"/>
                      <w:highlight w:val="none"/>
                      <w:lang w:val="en-US"/>
                    </w:rPr>
                  </w:pPr>
                  <w:r>
                    <w:rPr>
                      <w:rFonts w:hint="eastAsia"/>
                      <w:color w:val="FF0000"/>
                      <w:sz w:val="20"/>
                      <w:szCs w:val="20"/>
                      <w:highlight w:val="none"/>
                      <w:lang w:val="en-US" w:eastAsia="zh-CN"/>
                    </w:rPr>
                    <w:t>69</w:t>
                  </w:r>
                </w:p>
              </w:tc>
              <w:tc>
                <w:tcPr>
                  <w:tcW w:w="420" w:type="pct"/>
                  <w:tcBorders>
                    <w:tl2br w:val="nil"/>
                    <w:tr2bl w:val="nil"/>
                  </w:tcBorders>
                  <w:vAlign w:val="center"/>
                </w:tcPr>
                <w:p w14:paraId="69E274C1">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color w:val="FF0000"/>
                      <w:sz w:val="20"/>
                      <w:szCs w:val="20"/>
                      <w:highlight w:val="none"/>
                    </w:rPr>
                    <w:t>1</w:t>
                  </w:r>
                </w:p>
              </w:tc>
            </w:tr>
            <w:tr w14:paraId="11F772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9" w:type="pct"/>
                  <w:vMerge w:val="continue"/>
                  <w:tcBorders>
                    <w:tl2br w:val="nil"/>
                    <w:tr2bl w:val="nil"/>
                  </w:tcBorders>
                  <w:vAlign w:val="center"/>
                </w:tcPr>
                <w:p w14:paraId="423F05B8">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23" w:type="pct"/>
                  <w:tcBorders>
                    <w:tl2br w:val="nil"/>
                    <w:tr2bl w:val="nil"/>
                  </w:tcBorders>
                  <w:vAlign w:val="center"/>
                </w:tcPr>
                <w:p w14:paraId="76BD41E4">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rFonts w:hint="eastAsia"/>
                      <w:color w:val="FF0000"/>
                      <w:sz w:val="20"/>
                      <w:szCs w:val="20"/>
                      <w:highlight w:val="none"/>
                    </w:rPr>
                    <w:t>锤式</w:t>
                  </w:r>
                  <w:r>
                    <w:rPr>
                      <w:color w:val="FF0000"/>
                      <w:sz w:val="20"/>
                      <w:szCs w:val="20"/>
                      <w:highlight w:val="none"/>
                    </w:rPr>
                    <w:t>破碎机</w:t>
                  </w:r>
                </w:p>
              </w:tc>
              <w:tc>
                <w:tcPr>
                  <w:tcW w:w="293" w:type="pct"/>
                  <w:tcBorders>
                    <w:tl2br w:val="nil"/>
                    <w:tr2bl w:val="nil"/>
                  </w:tcBorders>
                  <w:vAlign w:val="center"/>
                </w:tcPr>
                <w:p w14:paraId="160A2512">
                  <w:pPr>
                    <w:keepNext w:val="0"/>
                    <w:keepLines w:val="0"/>
                    <w:pageBreakBefore w:val="0"/>
                    <w:widowControl/>
                    <w:kinsoku/>
                    <w:wordWrap/>
                    <w:overflowPunct/>
                    <w:topLinePunct w:val="0"/>
                    <w:autoSpaceDE/>
                    <w:autoSpaceDN/>
                    <w:bidi w:val="0"/>
                    <w:adjustRightInd/>
                    <w:snapToGrid/>
                    <w:jc w:val="center"/>
                    <w:rPr>
                      <w:color w:val="FF0000"/>
                      <w:kern w:val="0"/>
                      <w:sz w:val="20"/>
                      <w:szCs w:val="20"/>
                      <w:highlight w:val="none"/>
                      <w:lang w:bidi="ar"/>
                    </w:rPr>
                  </w:pPr>
                  <w:r>
                    <w:rPr>
                      <w:rFonts w:hint="eastAsia"/>
                      <w:color w:val="FF0000"/>
                      <w:kern w:val="0"/>
                      <w:sz w:val="20"/>
                      <w:szCs w:val="20"/>
                      <w:highlight w:val="none"/>
                      <w:lang w:val="en-US" w:eastAsia="zh-CN" w:bidi="ar"/>
                    </w:rPr>
                    <w:t>95</w:t>
                  </w:r>
                </w:p>
              </w:tc>
              <w:tc>
                <w:tcPr>
                  <w:tcW w:w="364" w:type="pct"/>
                  <w:vMerge w:val="continue"/>
                  <w:tcBorders>
                    <w:tl2br w:val="nil"/>
                    <w:tr2bl w:val="nil"/>
                  </w:tcBorders>
                  <w:vAlign w:val="center"/>
                </w:tcPr>
                <w:p w14:paraId="3B9F6EB0">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89" w:type="pct"/>
                  <w:tcBorders>
                    <w:tl2br w:val="nil"/>
                    <w:tr2bl w:val="nil"/>
                  </w:tcBorders>
                  <w:vAlign w:val="center"/>
                </w:tcPr>
                <w:p w14:paraId="2BD156A1">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4</w:t>
                  </w:r>
                </w:p>
              </w:tc>
              <w:tc>
                <w:tcPr>
                  <w:tcW w:w="443" w:type="pct"/>
                  <w:tcBorders>
                    <w:tl2br w:val="nil"/>
                    <w:tr2bl w:val="nil"/>
                  </w:tcBorders>
                  <w:vAlign w:val="center"/>
                </w:tcPr>
                <w:p w14:paraId="1CE80B69">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-18</w:t>
                  </w:r>
                </w:p>
              </w:tc>
              <w:tc>
                <w:tcPr>
                  <w:tcW w:w="340" w:type="pct"/>
                  <w:tcBorders>
                    <w:tl2br w:val="nil"/>
                    <w:tr2bl w:val="nil"/>
                  </w:tcBorders>
                  <w:vAlign w:val="center"/>
                </w:tcPr>
                <w:p w14:paraId="43DCAE9B">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2</w:t>
                  </w:r>
                </w:p>
              </w:tc>
              <w:tc>
                <w:tcPr>
                  <w:tcW w:w="409" w:type="pct"/>
                  <w:tcBorders>
                    <w:tl2br w:val="nil"/>
                    <w:tr2bl w:val="nil"/>
                  </w:tcBorders>
                  <w:vAlign w:val="center"/>
                </w:tcPr>
                <w:p w14:paraId="5D648F16">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4</w:t>
                  </w:r>
                </w:p>
              </w:tc>
              <w:tc>
                <w:tcPr>
                  <w:tcW w:w="529" w:type="pct"/>
                  <w:tcBorders>
                    <w:tl2br w:val="nil"/>
                    <w:tr2bl w:val="nil"/>
                  </w:tcBorders>
                  <w:vAlign w:val="center"/>
                </w:tcPr>
                <w:p w14:paraId="28EAB324">
                  <w:pPr>
                    <w:keepNext w:val="0"/>
                    <w:keepLines w:val="0"/>
                    <w:pageBreakBefore w:val="0"/>
                    <w:widowControl/>
                    <w:kinsoku/>
                    <w:wordWrap/>
                    <w:overflowPunct/>
                    <w:topLinePunct w:val="0"/>
                    <w:autoSpaceDE/>
                    <w:autoSpaceDN/>
                    <w:bidi w:val="0"/>
                    <w:adjustRightInd/>
                    <w:snapToGrid/>
                    <w:jc w:val="center"/>
                    <w:rPr>
                      <w:rFonts w:hint="default"/>
                      <w:color w:val="FF0000"/>
                      <w:kern w:val="0"/>
                      <w:sz w:val="20"/>
                      <w:szCs w:val="20"/>
                      <w:highlight w:val="none"/>
                      <w:lang w:val="en-US" w:eastAsia="zh-CN" w:bidi="ar"/>
                    </w:rPr>
                  </w:pPr>
                  <w:r>
                    <w:rPr>
                      <w:rFonts w:hint="eastAsia"/>
                      <w:color w:val="FF0000"/>
                      <w:kern w:val="0"/>
                      <w:sz w:val="20"/>
                      <w:szCs w:val="20"/>
                      <w:highlight w:val="none"/>
                      <w:lang w:val="en-US" w:eastAsia="zh-CN" w:bidi="ar"/>
                    </w:rPr>
                    <w:t>83</w:t>
                  </w:r>
                </w:p>
              </w:tc>
              <w:tc>
                <w:tcPr>
                  <w:tcW w:w="359" w:type="pct"/>
                  <w:vMerge w:val="continue"/>
                  <w:tcBorders>
                    <w:tl2br w:val="nil"/>
                    <w:tr2bl w:val="nil"/>
                  </w:tcBorders>
                  <w:vAlign w:val="center"/>
                </w:tcPr>
                <w:p w14:paraId="34C3D779">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59" w:type="pct"/>
                  <w:tcBorders>
                    <w:tl2br w:val="nil"/>
                    <w:tr2bl w:val="nil"/>
                  </w:tcBorders>
                  <w:vAlign w:val="center"/>
                </w:tcPr>
                <w:p w14:paraId="5C9F2644">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rFonts w:hint="eastAsia"/>
                      <w:color w:val="FF0000"/>
                      <w:sz w:val="20"/>
                      <w:szCs w:val="20"/>
                      <w:highlight w:val="none"/>
                    </w:rPr>
                    <w:t>20</w:t>
                  </w:r>
                </w:p>
              </w:tc>
              <w:tc>
                <w:tcPr>
                  <w:tcW w:w="1194" w:type="dxa"/>
                  <w:tcBorders>
                    <w:tl2br w:val="nil"/>
                    <w:tr2bl w:val="nil"/>
                  </w:tcBorders>
                  <w:vAlign w:val="center"/>
                </w:tcPr>
                <w:p w14:paraId="41DF3759">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color w:val="FF0000"/>
                      <w:sz w:val="20"/>
                      <w:szCs w:val="20"/>
                      <w:highlight w:val="none"/>
                      <w:lang w:val="en-US"/>
                    </w:rPr>
                  </w:pPr>
                  <w:r>
                    <w:rPr>
                      <w:rFonts w:hint="eastAsia"/>
                      <w:color w:val="FF0000"/>
                      <w:sz w:val="20"/>
                      <w:szCs w:val="20"/>
                      <w:highlight w:val="none"/>
                      <w:lang w:val="en-US" w:eastAsia="zh-CN"/>
                    </w:rPr>
                    <w:t>63</w:t>
                  </w:r>
                </w:p>
              </w:tc>
              <w:tc>
                <w:tcPr>
                  <w:tcW w:w="420" w:type="pct"/>
                  <w:tcBorders>
                    <w:tl2br w:val="nil"/>
                    <w:tr2bl w:val="nil"/>
                  </w:tcBorders>
                  <w:vAlign w:val="center"/>
                </w:tcPr>
                <w:p w14:paraId="6EAACD38">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color w:val="FF0000"/>
                      <w:sz w:val="20"/>
                      <w:szCs w:val="20"/>
                      <w:highlight w:val="none"/>
                    </w:rPr>
                    <w:t>1</w:t>
                  </w:r>
                </w:p>
              </w:tc>
            </w:tr>
            <w:tr w14:paraId="518922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9" w:type="pct"/>
                  <w:vMerge w:val="continue"/>
                  <w:tcBorders>
                    <w:tl2br w:val="nil"/>
                    <w:tr2bl w:val="nil"/>
                  </w:tcBorders>
                  <w:vAlign w:val="center"/>
                </w:tcPr>
                <w:p w14:paraId="44B28FB5">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23" w:type="pct"/>
                  <w:tcBorders>
                    <w:tl2br w:val="nil"/>
                    <w:tr2bl w:val="nil"/>
                  </w:tcBorders>
                  <w:vAlign w:val="center"/>
                </w:tcPr>
                <w:p w14:paraId="61C53249">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color w:val="FF0000"/>
                      <w:sz w:val="20"/>
                      <w:szCs w:val="20"/>
                      <w:highlight w:val="none"/>
                    </w:rPr>
                    <w:t>振动筛</w:t>
                  </w:r>
                </w:p>
              </w:tc>
              <w:tc>
                <w:tcPr>
                  <w:tcW w:w="293" w:type="pct"/>
                  <w:tcBorders>
                    <w:tl2br w:val="nil"/>
                    <w:tr2bl w:val="nil"/>
                  </w:tcBorders>
                  <w:vAlign w:val="center"/>
                </w:tcPr>
                <w:p w14:paraId="013E0F9D">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rFonts w:hint="eastAsia" w:eastAsia="宋体"/>
                      <w:color w:val="FF0000"/>
                      <w:kern w:val="0"/>
                      <w:sz w:val="20"/>
                      <w:szCs w:val="20"/>
                      <w:highlight w:val="none"/>
                      <w:lang w:eastAsia="zh-CN" w:bidi="ar"/>
                    </w:rPr>
                  </w:pPr>
                  <w:r>
                    <w:rPr>
                      <w:color w:val="FF0000"/>
                      <w:kern w:val="0"/>
                      <w:sz w:val="20"/>
                      <w:szCs w:val="20"/>
                      <w:highlight w:val="none"/>
                      <w:lang w:bidi="ar"/>
                    </w:rPr>
                    <w:t>8</w:t>
                  </w:r>
                  <w:r>
                    <w:rPr>
                      <w:rFonts w:hint="eastAsia"/>
                      <w:color w:val="FF0000"/>
                      <w:kern w:val="0"/>
                      <w:sz w:val="20"/>
                      <w:szCs w:val="20"/>
                      <w:highlight w:val="none"/>
                      <w:lang w:val="en-US" w:eastAsia="zh-CN" w:bidi="ar"/>
                    </w:rPr>
                    <w:t>5</w:t>
                  </w:r>
                </w:p>
              </w:tc>
              <w:tc>
                <w:tcPr>
                  <w:tcW w:w="364" w:type="pct"/>
                  <w:vMerge w:val="continue"/>
                  <w:tcBorders>
                    <w:tl2br w:val="nil"/>
                    <w:tr2bl w:val="nil"/>
                  </w:tcBorders>
                  <w:vAlign w:val="center"/>
                </w:tcPr>
                <w:p w14:paraId="7C3289A1">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89" w:type="pct"/>
                  <w:tcBorders>
                    <w:tl2br w:val="nil"/>
                    <w:tr2bl w:val="nil"/>
                  </w:tcBorders>
                  <w:vAlign w:val="center"/>
                </w:tcPr>
                <w:p w14:paraId="512693D8">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12</w:t>
                  </w:r>
                </w:p>
              </w:tc>
              <w:tc>
                <w:tcPr>
                  <w:tcW w:w="443" w:type="pct"/>
                  <w:tcBorders>
                    <w:tl2br w:val="nil"/>
                    <w:tr2bl w:val="nil"/>
                  </w:tcBorders>
                  <w:vAlign w:val="center"/>
                </w:tcPr>
                <w:p w14:paraId="062F62B0">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-16</w:t>
                  </w:r>
                </w:p>
              </w:tc>
              <w:tc>
                <w:tcPr>
                  <w:tcW w:w="340" w:type="pct"/>
                  <w:tcBorders>
                    <w:tl2br w:val="nil"/>
                    <w:tr2bl w:val="nil"/>
                  </w:tcBorders>
                  <w:vAlign w:val="center"/>
                </w:tcPr>
                <w:p w14:paraId="2A329238">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2</w:t>
                  </w:r>
                </w:p>
              </w:tc>
              <w:tc>
                <w:tcPr>
                  <w:tcW w:w="409" w:type="pct"/>
                  <w:tcBorders>
                    <w:tl2br w:val="nil"/>
                    <w:tr2bl w:val="nil"/>
                  </w:tcBorders>
                  <w:vAlign w:val="center"/>
                </w:tcPr>
                <w:p w14:paraId="14324FC5">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4</w:t>
                  </w:r>
                </w:p>
              </w:tc>
              <w:tc>
                <w:tcPr>
                  <w:tcW w:w="529" w:type="pct"/>
                  <w:tcBorders>
                    <w:tl2br w:val="nil"/>
                    <w:tr2bl w:val="nil"/>
                  </w:tcBorders>
                  <w:vAlign w:val="center"/>
                </w:tcPr>
                <w:p w14:paraId="4044C09D">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73</w:t>
                  </w:r>
                </w:p>
              </w:tc>
              <w:tc>
                <w:tcPr>
                  <w:tcW w:w="359" w:type="pct"/>
                  <w:vMerge w:val="continue"/>
                  <w:tcBorders>
                    <w:tl2br w:val="nil"/>
                    <w:tr2bl w:val="nil"/>
                  </w:tcBorders>
                  <w:vAlign w:val="center"/>
                </w:tcPr>
                <w:p w14:paraId="59E19F81">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59" w:type="pct"/>
                  <w:tcBorders>
                    <w:tl2br w:val="nil"/>
                    <w:tr2bl w:val="nil"/>
                  </w:tcBorders>
                  <w:vAlign w:val="center"/>
                </w:tcPr>
                <w:p w14:paraId="63203CFA">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rFonts w:hint="eastAsia"/>
                      <w:color w:val="FF0000"/>
                      <w:sz w:val="20"/>
                      <w:szCs w:val="20"/>
                      <w:highlight w:val="none"/>
                    </w:rPr>
                    <w:t>20</w:t>
                  </w:r>
                </w:p>
              </w:tc>
              <w:tc>
                <w:tcPr>
                  <w:tcW w:w="1194" w:type="dxa"/>
                  <w:tcBorders>
                    <w:tl2br w:val="nil"/>
                    <w:tr2bl w:val="nil"/>
                  </w:tcBorders>
                  <w:vAlign w:val="center"/>
                </w:tcPr>
                <w:p w14:paraId="45C29F0B">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color w:val="FF0000"/>
                      <w:sz w:val="20"/>
                      <w:szCs w:val="20"/>
                      <w:highlight w:val="none"/>
                      <w:lang w:val="en-US"/>
                    </w:rPr>
                  </w:pPr>
                  <w:r>
                    <w:rPr>
                      <w:rFonts w:hint="eastAsia"/>
                      <w:color w:val="FF0000"/>
                      <w:sz w:val="20"/>
                      <w:szCs w:val="20"/>
                      <w:highlight w:val="none"/>
                      <w:lang w:val="en-US" w:eastAsia="zh-CN"/>
                    </w:rPr>
                    <w:t>53</w:t>
                  </w:r>
                </w:p>
              </w:tc>
              <w:tc>
                <w:tcPr>
                  <w:tcW w:w="420" w:type="pct"/>
                  <w:tcBorders>
                    <w:tl2br w:val="nil"/>
                    <w:tr2bl w:val="nil"/>
                  </w:tcBorders>
                  <w:vAlign w:val="center"/>
                </w:tcPr>
                <w:p w14:paraId="2C226152">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rFonts w:hint="eastAsia"/>
                      <w:color w:val="FF0000"/>
                      <w:sz w:val="20"/>
                      <w:szCs w:val="20"/>
                      <w:highlight w:val="none"/>
                    </w:rPr>
                    <w:t>1</w:t>
                  </w:r>
                </w:p>
              </w:tc>
            </w:tr>
            <w:tr w14:paraId="5FDBB8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9" w:type="pct"/>
                  <w:vMerge w:val="continue"/>
                  <w:tcBorders>
                    <w:tl2br w:val="nil"/>
                    <w:tr2bl w:val="nil"/>
                  </w:tcBorders>
                  <w:vAlign w:val="center"/>
                </w:tcPr>
                <w:p w14:paraId="1AFBB48C">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23" w:type="pct"/>
                  <w:tcBorders>
                    <w:tl2br w:val="nil"/>
                    <w:tr2bl w:val="nil"/>
                  </w:tcBorders>
                  <w:vAlign w:val="center"/>
                </w:tcPr>
                <w:p w14:paraId="6B798D53">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rFonts w:hint="eastAsia"/>
                      <w:color w:val="FF0000"/>
                      <w:sz w:val="20"/>
                      <w:szCs w:val="20"/>
                      <w:highlight w:val="none"/>
                    </w:rPr>
                    <w:t>雾炮机②</w:t>
                  </w:r>
                </w:p>
              </w:tc>
              <w:tc>
                <w:tcPr>
                  <w:tcW w:w="293" w:type="pct"/>
                  <w:tcBorders>
                    <w:tl2br w:val="nil"/>
                    <w:tr2bl w:val="nil"/>
                  </w:tcBorders>
                  <w:vAlign w:val="center"/>
                </w:tcPr>
                <w:p w14:paraId="176E0EDE">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kern w:val="0"/>
                      <w:sz w:val="20"/>
                      <w:szCs w:val="20"/>
                      <w:highlight w:val="none"/>
                      <w:lang w:bidi="ar"/>
                    </w:rPr>
                  </w:pPr>
                  <w:r>
                    <w:rPr>
                      <w:rFonts w:hint="eastAsia"/>
                      <w:color w:val="FF0000"/>
                      <w:kern w:val="0"/>
                      <w:sz w:val="20"/>
                      <w:szCs w:val="20"/>
                      <w:highlight w:val="none"/>
                      <w:lang w:bidi="ar"/>
                    </w:rPr>
                    <w:t>70</w:t>
                  </w:r>
                </w:p>
              </w:tc>
              <w:tc>
                <w:tcPr>
                  <w:tcW w:w="364" w:type="pct"/>
                  <w:vMerge w:val="continue"/>
                  <w:tcBorders>
                    <w:tl2br w:val="nil"/>
                    <w:tr2bl w:val="nil"/>
                  </w:tcBorders>
                  <w:vAlign w:val="center"/>
                </w:tcPr>
                <w:p w14:paraId="21452B8B">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89" w:type="pct"/>
                  <w:tcBorders>
                    <w:tl2br w:val="nil"/>
                    <w:tr2bl w:val="nil"/>
                  </w:tcBorders>
                  <w:vAlign w:val="center"/>
                </w:tcPr>
                <w:p w14:paraId="3BDD9C99">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7</w:t>
                  </w:r>
                </w:p>
              </w:tc>
              <w:tc>
                <w:tcPr>
                  <w:tcW w:w="443" w:type="pct"/>
                  <w:tcBorders>
                    <w:tl2br w:val="nil"/>
                    <w:tr2bl w:val="nil"/>
                  </w:tcBorders>
                  <w:vAlign w:val="center"/>
                </w:tcPr>
                <w:p w14:paraId="10940835">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-13</w:t>
                  </w:r>
                </w:p>
              </w:tc>
              <w:tc>
                <w:tcPr>
                  <w:tcW w:w="340" w:type="pct"/>
                  <w:tcBorders>
                    <w:tl2br w:val="nil"/>
                    <w:tr2bl w:val="nil"/>
                  </w:tcBorders>
                  <w:vAlign w:val="center"/>
                </w:tcPr>
                <w:p w14:paraId="25A6B37A">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2</w:t>
                  </w:r>
                </w:p>
              </w:tc>
              <w:tc>
                <w:tcPr>
                  <w:tcW w:w="409" w:type="pct"/>
                  <w:tcBorders>
                    <w:tl2br w:val="nil"/>
                    <w:tr2bl w:val="nil"/>
                  </w:tcBorders>
                  <w:vAlign w:val="center"/>
                </w:tcPr>
                <w:p w14:paraId="5113E09D">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5</w:t>
                  </w:r>
                </w:p>
              </w:tc>
              <w:tc>
                <w:tcPr>
                  <w:tcW w:w="529" w:type="pct"/>
                  <w:tcBorders>
                    <w:tl2br w:val="nil"/>
                    <w:tr2bl w:val="nil"/>
                  </w:tcBorders>
                  <w:vAlign w:val="center"/>
                </w:tcPr>
                <w:p w14:paraId="4BBAD5E9">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56</w:t>
                  </w:r>
                </w:p>
              </w:tc>
              <w:tc>
                <w:tcPr>
                  <w:tcW w:w="359" w:type="pct"/>
                  <w:vMerge w:val="continue"/>
                  <w:tcBorders>
                    <w:tl2br w:val="nil"/>
                    <w:tr2bl w:val="nil"/>
                  </w:tcBorders>
                  <w:vAlign w:val="center"/>
                </w:tcPr>
                <w:p w14:paraId="3F657DAC">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59" w:type="pct"/>
                  <w:tcBorders>
                    <w:tl2br w:val="nil"/>
                    <w:tr2bl w:val="nil"/>
                  </w:tcBorders>
                  <w:vAlign w:val="center"/>
                </w:tcPr>
                <w:p w14:paraId="35596C08">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rFonts w:hint="eastAsia"/>
                      <w:color w:val="FF0000"/>
                      <w:sz w:val="20"/>
                      <w:szCs w:val="20"/>
                      <w:highlight w:val="none"/>
                    </w:rPr>
                    <w:t>20</w:t>
                  </w:r>
                </w:p>
              </w:tc>
              <w:tc>
                <w:tcPr>
                  <w:tcW w:w="1194" w:type="dxa"/>
                  <w:tcBorders>
                    <w:tl2br w:val="nil"/>
                    <w:tr2bl w:val="nil"/>
                  </w:tcBorders>
                  <w:vAlign w:val="center"/>
                </w:tcPr>
                <w:p w14:paraId="3C923C85">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color w:val="FF0000"/>
                      <w:sz w:val="20"/>
                      <w:szCs w:val="20"/>
                      <w:highlight w:val="none"/>
                      <w:lang w:val="en-US"/>
                    </w:rPr>
                  </w:pPr>
                  <w:r>
                    <w:rPr>
                      <w:rFonts w:hint="eastAsia"/>
                      <w:color w:val="FF0000"/>
                      <w:sz w:val="20"/>
                      <w:szCs w:val="20"/>
                      <w:highlight w:val="none"/>
                      <w:lang w:val="en-US" w:eastAsia="zh-CN"/>
                    </w:rPr>
                    <w:t>36</w:t>
                  </w:r>
                </w:p>
              </w:tc>
              <w:tc>
                <w:tcPr>
                  <w:tcW w:w="420" w:type="pct"/>
                  <w:tcBorders>
                    <w:tl2br w:val="nil"/>
                    <w:tr2bl w:val="nil"/>
                  </w:tcBorders>
                  <w:vAlign w:val="center"/>
                </w:tcPr>
                <w:p w14:paraId="11580BD2">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r>
                    <w:rPr>
                      <w:rFonts w:hint="eastAsia"/>
                      <w:color w:val="FF0000"/>
                      <w:sz w:val="20"/>
                      <w:szCs w:val="20"/>
                      <w:highlight w:val="none"/>
                    </w:rPr>
                    <w:t>1</w:t>
                  </w:r>
                </w:p>
              </w:tc>
            </w:tr>
            <w:tr w14:paraId="1C30D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9" w:type="pct"/>
                  <w:vMerge w:val="restart"/>
                  <w:tcBorders>
                    <w:tl2br w:val="nil"/>
                    <w:tr2bl w:val="nil"/>
                  </w:tcBorders>
                  <w:vAlign w:val="center"/>
                </w:tcPr>
                <w:p w14:paraId="479110C2">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rFonts w:hint="eastAsia" w:eastAsia="宋体"/>
                      <w:color w:val="FF0000"/>
                      <w:sz w:val="20"/>
                      <w:szCs w:val="20"/>
                      <w:highlight w:val="none"/>
                      <w:lang w:val="en-US" w:eastAsia="zh-CN"/>
                    </w:rPr>
                  </w:pPr>
                  <w:r>
                    <w:rPr>
                      <w:rFonts w:hint="eastAsia"/>
                      <w:color w:val="FF0000"/>
                      <w:sz w:val="20"/>
                      <w:szCs w:val="20"/>
                      <w:highlight w:val="none"/>
                      <w:lang w:val="en-US" w:eastAsia="zh-CN"/>
                    </w:rPr>
                    <w:t>成品库（全封闭）</w:t>
                  </w:r>
                </w:p>
              </w:tc>
              <w:tc>
                <w:tcPr>
                  <w:tcW w:w="323" w:type="pct"/>
                  <w:tcBorders>
                    <w:tl2br w:val="nil"/>
                    <w:tr2bl w:val="nil"/>
                  </w:tcBorders>
                  <w:vAlign w:val="center"/>
                </w:tcPr>
                <w:p w14:paraId="69015B3F">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rFonts w:hint="eastAsia" w:ascii="Times New Roman" w:hAnsi="Times New Roman" w:eastAsia="宋体" w:cs="Times New Roman"/>
                      <w:color w:val="FF0000"/>
                      <w:kern w:val="2"/>
                      <w:sz w:val="20"/>
                      <w:szCs w:val="20"/>
                      <w:highlight w:val="none"/>
                      <w:lang w:val="en-US" w:eastAsia="zh-CN" w:bidi="ar-SA"/>
                    </w:rPr>
                  </w:pPr>
                  <w:r>
                    <w:rPr>
                      <w:rFonts w:hint="eastAsia"/>
                      <w:color w:val="FF0000"/>
                      <w:sz w:val="20"/>
                      <w:szCs w:val="20"/>
                      <w:highlight w:val="none"/>
                    </w:rPr>
                    <w:t>雾炮机②</w:t>
                  </w:r>
                </w:p>
              </w:tc>
              <w:tc>
                <w:tcPr>
                  <w:tcW w:w="293" w:type="pct"/>
                  <w:tcBorders>
                    <w:tl2br w:val="nil"/>
                    <w:tr2bl w:val="nil"/>
                  </w:tcBorders>
                  <w:vAlign w:val="center"/>
                </w:tcPr>
                <w:p w14:paraId="206211C9">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rFonts w:hint="eastAsia" w:ascii="Times New Roman" w:hAnsi="Times New Roman" w:eastAsia="宋体" w:cs="Times New Roman"/>
                      <w:color w:val="FF0000"/>
                      <w:kern w:val="0"/>
                      <w:sz w:val="20"/>
                      <w:szCs w:val="20"/>
                      <w:highlight w:val="none"/>
                      <w:lang w:val="en-US" w:eastAsia="zh-CN" w:bidi="ar"/>
                    </w:rPr>
                  </w:pPr>
                  <w:r>
                    <w:rPr>
                      <w:rFonts w:hint="eastAsia"/>
                      <w:color w:val="FF0000"/>
                      <w:kern w:val="0"/>
                      <w:sz w:val="20"/>
                      <w:szCs w:val="20"/>
                      <w:highlight w:val="none"/>
                      <w:lang w:bidi="ar"/>
                    </w:rPr>
                    <w:t>70</w:t>
                  </w:r>
                </w:p>
              </w:tc>
              <w:tc>
                <w:tcPr>
                  <w:tcW w:w="364" w:type="pct"/>
                  <w:vMerge w:val="continue"/>
                  <w:tcBorders>
                    <w:tl2br w:val="nil"/>
                    <w:tr2bl w:val="nil"/>
                  </w:tcBorders>
                  <w:vAlign w:val="center"/>
                </w:tcPr>
                <w:p w14:paraId="2F82CD1F">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89" w:type="pct"/>
                  <w:tcBorders>
                    <w:tl2br w:val="nil"/>
                    <w:tr2bl w:val="nil"/>
                  </w:tcBorders>
                  <w:vAlign w:val="center"/>
                </w:tcPr>
                <w:p w14:paraId="29B48214">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6</w:t>
                  </w:r>
                </w:p>
              </w:tc>
              <w:tc>
                <w:tcPr>
                  <w:tcW w:w="443" w:type="pct"/>
                  <w:tcBorders>
                    <w:tl2br w:val="nil"/>
                    <w:tr2bl w:val="nil"/>
                  </w:tcBorders>
                  <w:vAlign w:val="center"/>
                </w:tcPr>
                <w:p w14:paraId="04AB36C4">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5</w:t>
                  </w:r>
                </w:p>
              </w:tc>
              <w:tc>
                <w:tcPr>
                  <w:tcW w:w="340" w:type="pct"/>
                  <w:tcBorders>
                    <w:tl2br w:val="nil"/>
                    <w:tr2bl w:val="nil"/>
                  </w:tcBorders>
                  <w:vAlign w:val="center"/>
                </w:tcPr>
                <w:p w14:paraId="66771AC3">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1</w:t>
                  </w:r>
                </w:p>
              </w:tc>
              <w:tc>
                <w:tcPr>
                  <w:tcW w:w="409" w:type="pct"/>
                  <w:tcBorders>
                    <w:tl2br w:val="nil"/>
                    <w:tr2bl w:val="nil"/>
                  </w:tcBorders>
                  <w:vAlign w:val="center"/>
                </w:tcPr>
                <w:p w14:paraId="2DC5A369">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2</w:t>
                  </w:r>
                </w:p>
              </w:tc>
              <w:tc>
                <w:tcPr>
                  <w:tcW w:w="529" w:type="pct"/>
                  <w:tcBorders>
                    <w:tl2br w:val="nil"/>
                    <w:tr2bl w:val="nil"/>
                  </w:tcBorders>
                  <w:vAlign w:val="center"/>
                </w:tcPr>
                <w:p w14:paraId="0DAB362E">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64</w:t>
                  </w:r>
                </w:p>
              </w:tc>
              <w:tc>
                <w:tcPr>
                  <w:tcW w:w="359" w:type="pct"/>
                  <w:vMerge w:val="continue"/>
                  <w:tcBorders>
                    <w:tl2br w:val="nil"/>
                    <w:tr2bl w:val="nil"/>
                  </w:tcBorders>
                  <w:vAlign w:val="center"/>
                </w:tcPr>
                <w:p w14:paraId="46A169E6">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59" w:type="pct"/>
                  <w:tcBorders>
                    <w:tl2br w:val="nil"/>
                    <w:tr2bl w:val="nil"/>
                  </w:tcBorders>
                  <w:vAlign w:val="center"/>
                </w:tcPr>
                <w:p w14:paraId="2436A4FD">
                  <w:pPr>
                    <w:keepNext w:val="0"/>
                    <w:keepLines w:val="0"/>
                    <w:pageBreakBefore w:val="0"/>
                    <w:kinsoku/>
                    <w:wordWrap/>
                    <w:overflowPunct/>
                    <w:topLinePunct w:val="0"/>
                    <w:autoSpaceDE/>
                    <w:autoSpaceDN/>
                    <w:bidi w:val="0"/>
                    <w:adjustRightInd/>
                    <w:snapToGrid/>
                    <w:spacing w:line="240" w:lineRule="auto"/>
                    <w:ind w:left="0" w:leftChars="0"/>
                    <w:jc w:val="center"/>
                    <w:rPr>
                      <w:rFonts w:hint="eastAsia"/>
                      <w:color w:val="FF0000"/>
                      <w:sz w:val="20"/>
                      <w:szCs w:val="20"/>
                      <w:highlight w:val="none"/>
                    </w:rPr>
                  </w:pPr>
                  <w:r>
                    <w:rPr>
                      <w:rFonts w:hint="eastAsia"/>
                      <w:color w:val="FF0000"/>
                      <w:sz w:val="20"/>
                      <w:szCs w:val="20"/>
                      <w:highlight w:val="none"/>
                    </w:rPr>
                    <w:t>20</w:t>
                  </w:r>
                </w:p>
              </w:tc>
              <w:tc>
                <w:tcPr>
                  <w:tcW w:w="1194" w:type="dxa"/>
                  <w:tcBorders>
                    <w:tl2br w:val="nil"/>
                    <w:tr2bl w:val="nil"/>
                  </w:tcBorders>
                  <w:vAlign w:val="center"/>
                </w:tcPr>
                <w:p w14:paraId="4E9D1658">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color w:val="FF0000"/>
                      <w:sz w:val="20"/>
                      <w:szCs w:val="20"/>
                      <w:highlight w:val="none"/>
                      <w:lang w:val="en-US"/>
                    </w:rPr>
                  </w:pPr>
                  <w:r>
                    <w:rPr>
                      <w:rFonts w:hint="eastAsia"/>
                      <w:color w:val="FF0000"/>
                      <w:sz w:val="20"/>
                      <w:szCs w:val="20"/>
                      <w:highlight w:val="none"/>
                      <w:lang w:val="en-US" w:eastAsia="zh-CN"/>
                    </w:rPr>
                    <w:t>44</w:t>
                  </w:r>
                </w:p>
              </w:tc>
              <w:tc>
                <w:tcPr>
                  <w:tcW w:w="420" w:type="pct"/>
                  <w:tcBorders>
                    <w:tl2br w:val="nil"/>
                    <w:tr2bl w:val="nil"/>
                  </w:tcBorders>
                  <w:vAlign w:val="center"/>
                </w:tcPr>
                <w:p w14:paraId="44861AC8">
                  <w:pPr>
                    <w:keepNext w:val="0"/>
                    <w:keepLines w:val="0"/>
                    <w:pageBreakBefore w:val="0"/>
                    <w:kinsoku/>
                    <w:wordWrap/>
                    <w:overflowPunct/>
                    <w:topLinePunct w:val="0"/>
                    <w:autoSpaceDE/>
                    <w:autoSpaceDN/>
                    <w:bidi w:val="0"/>
                    <w:adjustRightInd/>
                    <w:snapToGrid/>
                    <w:spacing w:line="240" w:lineRule="auto"/>
                    <w:ind w:left="0" w:leftChars="0"/>
                    <w:jc w:val="center"/>
                    <w:rPr>
                      <w:rFonts w:hint="eastAsia"/>
                      <w:color w:val="FF0000"/>
                      <w:sz w:val="20"/>
                      <w:szCs w:val="20"/>
                      <w:highlight w:val="none"/>
                    </w:rPr>
                  </w:pPr>
                  <w:r>
                    <w:rPr>
                      <w:rFonts w:hint="eastAsia"/>
                      <w:color w:val="FF0000"/>
                      <w:sz w:val="20"/>
                      <w:szCs w:val="20"/>
                      <w:highlight w:val="none"/>
                    </w:rPr>
                    <w:t>1</w:t>
                  </w:r>
                </w:p>
              </w:tc>
            </w:tr>
            <w:tr w14:paraId="1DECF8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99" w:type="pct"/>
                  <w:vMerge w:val="continue"/>
                  <w:tcBorders>
                    <w:tl2br w:val="nil"/>
                    <w:tr2bl w:val="nil"/>
                  </w:tcBorders>
                  <w:vAlign w:val="center"/>
                </w:tcPr>
                <w:p w14:paraId="3DACDFD1">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rFonts w:hint="eastAsia"/>
                      <w:color w:val="FF0000"/>
                      <w:sz w:val="20"/>
                      <w:szCs w:val="20"/>
                      <w:highlight w:val="none"/>
                      <w:lang w:val="en-US" w:eastAsia="zh-CN"/>
                    </w:rPr>
                  </w:pPr>
                </w:p>
              </w:tc>
              <w:tc>
                <w:tcPr>
                  <w:tcW w:w="323" w:type="pct"/>
                  <w:tcBorders>
                    <w:tl2br w:val="nil"/>
                    <w:tr2bl w:val="nil"/>
                  </w:tcBorders>
                  <w:vAlign w:val="center"/>
                </w:tcPr>
                <w:p w14:paraId="233A61B0">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color w:val="FF0000"/>
                      <w:sz w:val="20"/>
                      <w:szCs w:val="20"/>
                      <w:highlight w:val="none"/>
                    </w:rPr>
                  </w:pPr>
                  <w:r>
                    <w:rPr>
                      <w:rFonts w:hint="eastAsia" w:ascii="Times New Roman" w:hAnsi="Times New Roman" w:eastAsia="宋体" w:cs="Times New Roman"/>
                      <w:color w:val="FF0000"/>
                      <w:kern w:val="2"/>
                      <w:sz w:val="20"/>
                      <w:szCs w:val="20"/>
                      <w:highlight w:val="none"/>
                      <w:lang w:val="en-US" w:eastAsia="zh-CN" w:bidi="ar-SA"/>
                    </w:rPr>
                    <w:t>装载机②</w:t>
                  </w:r>
                </w:p>
              </w:tc>
              <w:tc>
                <w:tcPr>
                  <w:tcW w:w="293" w:type="pct"/>
                  <w:tcBorders>
                    <w:tl2br w:val="nil"/>
                    <w:tr2bl w:val="nil"/>
                  </w:tcBorders>
                  <w:vAlign w:val="center"/>
                </w:tcPr>
                <w:p w14:paraId="5D77084D">
                  <w:pPr>
                    <w:keepNext w:val="0"/>
                    <w:keepLines w:val="0"/>
                    <w:pageBreakBefore w:val="0"/>
                    <w:widowControl/>
                    <w:suppressLineNumbers w:val="0"/>
                    <w:kinsoku/>
                    <w:wordWrap/>
                    <w:overflowPunct/>
                    <w:topLinePunct w:val="0"/>
                    <w:autoSpaceDE/>
                    <w:autoSpaceDN/>
                    <w:bidi w:val="0"/>
                    <w:adjustRightInd/>
                    <w:snapToGrid/>
                    <w:jc w:val="center"/>
                    <w:textAlignment w:val="center"/>
                    <w:rPr>
                      <w:rFonts w:hint="eastAsia"/>
                      <w:color w:val="FF0000"/>
                      <w:kern w:val="0"/>
                      <w:sz w:val="20"/>
                      <w:szCs w:val="20"/>
                      <w:highlight w:val="none"/>
                      <w:lang w:bidi="ar"/>
                    </w:rPr>
                  </w:pPr>
                  <w:r>
                    <w:rPr>
                      <w:rFonts w:hint="default" w:ascii="Times New Roman" w:hAnsi="Times New Roman" w:eastAsia="宋体" w:cs="Times New Roman"/>
                      <w:i w:val="0"/>
                      <w:iCs w:val="0"/>
                      <w:color w:val="FF0000"/>
                      <w:kern w:val="0"/>
                      <w:sz w:val="21"/>
                      <w:szCs w:val="21"/>
                      <w:highlight w:val="none"/>
                      <w:u w:val="none"/>
                      <w:lang w:val="en-US" w:eastAsia="zh-CN" w:bidi="ar"/>
                    </w:rPr>
                    <w:t>75</w:t>
                  </w:r>
                </w:p>
              </w:tc>
              <w:tc>
                <w:tcPr>
                  <w:tcW w:w="364" w:type="pct"/>
                  <w:vMerge w:val="continue"/>
                  <w:tcBorders>
                    <w:tl2br w:val="nil"/>
                    <w:tr2bl w:val="nil"/>
                  </w:tcBorders>
                  <w:vAlign w:val="center"/>
                </w:tcPr>
                <w:p w14:paraId="67DE36BF">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89" w:type="pct"/>
                  <w:tcBorders>
                    <w:tl2br w:val="nil"/>
                    <w:tr2bl w:val="nil"/>
                  </w:tcBorders>
                  <w:vAlign w:val="center"/>
                </w:tcPr>
                <w:p w14:paraId="5B7646B6">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-2</w:t>
                  </w:r>
                </w:p>
              </w:tc>
              <w:tc>
                <w:tcPr>
                  <w:tcW w:w="443" w:type="pct"/>
                  <w:tcBorders>
                    <w:tl2br w:val="nil"/>
                    <w:tr2bl w:val="nil"/>
                  </w:tcBorders>
                  <w:vAlign w:val="center"/>
                </w:tcPr>
                <w:p w14:paraId="7553A768">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12</w:t>
                  </w:r>
                </w:p>
              </w:tc>
              <w:tc>
                <w:tcPr>
                  <w:tcW w:w="340" w:type="pct"/>
                  <w:tcBorders>
                    <w:tl2br w:val="nil"/>
                    <w:tr2bl w:val="nil"/>
                  </w:tcBorders>
                  <w:vAlign w:val="center"/>
                </w:tcPr>
                <w:p w14:paraId="539ADF79">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1</w:t>
                  </w:r>
                </w:p>
              </w:tc>
              <w:tc>
                <w:tcPr>
                  <w:tcW w:w="409" w:type="pct"/>
                  <w:tcBorders>
                    <w:tl2br w:val="nil"/>
                    <w:tr2bl w:val="nil"/>
                  </w:tcBorders>
                  <w:vAlign w:val="center"/>
                </w:tcPr>
                <w:p w14:paraId="06EFE8DC">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14</w:t>
                  </w:r>
                </w:p>
              </w:tc>
              <w:tc>
                <w:tcPr>
                  <w:tcW w:w="529" w:type="pct"/>
                  <w:tcBorders>
                    <w:tl2br w:val="nil"/>
                    <w:tr2bl w:val="nil"/>
                  </w:tcBorders>
                  <w:vAlign w:val="center"/>
                </w:tcPr>
                <w:p w14:paraId="4595082D">
                  <w:pPr>
                    <w:keepNext w:val="0"/>
                    <w:keepLines w:val="0"/>
                    <w:pageBreakBefore w:val="0"/>
                    <w:widowControl/>
                    <w:kinsoku/>
                    <w:wordWrap/>
                    <w:overflowPunct/>
                    <w:topLinePunct w:val="0"/>
                    <w:autoSpaceDE/>
                    <w:autoSpaceDN/>
                    <w:bidi w:val="0"/>
                    <w:adjustRightInd/>
                    <w:snapToGrid/>
                    <w:jc w:val="center"/>
                    <w:rPr>
                      <w:rFonts w:hint="eastAsia"/>
                      <w:color w:val="FF0000"/>
                      <w:kern w:val="0"/>
                      <w:sz w:val="20"/>
                      <w:szCs w:val="20"/>
                      <w:highlight w:val="none"/>
                      <w:lang w:val="en-US" w:eastAsia="zh-CN" w:bidi="ar"/>
                    </w:rPr>
                  </w:pPr>
                  <w:r>
                    <w:rPr>
                      <w:rFonts w:hint="eastAsia"/>
                      <w:color w:val="FF0000"/>
                      <w:kern w:val="0"/>
                      <w:sz w:val="20"/>
                      <w:szCs w:val="20"/>
                      <w:highlight w:val="none"/>
                      <w:lang w:val="en-US" w:eastAsia="zh-CN" w:bidi="ar"/>
                    </w:rPr>
                    <w:t>52</w:t>
                  </w:r>
                </w:p>
              </w:tc>
              <w:tc>
                <w:tcPr>
                  <w:tcW w:w="359" w:type="pct"/>
                  <w:vMerge w:val="continue"/>
                  <w:tcBorders>
                    <w:tl2br w:val="nil"/>
                    <w:tr2bl w:val="nil"/>
                  </w:tcBorders>
                  <w:vAlign w:val="center"/>
                </w:tcPr>
                <w:p w14:paraId="5C141DC7">
                  <w:pPr>
                    <w:pStyle w:val="11"/>
                    <w:keepNext w:val="0"/>
                    <w:keepLines w:val="0"/>
                    <w:pageBreakBefore w:val="0"/>
                    <w:kinsoku/>
                    <w:wordWrap/>
                    <w:overflowPunct/>
                    <w:topLinePunct w:val="0"/>
                    <w:autoSpaceDE/>
                    <w:autoSpaceDN/>
                    <w:bidi w:val="0"/>
                    <w:adjustRightInd/>
                    <w:snapToGrid/>
                    <w:spacing w:after="0" w:line="240" w:lineRule="auto"/>
                    <w:ind w:left="0" w:leftChars="0"/>
                    <w:jc w:val="center"/>
                    <w:rPr>
                      <w:color w:val="FF0000"/>
                      <w:sz w:val="20"/>
                      <w:szCs w:val="20"/>
                      <w:highlight w:val="none"/>
                    </w:rPr>
                  </w:pPr>
                </w:p>
              </w:tc>
              <w:tc>
                <w:tcPr>
                  <w:tcW w:w="359" w:type="pct"/>
                  <w:tcBorders>
                    <w:tl2br w:val="nil"/>
                    <w:tr2bl w:val="nil"/>
                  </w:tcBorders>
                  <w:vAlign w:val="center"/>
                </w:tcPr>
                <w:p w14:paraId="617C4E18">
                  <w:pPr>
                    <w:keepNext w:val="0"/>
                    <w:keepLines w:val="0"/>
                    <w:pageBreakBefore w:val="0"/>
                    <w:kinsoku/>
                    <w:wordWrap/>
                    <w:overflowPunct/>
                    <w:topLinePunct w:val="0"/>
                    <w:autoSpaceDE/>
                    <w:autoSpaceDN/>
                    <w:bidi w:val="0"/>
                    <w:adjustRightInd/>
                    <w:snapToGrid/>
                    <w:spacing w:line="240" w:lineRule="auto"/>
                    <w:ind w:left="0" w:leftChars="0"/>
                    <w:jc w:val="center"/>
                    <w:rPr>
                      <w:rFonts w:hint="eastAsia"/>
                      <w:color w:val="FF0000"/>
                      <w:sz w:val="20"/>
                      <w:szCs w:val="20"/>
                      <w:highlight w:val="none"/>
                    </w:rPr>
                  </w:pPr>
                  <w:r>
                    <w:rPr>
                      <w:rFonts w:hint="eastAsia"/>
                      <w:color w:val="FF0000"/>
                      <w:sz w:val="20"/>
                      <w:szCs w:val="20"/>
                      <w:highlight w:val="none"/>
                    </w:rPr>
                    <w:t>20</w:t>
                  </w:r>
                </w:p>
              </w:tc>
              <w:tc>
                <w:tcPr>
                  <w:tcW w:w="1194" w:type="dxa"/>
                  <w:tcBorders>
                    <w:tl2br w:val="nil"/>
                    <w:tr2bl w:val="nil"/>
                  </w:tcBorders>
                  <w:vAlign w:val="center"/>
                </w:tcPr>
                <w:p w14:paraId="73EE4B7C">
                  <w:pPr>
                    <w:keepNext w:val="0"/>
                    <w:keepLines w:val="0"/>
                    <w:pageBreakBefore w:val="0"/>
                    <w:kinsoku/>
                    <w:wordWrap/>
                    <w:overflowPunct/>
                    <w:topLinePunct w:val="0"/>
                    <w:autoSpaceDE/>
                    <w:autoSpaceDN/>
                    <w:bidi w:val="0"/>
                    <w:adjustRightInd/>
                    <w:snapToGrid/>
                    <w:spacing w:line="240" w:lineRule="auto"/>
                    <w:ind w:left="0" w:leftChars="0"/>
                    <w:jc w:val="center"/>
                    <w:rPr>
                      <w:rFonts w:hint="default"/>
                      <w:color w:val="FF0000"/>
                      <w:sz w:val="20"/>
                      <w:szCs w:val="20"/>
                      <w:highlight w:val="none"/>
                      <w:lang w:val="en-US"/>
                    </w:rPr>
                  </w:pPr>
                  <w:r>
                    <w:rPr>
                      <w:rFonts w:hint="eastAsia"/>
                      <w:color w:val="FF0000"/>
                      <w:sz w:val="20"/>
                      <w:szCs w:val="20"/>
                      <w:highlight w:val="none"/>
                      <w:lang w:val="en-US" w:eastAsia="zh-CN"/>
                    </w:rPr>
                    <w:t>32</w:t>
                  </w:r>
                </w:p>
              </w:tc>
              <w:tc>
                <w:tcPr>
                  <w:tcW w:w="420" w:type="pct"/>
                  <w:tcBorders>
                    <w:tl2br w:val="nil"/>
                    <w:tr2bl w:val="nil"/>
                  </w:tcBorders>
                  <w:vAlign w:val="center"/>
                </w:tcPr>
                <w:p w14:paraId="675437CB">
                  <w:pPr>
                    <w:keepNext w:val="0"/>
                    <w:keepLines w:val="0"/>
                    <w:pageBreakBefore w:val="0"/>
                    <w:kinsoku/>
                    <w:wordWrap/>
                    <w:overflowPunct/>
                    <w:topLinePunct w:val="0"/>
                    <w:autoSpaceDE/>
                    <w:autoSpaceDN/>
                    <w:bidi w:val="0"/>
                    <w:adjustRightInd/>
                    <w:snapToGrid/>
                    <w:spacing w:line="240" w:lineRule="auto"/>
                    <w:ind w:left="0" w:leftChars="0"/>
                    <w:jc w:val="center"/>
                    <w:rPr>
                      <w:rFonts w:hint="eastAsia"/>
                      <w:color w:val="FF0000"/>
                      <w:sz w:val="20"/>
                      <w:szCs w:val="20"/>
                      <w:highlight w:val="none"/>
                    </w:rPr>
                  </w:pPr>
                  <w:r>
                    <w:rPr>
                      <w:rFonts w:hint="eastAsia"/>
                      <w:color w:val="FF0000"/>
                      <w:sz w:val="20"/>
                      <w:szCs w:val="20"/>
                      <w:highlight w:val="none"/>
                    </w:rPr>
                    <w:t>1</w:t>
                  </w:r>
                </w:p>
              </w:tc>
            </w:tr>
            <w:tr w14:paraId="2494DD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13"/>
                  <w:tcBorders>
                    <w:tl2br w:val="nil"/>
                    <w:tr2bl w:val="nil"/>
                  </w:tcBorders>
                  <w:vAlign w:val="center"/>
                </w:tcPr>
                <w:p w14:paraId="150B5FBB">
                  <w:pPr>
                    <w:keepNext w:val="0"/>
                    <w:keepLines w:val="0"/>
                    <w:pageBreakBefore w:val="0"/>
                    <w:widowControl/>
                    <w:kinsoku/>
                    <w:wordWrap/>
                    <w:overflowPunct/>
                    <w:topLinePunct w:val="0"/>
                    <w:autoSpaceDE/>
                    <w:autoSpaceDN/>
                    <w:bidi w:val="0"/>
                    <w:adjustRightInd/>
                    <w:snapToGrid/>
                    <w:jc w:val="left"/>
                    <w:rPr>
                      <w:rFonts w:ascii="宋体" w:hAnsi="宋体" w:cs="宋体"/>
                      <w:color w:val="000000" w:themeColor="text1"/>
                      <w:kern w:val="0"/>
                      <w:sz w:val="18"/>
                      <w:szCs w:val="18"/>
                      <w:highlight w:val="none"/>
                      <w:lang w:bidi="ar"/>
                      <w14:textFill>
                        <w14:solidFill>
                          <w14:schemeClr w14:val="tx1"/>
                        </w14:solidFill>
                      </w14:textFill>
                    </w:rPr>
                  </w:pPr>
                  <w:r>
                    <w:rPr>
                      <w:rFonts w:hint="eastAsia" w:ascii="宋体" w:hAnsi="宋体" w:cs="宋体"/>
                      <w:color w:val="000000" w:themeColor="text1"/>
                      <w:kern w:val="0"/>
                      <w:sz w:val="18"/>
                      <w:szCs w:val="18"/>
                      <w:highlight w:val="none"/>
                      <w:lang w:bidi="ar"/>
                      <w14:textFill>
                        <w14:solidFill>
                          <w14:schemeClr w14:val="tx1"/>
                        </w14:solidFill>
                      </w14:textFill>
                    </w:rPr>
                    <w:t xml:space="preserve">注：①生产厂区中心坐标东经 </w:t>
                  </w:r>
                  <w:r>
                    <w:rPr>
                      <w:rFonts w:hint="eastAsia"/>
                      <w:color w:val="000000" w:themeColor="text1"/>
                      <w:sz w:val="20"/>
                      <w:szCs w:val="20"/>
                      <w:highlight w:val="none"/>
                      <w14:textFill>
                        <w14:solidFill>
                          <w14:schemeClr w14:val="tx1"/>
                        </w14:solidFill>
                      </w14:textFill>
                    </w:rPr>
                    <w:t>124.08021</w:t>
                  </w:r>
                  <w:r>
                    <w:rPr>
                      <w:rFonts w:hint="eastAsia"/>
                      <w:color w:val="000000" w:themeColor="text1"/>
                      <w:sz w:val="20"/>
                      <w:szCs w:val="20"/>
                      <w:highlight w:val="none"/>
                      <w:lang w:val="en-US" w:eastAsia="zh-CN"/>
                      <w14:textFill>
                        <w14:solidFill>
                          <w14:schemeClr w14:val="tx1"/>
                        </w14:solidFill>
                      </w14:textFill>
                    </w:rPr>
                    <w:t>6</w:t>
                  </w:r>
                  <w:r>
                    <w:rPr>
                      <w:color w:val="000000" w:themeColor="text1"/>
                      <w:kern w:val="0"/>
                      <w:sz w:val="18"/>
                      <w:szCs w:val="18"/>
                      <w:highlight w:val="none"/>
                      <w:lang w:bidi="ar"/>
                      <w14:textFill>
                        <w14:solidFill>
                          <w14:schemeClr w14:val="tx1"/>
                        </w14:solidFill>
                      </w14:textFill>
                    </w:rPr>
                    <w:t>°,</w:t>
                  </w:r>
                  <w:r>
                    <w:rPr>
                      <w:rFonts w:hint="eastAsia" w:ascii="宋体" w:hAnsi="宋体" w:cs="宋体"/>
                      <w:color w:val="000000" w:themeColor="text1"/>
                      <w:kern w:val="0"/>
                      <w:sz w:val="18"/>
                      <w:szCs w:val="18"/>
                      <w:highlight w:val="none"/>
                      <w:lang w:bidi="ar"/>
                      <w14:textFill>
                        <w14:solidFill>
                          <w14:schemeClr w14:val="tx1"/>
                        </w14:solidFill>
                      </w14:textFill>
                    </w:rPr>
                    <w:t xml:space="preserve">北纬 </w:t>
                  </w:r>
                  <w:r>
                    <w:rPr>
                      <w:rFonts w:hint="eastAsia"/>
                      <w:color w:val="000000" w:themeColor="text1"/>
                      <w:sz w:val="20"/>
                      <w:szCs w:val="20"/>
                      <w:highlight w:val="none"/>
                      <w14:textFill>
                        <w14:solidFill>
                          <w14:schemeClr w14:val="tx1"/>
                        </w14:solidFill>
                      </w14:textFill>
                    </w:rPr>
                    <w:t>42.0390</w:t>
                  </w:r>
                  <w:r>
                    <w:rPr>
                      <w:rFonts w:hint="eastAsia"/>
                      <w:color w:val="000000" w:themeColor="text1"/>
                      <w:sz w:val="20"/>
                      <w:szCs w:val="20"/>
                      <w:highlight w:val="none"/>
                      <w:lang w:val="en-US" w:eastAsia="zh-CN"/>
                      <w14:textFill>
                        <w14:solidFill>
                          <w14:schemeClr w14:val="tx1"/>
                        </w14:solidFill>
                      </w14:textFill>
                    </w:rPr>
                    <w:t>90</w:t>
                  </w:r>
                  <w:r>
                    <w:rPr>
                      <w:color w:val="000000" w:themeColor="text1"/>
                      <w:kern w:val="0"/>
                      <w:sz w:val="18"/>
                      <w:szCs w:val="18"/>
                      <w:highlight w:val="none"/>
                      <w:lang w:bidi="ar"/>
                      <w14:textFill>
                        <w14:solidFill>
                          <w14:schemeClr w14:val="tx1"/>
                        </w14:solidFill>
                      </w14:textFill>
                    </w:rPr>
                    <w:t>°</w:t>
                  </w:r>
                  <w:r>
                    <w:rPr>
                      <w:rFonts w:hint="eastAsia" w:ascii="宋体" w:hAnsi="宋体" w:cs="宋体"/>
                      <w:color w:val="000000" w:themeColor="text1"/>
                      <w:kern w:val="0"/>
                      <w:sz w:val="18"/>
                      <w:szCs w:val="18"/>
                      <w:highlight w:val="none"/>
                      <w:lang w:bidi="ar"/>
                      <w14:textFill>
                        <w14:solidFill>
                          <w14:schemeClr w14:val="tx1"/>
                        </w14:solidFill>
                      </w14:textFill>
                    </w:rPr>
                    <w:t>，以此中心点坐标为（</w:t>
                  </w:r>
                  <w:r>
                    <w:rPr>
                      <w:color w:val="000000" w:themeColor="text1"/>
                      <w:kern w:val="0"/>
                      <w:sz w:val="18"/>
                      <w:szCs w:val="18"/>
                      <w:highlight w:val="none"/>
                      <w:lang w:bidi="ar"/>
                      <w14:textFill>
                        <w14:solidFill>
                          <w14:schemeClr w14:val="tx1"/>
                        </w14:solidFill>
                      </w14:textFill>
                    </w:rPr>
                    <w:t>0</w:t>
                  </w:r>
                  <w:r>
                    <w:rPr>
                      <w:rFonts w:hint="eastAsia" w:ascii="宋体" w:hAnsi="宋体" w:cs="宋体"/>
                      <w:color w:val="000000" w:themeColor="text1"/>
                      <w:kern w:val="0"/>
                      <w:sz w:val="18"/>
                      <w:szCs w:val="18"/>
                      <w:highlight w:val="none"/>
                      <w:lang w:bidi="ar"/>
                      <w14:textFill>
                        <w14:solidFill>
                          <w14:schemeClr w14:val="tx1"/>
                        </w14:solidFill>
                      </w14:textFill>
                    </w:rPr>
                    <w:t>，</w:t>
                  </w:r>
                  <w:r>
                    <w:rPr>
                      <w:color w:val="000000" w:themeColor="text1"/>
                      <w:kern w:val="0"/>
                      <w:sz w:val="18"/>
                      <w:szCs w:val="18"/>
                      <w:highlight w:val="none"/>
                      <w:lang w:bidi="ar"/>
                      <w14:textFill>
                        <w14:solidFill>
                          <w14:schemeClr w14:val="tx1"/>
                        </w14:solidFill>
                      </w14:textFill>
                    </w:rPr>
                    <w:t>0</w:t>
                  </w:r>
                  <w:r>
                    <w:rPr>
                      <w:rFonts w:hint="eastAsia" w:ascii="宋体" w:hAnsi="宋体" w:cs="宋体"/>
                      <w:color w:val="000000" w:themeColor="text1"/>
                      <w:kern w:val="0"/>
                      <w:sz w:val="18"/>
                      <w:szCs w:val="18"/>
                      <w:highlight w:val="none"/>
                      <w:lang w:bidi="ar"/>
                      <w14:textFill>
                        <w14:solidFill>
                          <w14:schemeClr w14:val="tx1"/>
                        </w14:solidFill>
                      </w14:textFill>
                    </w:rPr>
                    <w:t>，</w:t>
                  </w:r>
                  <w:r>
                    <w:rPr>
                      <w:color w:val="000000" w:themeColor="text1"/>
                      <w:kern w:val="0"/>
                      <w:sz w:val="18"/>
                      <w:szCs w:val="18"/>
                      <w:highlight w:val="none"/>
                      <w:lang w:bidi="ar"/>
                      <w14:textFill>
                        <w14:solidFill>
                          <w14:schemeClr w14:val="tx1"/>
                        </w14:solidFill>
                      </w14:textFill>
                    </w:rPr>
                    <w:t>0</w:t>
                  </w:r>
                  <w:r>
                    <w:rPr>
                      <w:rFonts w:hint="eastAsia" w:ascii="宋体" w:hAnsi="宋体" w:cs="宋体"/>
                      <w:color w:val="000000" w:themeColor="text1"/>
                      <w:kern w:val="0"/>
                      <w:sz w:val="18"/>
                      <w:szCs w:val="18"/>
                      <w:highlight w:val="none"/>
                      <w:lang w:bidi="ar"/>
                      <w14:textFill>
                        <w14:solidFill>
                          <w14:schemeClr w14:val="tx1"/>
                        </w14:solidFill>
                      </w14:textFill>
                    </w:rPr>
                    <w:t>）</w:t>
                  </w:r>
                  <w:r>
                    <w:rPr>
                      <w:rFonts w:hint="eastAsia" w:ascii="宋体" w:hAnsi="宋体" w:cs="宋体"/>
                      <w:color w:val="000000" w:themeColor="text1"/>
                      <w:kern w:val="0"/>
                      <w:sz w:val="18"/>
                      <w:szCs w:val="18"/>
                      <w:highlight w:val="none"/>
                      <w:lang w:val="en-US" w:eastAsia="zh-CN" w:bidi="ar"/>
                      <w14:textFill>
                        <w14:solidFill>
                          <w14:schemeClr w14:val="tx1"/>
                        </w14:solidFill>
                      </w14:textFill>
                    </w:rPr>
                    <w:t>,</w:t>
                  </w:r>
                  <w:r>
                    <w:rPr>
                      <w:rFonts w:hint="eastAsia" w:ascii="宋体" w:hAnsi="宋体" w:cs="宋体"/>
                      <w:color w:val="000000" w:themeColor="text1"/>
                      <w:kern w:val="0"/>
                      <w:sz w:val="18"/>
                      <w:szCs w:val="18"/>
                      <w:highlight w:val="none"/>
                      <w:lang w:eastAsia="zh-CN" w:bidi="ar"/>
                      <w14:textFill>
                        <w14:solidFill>
                          <w14:schemeClr w14:val="tx1"/>
                        </w14:solidFill>
                      </w14:textFill>
                    </w:rPr>
                    <w:t>。</w:t>
                  </w:r>
                </w:p>
                <w:p w14:paraId="22F3A789">
                  <w:pPr>
                    <w:pStyle w:val="11"/>
                    <w:keepNext w:val="0"/>
                    <w:keepLines w:val="0"/>
                    <w:pageBreakBefore w:val="0"/>
                    <w:kinsoku/>
                    <w:wordWrap/>
                    <w:overflowPunct/>
                    <w:topLinePunct w:val="0"/>
                    <w:autoSpaceDE/>
                    <w:autoSpaceDN/>
                    <w:bidi w:val="0"/>
                    <w:adjustRightInd/>
                    <w:snapToGrid/>
                    <w:spacing w:after="0" w:line="240" w:lineRule="auto"/>
                    <w:ind w:left="0" w:leftChars="0"/>
                    <w:jc w:val="left"/>
                    <w:rPr>
                      <w:rFonts w:hint="eastAsia"/>
                      <w:color w:val="000000" w:themeColor="text1"/>
                      <w:sz w:val="20"/>
                      <w:szCs w:val="20"/>
                      <w:highlight w:val="none"/>
                      <w14:textFill>
                        <w14:solidFill>
                          <w14:schemeClr w14:val="tx1"/>
                        </w14:solidFill>
                      </w14:textFill>
                    </w:rPr>
                  </w:pPr>
                  <w:r>
                    <w:rPr>
                      <w:rFonts w:hint="eastAsia" w:ascii="宋体" w:hAnsi="宋体" w:cs="宋体"/>
                      <w:color w:val="000000" w:themeColor="text1"/>
                      <w:kern w:val="0"/>
                      <w:sz w:val="18"/>
                      <w:szCs w:val="18"/>
                      <w:highlight w:val="none"/>
                      <w:lang w:bidi="ar"/>
                      <w14:textFill>
                        <w14:solidFill>
                          <w14:schemeClr w14:val="tx1"/>
                        </w14:solidFill>
                      </w14:textFill>
                    </w:rPr>
                    <w:t>②</w:t>
                  </w:r>
                  <w:r>
                    <w:rPr>
                      <w:rFonts w:hint="eastAsia" w:ascii="宋体" w:hAnsi="宋体" w:cs="宋体"/>
                      <w:color w:val="000000" w:themeColor="text1"/>
                      <w:kern w:val="0"/>
                      <w:sz w:val="18"/>
                      <w:szCs w:val="18"/>
                      <w:highlight w:val="none"/>
                      <w:lang w:val="en-US" w:eastAsia="zh-CN" w:bidi="ar"/>
                      <w14:textFill>
                        <w14:solidFill>
                          <w14:schemeClr w14:val="tx1"/>
                        </w14:solidFill>
                      </w14:textFill>
                    </w:rPr>
                    <w:t>雾炮机、装载机</w:t>
                  </w:r>
                  <w:r>
                    <w:rPr>
                      <w:rFonts w:hint="eastAsia" w:ascii="宋体" w:hAnsi="宋体" w:cs="宋体"/>
                      <w:color w:val="000000" w:themeColor="text1"/>
                      <w:kern w:val="0"/>
                      <w:sz w:val="18"/>
                      <w:szCs w:val="18"/>
                      <w:highlight w:val="none"/>
                      <w:lang w:bidi="ar"/>
                      <w14:textFill>
                        <w14:solidFill>
                          <w14:schemeClr w14:val="tx1"/>
                        </w14:solidFill>
                      </w14:textFill>
                    </w:rPr>
                    <w:t>根据生产需要，移动使用。</w:t>
                  </w:r>
                </w:p>
              </w:tc>
            </w:tr>
          </w:tbl>
          <w:p w14:paraId="2CC503C8">
            <w:pPr>
              <w:rPr>
                <w:color w:val="000000" w:themeColor="text1"/>
                <w:highlight w:val="none"/>
                <w14:textFill>
                  <w14:solidFill>
                    <w14:schemeClr w14:val="tx1"/>
                  </w14:solidFill>
                </w14:textFill>
              </w:rPr>
            </w:pPr>
          </w:p>
          <w:p w14:paraId="24F60E0D">
            <w:pPr>
              <w:widowControl/>
              <w:jc w:val="center"/>
              <w:rPr>
                <w:color w:val="000000" w:themeColor="text1"/>
                <w:highlight w:val="none"/>
                <w14:textFill>
                  <w14:solidFill>
                    <w14:schemeClr w14:val="tx1"/>
                  </w14:solidFill>
                </w14:textFill>
              </w:rPr>
            </w:pPr>
            <w:r>
              <w:rPr>
                <w:b/>
                <w:bCs/>
                <w:color w:val="000000" w:themeColor="text1"/>
                <w:kern w:val="0"/>
                <w:szCs w:val="21"/>
                <w:highlight w:val="none"/>
                <w:lang w:bidi="ar"/>
                <w14:textFill>
                  <w14:solidFill>
                    <w14:schemeClr w14:val="tx1"/>
                  </w14:solidFill>
                </w14:textFill>
              </w:rPr>
              <w:t>表4-</w:t>
            </w:r>
            <w:r>
              <w:rPr>
                <w:rFonts w:hint="eastAsia"/>
                <w:b/>
                <w:bCs/>
                <w:color w:val="000000" w:themeColor="text1"/>
                <w:kern w:val="0"/>
                <w:szCs w:val="21"/>
                <w:highlight w:val="none"/>
                <w:lang w:bidi="ar"/>
                <w14:textFill>
                  <w14:solidFill>
                    <w14:schemeClr w14:val="tx1"/>
                  </w14:solidFill>
                </w14:textFill>
              </w:rPr>
              <w:t>1</w:t>
            </w:r>
            <w:r>
              <w:rPr>
                <w:rFonts w:hint="eastAsia"/>
                <w:b/>
                <w:bCs/>
                <w:color w:val="000000" w:themeColor="text1"/>
                <w:kern w:val="0"/>
                <w:szCs w:val="21"/>
                <w:highlight w:val="none"/>
                <w:lang w:val="en-US" w:eastAsia="zh-CN" w:bidi="ar"/>
                <w14:textFill>
                  <w14:solidFill>
                    <w14:schemeClr w14:val="tx1"/>
                  </w14:solidFill>
                </w14:textFill>
              </w:rPr>
              <w:t>1</w:t>
            </w:r>
            <w:r>
              <w:rPr>
                <w:rFonts w:hint="eastAsia"/>
                <w:b/>
                <w:bCs/>
                <w:color w:val="000000" w:themeColor="text1"/>
                <w:kern w:val="0"/>
                <w:szCs w:val="21"/>
                <w:highlight w:val="none"/>
                <w:lang w:bidi="ar"/>
                <w14:textFill>
                  <w14:solidFill>
                    <w14:schemeClr w14:val="tx1"/>
                  </w14:solidFill>
                </w14:textFill>
              </w:rPr>
              <w:t xml:space="preserve"> </w:t>
            </w:r>
            <w:r>
              <w:rPr>
                <w:b/>
                <w:bCs/>
                <w:color w:val="000000" w:themeColor="text1"/>
                <w:kern w:val="0"/>
                <w:szCs w:val="21"/>
                <w:highlight w:val="none"/>
                <w:lang w:bidi="ar"/>
                <w14:textFill>
                  <w14:solidFill>
                    <w14:schemeClr w14:val="tx1"/>
                  </w14:solidFill>
                </w14:textFill>
              </w:rPr>
              <w:t xml:space="preserve"> 工业企业噪声源强调查清单</w:t>
            </w:r>
            <w:r>
              <w:rPr>
                <w:rFonts w:hint="eastAsia"/>
                <w:b/>
                <w:bCs/>
                <w:color w:val="000000" w:themeColor="text1"/>
                <w:kern w:val="0"/>
                <w:szCs w:val="21"/>
                <w:highlight w:val="none"/>
                <w:lang w:bidi="ar"/>
                <w14:textFill>
                  <w14:solidFill>
                    <w14:schemeClr w14:val="tx1"/>
                  </w14:solidFill>
                </w14:textFill>
              </w:rPr>
              <w:t>（室外声源）</w:t>
            </w:r>
            <w:r>
              <w:rPr>
                <w:b/>
                <w:bCs/>
                <w:color w:val="000000" w:themeColor="text1"/>
                <w:kern w:val="0"/>
                <w:szCs w:val="21"/>
                <w:highlight w:val="none"/>
                <w:lang w:bidi="ar"/>
                <w14:textFill>
                  <w14:solidFill>
                    <w14:schemeClr w14:val="tx1"/>
                  </w14:solidFill>
                </w14:textFill>
              </w:rPr>
              <w:t xml:space="preserve"> </w:t>
            </w:r>
            <w:r>
              <w:rPr>
                <w:rFonts w:hint="eastAsia"/>
                <w:b/>
                <w:bCs/>
                <w:color w:val="000000" w:themeColor="text1"/>
                <w:kern w:val="0"/>
                <w:szCs w:val="21"/>
                <w:highlight w:val="none"/>
                <w:lang w:bidi="ar"/>
                <w14:textFill>
                  <w14:solidFill>
                    <w14:schemeClr w14:val="tx1"/>
                  </w14:solidFill>
                </w14:textFill>
              </w:rPr>
              <w:t>单位：</w:t>
            </w:r>
            <w:r>
              <w:rPr>
                <w:b/>
                <w:bCs/>
                <w:color w:val="000000" w:themeColor="text1"/>
                <w:kern w:val="0"/>
                <w:szCs w:val="21"/>
                <w:highlight w:val="none"/>
                <w:lang w:bidi="ar"/>
                <w14:textFill>
                  <w14:solidFill>
                    <w14:schemeClr w14:val="tx1"/>
                  </w14:solidFill>
                </w14:textFill>
              </w:rPr>
              <w:t>dB（A）</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10"/>
              <w:gridCol w:w="1318"/>
              <w:gridCol w:w="1293"/>
              <w:gridCol w:w="2459"/>
              <w:gridCol w:w="1683"/>
              <w:gridCol w:w="1830"/>
              <w:gridCol w:w="1691"/>
              <w:gridCol w:w="1789"/>
            </w:tblGrid>
            <w:tr w14:paraId="077B35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1" w:type="pct"/>
                  <w:vMerge w:val="restart"/>
                  <w:tcBorders>
                    <w:tl2br w:val="nil"/>
                    <w:tr2bl w:val="nil"/>
                  </w:tcBorders>
                  <w:vAlign w:val="center"/>
                </w:tcPr>
                <w:p w14:paraId="5DA7ABD6">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b/>
                      <w:bCs/>
                      <w:color w:val="000000" w:themeColor="text1"/>
                      <w:szCs w:val="21"/>
                      <w:highlight w:val="none"/>
                      <w14:textFill>
                        <w14:solidFill>
                          <w14:schemeClr w14:val="tx1"/>
                        </w14:solidFill>
                      </w14:textFill>
                    </w:rPr>
                  </w:pPr>
                  <w:r>
                    <w:rPr>
                      <w:rFonts w:hint="eastAsia"/>
                      <w:b/>
                      <w:bCs/>
                      <w:color w:val="000000" w:themeColor="text1"/>
                      <w:szCs w:val="21"/>
                      <w:highlight w:val="none"/>
                      <w14:textFill>
                        <w14:solidFill>
                          <w14:schemeClr w14:val="tx1"/>
                        </w14:solidFill>
                      </w14:textFill>
                    </w:rPr>
                    <w:t>序号</w:t>
                  </w:r>
                </w:p>
              </w:tc>
              <w:tc>
                <w:tcPr>
                  <w:tcW w:w="520" w:type="pct"/>
                  <w:vMerge w:val="restart"/>
                  <w:tcBorders>
                    <w:tl2br w:val="nil"/>
                    <w:tr2bl w:val="nil"/>
                  </w:tcBorders>
                  <w:vAlign w:val="center"/>
                </w:tcPr>
                <w:p w14:paraId="5C2B2317">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声源名称</w:t>
                  </w:r>
                </w:p>
              </w:tc>
              <w:tc>
                <w:tcPr>
                  <w:tcW w:w="510" w:type="pct"/>
                  <w:vMerge w:val="restart"/>
                  <w:tcBorders>
                    <w:tl2br w:val="nil"/>
                    <w:tr2bl w:val="nil"/>
                  </w:tcBorders>
                  <w:vAlign w:val="center"/>
                </w:tcPr>
                <w:p w14:paraId="05E7AA52">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声源源强</w:t>
                  </w:r>
                </w:p>
              </w:tc>
              <w:tc>
                <w:tcPr>
                  <w:tcW w:w="970" w:type="pct"/>
                  <w:vMerge w:val="restart"/>
                  <w:tcBorders>
                    <w:tl2br w:val="nil"/>
                    <w:tr2bl w:val="nil"/>
                  </w:tcBorders>
                  <w:vAlign w:val="center"/>
                </w:tcPr>
                <w:p w14:paraId="740AF08C">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声源控制措施</w:t>
                  </w:r>
                </w:p>
              </w:tc>
              <w:tc>
                <w:tcPr>
                  <w:tcW w:w="2053" w:type="pct"/>
                  <w:gridSpan w:val="3"/>
                  <w:tcBorders>
                    <w:tl2br w:val="nil"/>
                    <w:tr2bl w:val="nil"/>
                  </w:tcBorders>
                  <w:vAlign w:val="center"/>
                </w:tcPr>
                <w:p w14:paraId="6543E7B3">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空间相对位置</w:t>
                  </w:r>
                  <w:r>
                    <w:rPr>
                      <w:rFonts w:hint="eastAsia" w:ascii="宋体" w:hAnsi="宋体" w:cs="宋体"/>
                      <w:color w:val="000000" w:themeColor="text1"/>
                      <w:kern w:val="0"/>
                      <w:sz w:val="18"/>
                      <w:szCs w:val="18"/>
                      <w:highlight w:val="none"/>
                      <w:lang w:bidi="ar"/>
                      <w14:textFill>
                        <w14:solidFill>
                          <w14:schemeClr w14:val="tx1"/>
                        </w14:solidFill>
                      </w14:textFill>
                    </w:rPr>
                    <w:t>①</w:t>
                  </w:r>
                </w:p>
              </w:tc>
              <w:tc>
                <w:tcPr>
                  <w:tcW w:w="703" w:type="pct"/>
                  <w:vMerge w:val="restart"/>
                  <w:tcBorders>
                    <w:tl2br w:val="nil"/>
                    <w:tr2bl w:val="nil"/>
                  </w:tcBorders>
                  <w:vAlign w:val="center"/>
                </w:tcPr>
                <w:p w14:paraId="4E661996">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运行时段</w:t>
                  </w:r>
                </w:p>
              </w:tc>
            </w:tr>
            <w:tr w14:paraId="7623D29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1" w:type="pct"/>
                  <w:vMerge w:val="continue"/>
                  <w:tcBorders>
                    <w:tl2br w:val="nil"/>
                    <w:tr2bl w:val="nil"/>
                  </w:tcBorders>
                  <w:vAlign w:val="center"/>
                </w:tcPr>
                <w:p w14:paraId="5FAD48CE">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p>
              </w:tc>
              <w:tc>
                <w:tcPr>
                  <w:tcW w:w="520" w:type="pct"/>
                  <w:vMerge w:val="continue"/>
                  <w:tcBorders>
                    <w:tl2br w:val="nil"/>
                    <w:tr2bl w:val="nil"/>
                  </w:tcBorders>
                  <w:vAlign w:val="center"/>
                </w:tcPr>
                <w:p w14:paraId="7B43C4CC">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p>
              </w:tc>
              <w:tc>
                <w:tcPr>
                  <w:tcW w:w="510" w:type="pct"/>
                  <w:vMerge w:val="continue"/>
                  <w:tcBorders>
                    <w:tl2br w:val="nil"/>
                    <w:tr2bl w:val="nil"/>
                  </w:tcBorders>
                  <w:vAlign w:val="center"/>
                </w:tcPr>
                <w:p w14:paraId="794B7DA9">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p>
              </w:tc>
              <w:tc>
                <w:tcPr>
                  <w:tcW w:w="970" w:type="pct"/>
                  <w:vMerge w:val="continue"/>
                  <w:tcBorders>
                    <w:tl2br w:val="nil"/>
                    <w:tr2bl w:val="nil"/>
                  </w:tcBorders>
                  <w:vAlign w:val="center"/>
                </w:tcPr>
                <w:p w14:paraId="7E257406">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p>
              </w:tc>
              <w:tc>
                <w:tcPr>
                  <w:tcW w:w="664" w:type="pct"/>
                  <w:tcBorders>
                    <w:tl2br w:val="nil"/>
                    <w:tr2bl w:val="nil"/>
                  </w:tcBorders>
                  <w:vAlign w:val="center"/>
                </w:tcPr>
                <w:p w14:paraId="050B3F20">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X</w:t>
                  </w:r>
                </w:p>
              </w:tc>
              <w:tc>
                <w:tcPr>
                  <w:tcW w:w="722" w:type="pct"/>
                  <w:tcBorders>
                    <w:tl2br w:val="nil"/>
                    <w:tr2bl w:val="nil"/>
                  </w:tcBorders>
                  <w:vAlign w:val="center"/>
                </w:tcPr>
                <w:p w14:paraId="455952C6">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Y</w:t>
                  </w:r>
                </w:p>
              </w:tc>
              <w:tc>
                <w:tcPr>
                  <w:tcW w:w="667" w:type="pct"/>
                  <w:tcBorders>
                    <w:tl2br w:val="nil"/>
                    <w:tr2bl w:val="nil"/>
                  </w:tcBorders>
                  <w:vAlign w:val="center"/>
                </w:tcPr>
                <w:p w14:paraId="183294F8">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b/>
                      <w:bCs/>
                      <w:color w:val="000000" w:themeColor="text1"/>
                      <w:szCs w:val="21"/>
                      <w:highlight w:val="none"/>
                      <w14:textFill>
                        <w14:solidFill>
                          <w14:schemeClr w14:val="tx1"/>
                        </w14:solidFill>
                      </w14:textFill>
                    </w:rPr>
                  </w:pPr>
                  <w:r>
                    <w:rPr>
                      <w:b/>
                      <w:bCs/>
                      <w:color w:val="000000" w:themeColor="text1"/>
                      <w:szCs w:val="21"/>
                      <w:highlight w:val="none"/>
                      <w14:textFill>
                        <w14:solidFill>
                          <w14:schemeClr w14:val="tx1"/>
                        </w14:solidFill>
                      </w14:textFill>
                    </w:rPr>
                    <w:t>Z</w:t>
                  </w:r>
                </w:p>
              </w:tc>
              <w:tc>
                <w:tcPr>
                  <w:tcW w:w="703" w:type="pct"/>
                  <w:vMerge w:val="continue"/>
                  <w:tcBorders>
                    <w:tl2br w:val="nil"/>
                    <w:tr2bl w:val="nil"/>
                  </w:tcBorders>
                  <w:vAlign w:val="center"/>
                </w:tcPr>
                <w:p w14:paraId="44480C55">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p>
              </w:tc>
            </w:tr>
            <w:tr w14:paraId="39C3DC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1" w:type="pct"/>
                  <w:tcBorders>
                    <w:tl2br w:val="nil"/>
                    <w:tr2bl w:val="nil"/>
                  </w:tcBorders>
                  <w:vAlign w:val="center"/>
                </w:tcPr>
                <w:p w14:paraId="48A32985">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1</w:t>
                  </w:r>
                </w:p>
              </w:tc>
              <w:tc>
                <w:tcPr>
                  <w:tcW w:w="520" w:type="pct"/>
                  <w:tcBorders>
                    <w:tl2br w:val="nil"/>
                    <w:tr2bl w:val="nil"/>
                  </w:tcBorders>
                  <w:vAlign w:val="center"/>
                </w:tcPr>
                <w:p w14:paraId="5169623C">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除尘器</w:t>
                  </w:r>
                  <w:r>
                    <w:rPr>
                      <w:color w:val="000000" w:themeColor="text1"/>
                      <w:szCs w:val="21"/>
                      <w:highlight w:val="none"/>
                      <w14:textFill>
                        <w14:solidFill>
                          <w14:schemeClr w14:val="tx1"/>
                        </w14:solidFill>
                      </w14:textFill>
                    </w:rPr>
                    <w:t>风机</w:t>
                  </w:r>
                </w:p>
              </w:tc>
              <w:tc>
                <w:tcPr>
                  <w:tcW w:w="510" w:type="pct"/>
                  <w:tcBorders>
                    <w:tl2br w:val="nil"/>
                    <w:tr2bl w:val="nil"/>
                  </w:tcBorders>
                  <w:vAlign w:val="center"/>
                </w:tcPr>
                <w:p w14:paraId="23871EDE">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r>
                    <w:rPr>
                      <w:rFonts w:hint="eastAsia"/>
                      <w:color w:val="000000" w:themeColor="text1"/>
                      <w:kern w:val="0"/>
                      <w:szCs w:val="21"/>
                      <w:highlight w:val="none"/>
                      <w:lang w:bidi="ar"/>
                      <w14:textFill>
                        <w14:solidFill>
                          <w14:schemeClr w14:val="tx1"/>
                        </w14:solidFill>
                      </w14:textFill>
                    </w:rPr>
                    <w:t>80</w:t>
                  </w:r>
                </w:p>
              </w:tc>
              <w:tc>
                <w:tcPr>
                  <w:tcW w:w="970" w:type="pct"/>
                  <w:vMerge w:val="restart"/>
                  <w:tcBorders>
                    <w:tl2br w:val="nil"/>
                    <w:tr2bl w:val="nil"/>
                  </w:tcBorders>
                  <w:vAlign w:val="center"/>
                </w:tcPr>
                <w:p w14:paraId="600DD6B3">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r>
                    <w:rPr>
                      <w:color w:val="000000" w:themeColor="text1"/>
                      <w:szCs w:val="21"/>
                      <w:highlight w:val="none"/>
                      <w14:textFill>
                        <w14:solidFill>
                          <w14:schemeClr w14:val="tx1"/>
                        </w14:solidFill>
                      </w14:textFill>
                    </w:rPr>
                    <w:t>采用低噪声设备、设备基础减振</w:t>
                  </w:r>
                  <w:r>
                    <w:rPr>
                      <w:rFonts w:hint="eastAsia"/>
                      <w:color w:val="000000" w:themeColor="text1"/>
                      <w:szCs w:val="21"/>
                      <w:highlight w:val="none"/>
                      <w14:textFill>
                        <w14:solidFill>
                          <w14:schemeClr w14:val="tx1"/>
                        </w14:solidFill>
                      </w14:textFill>
                    </w:rPr>
                    <w:t>、车辆限速、限制鸣笛</w:t>
                  </w:r>
                </w:p>
              </w:tc>
              <w:tc>
                <w:tcPr>
                  <w:tcW w:w="1683" w:type="dxa"/>
                  <w:tcBorders>
                    <w:tl2br w:val="nil"/>
                    <w:tr2bl w:val="nil"/>
                  </w:tcBorders>
                  <w:vAlign w:val="center"/>
                </w:tcPr>
                <w:p w14:paraId="7E8491FE">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6</w:t>
                  </w:r>
                </w:p>
              </w:tc>
              <w:tc>
                <w:tcPr>
                  <w:tcW w:w="1830" w:type="dxa"/>
                  <w:tcBorders>
                    <w:tl2br w:val="nil"/>
                    <w:tr2bl w:val="nil"/>
                  </w:tcBorders>
                  <w:vAlign w:val="center"/>
                </w:tcPr>
                <w:p w14:paraId="66F5372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-23</w:t>
                  </w:r>
                </w:p>
              </w:tc>
              <w:tc>
                <w:tcPr>
                  <w:tcW w:w="667" w:type="pct"/>
                  <w:tcBorders>
                    <w:tl2br w:val="nil"/>
                    <w:tr2bl w:val="nil"/>
                  </w:tcBorders>
                  <w:vAlign w:val="center"/>
                </w:tcPr>
                <w:p w14:paraId="66B68829">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kern w:val="0"/>
                      <w:szCs w:val="21"/>
                      <w:highlight w:val="none"/>
                      <w:lang w:bidi="ar"/>
                      <w14:textFill>
                        <w14:solidFill>
                          <w14:schemeClr w14:val="tx1"/>
                        </w14:solidFill>
                      </w14:textFill>
                    </w:rPr>
                  </w:pPr>
                  <w:r>
                    <w:rPr>
                      <w:rFonts w:hint="eastAsia"/>
                      <w:color w:val="000000" w:themeColor="text1"/>
                      <w:kern w:val="0"/>
                      <w:szCs w:val="21"/>
                      <w:highlight w:val="none"/>
                      <w:lang w:bidi="ar"/>
                      <w14:textFill>
                        <w14:solidFill>
                          <w14:schemeClr w14:val="tx1"/>
                        </w14:solidFill>
                      </w14:textFill>
                    </w:rPr>
                    <w:t>1</w:t>
                  </w:r>
                </w:p>
              </w:tc>
              <w:tc>
                <w:tcPr>
                  <w:tcW w:w="703" w:type="pct"/>
                  <w:vMerge w:val="restart"/>
                  <w:tcBorders>
                    <w:tl2br w:val="nil"/>
                    <w:tr2bl w:val="nil"/>
                  </w:tcBorders>
                  <w:vAlign w:val="center"/>
                </w:tcPr>
                <w:p w14:paraId="0A5273CC">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highlight w:val="none"/>
                      <w14:textFill>
                        <w14:solidFill>
                          <w14:schemeClr w14:val="tx1"/>
                        </w14:solidFill>
                      </w14:textFill>
                    </w:rPr>
                  </w:pPr>
                  <w:r>
                    <w:rPr>
                      <w:rFonts w:hint="eastAsia"/>
                      <w:color w:val="000000" w:themeColor="text1"/>
                      <w:highlight w:val="none"/>
                      <w14:textFill>
                        <w14:solidFill>
                          <w14:schemeClr w14:val="tx1"/>
                        </w14:solidFill>
                      </w14:textFill>
                    </w:rPr>
                    <w:t>昼间</w:t>
                  </w:r>
                </w:p>
              </w:tc>
            </w:tr>
            <w:tr w14:paraId="0BB68A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241" w:type="pct"/>
                  <w:tcBorders>
                    <w:tl2br w:val="nil"/>
                    <w:tr2bl w:val="nil"/>
                  </w:tcBorders>
                  <w:vAlign w:val="center"/>
                </w:tcPr>
                <w:p w14:paraId="465775CF">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r>
                    <w:rPr>
                      <w:rFonts w:hint="eastAsia"/>
                      <w:color w:val="000000" w:themeColor="text1"/>
                      <w:szCs w:val="21"/>
                      <w:highlight w:val="none"/>
                      <w14:textFill>
                        <w14:solidFill>
                          <w14:schemeClr w14:val="tx1"/>
                        </w14:solidFill>
                      </w14:textFill>
                    </w:rPr>
                    <w:t>2</w:t>
                  </w:r>
                </w:p>
              </w:tc>
              <w:tc>
                <w:tcPr>
                  <w:tcW w:w="520" w:type="pct"/>
                  <w:tcBorders>
                    <w:tl2br w:val="nil"/>
                    <w:tr2bl w:val="nil"/>
                  </w:tcBorders>
                  <w:vAlign w:val="center"/>
                </w:tcPr>
                <w:p w14:paraId="0AA03D3F">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r>
                    <w:rPr>
                      <w:rFonts w:hint="eastAsia"/>
                      <w:color w:val="000000" w:themeColor="text1"/>
                      <w:szCs w:val="21"/>
                      <w:highlight w:val="none"/>
                      <w:lang w:val="en-US" w:eastAsia="zh-CN"/>
                      <w14:textFill>
                        <w14:solidFill>
                          <w14:schemeClr w14:val="tx1"/>
                        </w14:solidFill>
                      </w14:textFill>
                    </w:rPr>
                    <w:t>装载机</w:t>
                  </w:r>
                  <w:r>
                    <w:rPr>
                      <w:rFonts w:hint="eastAsia" w:ascii="宋体" w:hAnsi="宋体" w:cs="宋体"/>
                      <w:color w:val="000000" w:themeColor="text1"/>
                      <w:kern w:val="0"/>
                      <w:sz w:val="18"/>
                      <w:szCs w:val="18"/>
                      <w:highlight w:val="none"/>
                      <w:lang w:bidi="ar"/>
                      <w14:textFill>
                        <w14:solidFill>
                          <w14:schemeClr w14:val="tx1"/>
                        </w14:solidFill>
                      </w14:textFill>
                    </w:rPr>
                    <w:t>②</w:t>
                  </w:r>
                </w:p>
              </w:tc>
              <w:tc>
                <w:tcPr>
                  <w:tcW w:w="510" w:type="pct"/>
                  <w:tcBorders>
                    <w:tl2br w:val="nil"/>
                    <w:tr2bl w:val="nil"/>
                  </w:tcBorders>
                  <w:vAlign w:val="center"/>
                </w:tcPr>
                <w:p w14:paraId="47574820">
                  <w:pPr>
                    <w:keepNext w:val="0"/>
                    <w:keepLines w:val="0"/>
                    <w:pageBreakBefore w:val="0"/>
                    <w:widowControl/>
                    <w:kinsoku/>
                    <w:wordWrap/>
                    <w:overflowPunct/>
                    <w:topLinePunct w:val="0"/>
                    <w:autoSpaceDE/>
                    <w:autoSpaceDN/>
                    <w:bidi w:val="0"/>
                    <w:adjustRightInd/>
                    <w:snapToGrid/>
                    <w:ind w:firstLine="0" w:firstLineChars="0"/>
                    <w:jc w:val="center"/>
                    <w:rPr>
                      <w:color w:val="000000" w:themeColor="text1"/>
                      <w:szCs w:val="21"/>
                      <w:highlight w:val="none"/>
                      <w14:textFill>
                        <w14:solidFill>
                          <w14:schemeClr w14:val="tx1"/>
                        </w14:solidFill>
                      </w14:textFill>
                    </w:rPr>
                  </w:pPr>
                  <w:r>
                    <w:rPr>
                      <w:color w:val="000000" w:themeColor="text1"/>
                      <w:kern w:val="0"/>
                      <w:szCs w:val="21"/>
                      <w:highlight w:val="none"/>
                      <w:lang w:bidi="ar"/>
                      <w14:textFill>
                        <w14:solidFill>
                          <w14:schemeClr w14:val="tx1"/>
                        </w14:solidFill>
                      </w14:textFill>
                    </w:rPr>
                    <w:t>75</w:t>
                  </w:r>
                </w:p>
              </w:tc>
              <w:tc>
                <w:tcPr>
                  <w:tcW w:w="970" w:type="pct"/>
                  <w:vMerge w:val="continue"/>
                  <w:tcBorders>
                    <w:tl2br w:val="nil"/>
                    <w:tr2bl w:val="nil"/>
                  </w:tcBorders>
                  <w:vAlign w:val="center"/>
                </w:tcPr>
                <w:p w14:paraId="384BB640">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p>
              </w:tc>
              <w:tc>
                <w:tcPr>
                  <w:tcW w:w="1683" w:type="dxa"/>
                  <w:tcBorders>
                    <w:tl2br w:val="nil"/>
                    <w:tr2bl w:val="nil"/>
                  </w:tcBorders>
                  <w:vAlign w:val="center"/>
                </w:tcPr>
                <w:p w14:paraId="59474F0B">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5</w:t>
                  </w:r>
                </w:p>
              </w:tc>
              <w:tc>
                <w:tcPr>
                  <w:tcW w:w="1830" w:type="dxa"/>
                  <w:tcBorders>
                    <w:tl2br w:val="nil"/>
                    <w:tr2bl w:val="nil"/>
                  </w:tcBorders>
                  <w:vAlign w:val="center"/>
                </w:tcPr>
                <w:p w14:paraId="66A1161C">
                  <w:pPr>
                    <w:keepNext w:val="0"/>
                    <w:keepLines w:val="0"/>
                    <w:pageBreakBefore w:val="0"/>
                    <w:widowControl/>
                    <w:suppressLineNumbers w:val="0"/>
                    <w:kinsoku/>
                    <w:wordWrap/>
                    <w:overflowPunct/>
                    <w:topLinePunct w:val="0"/>
                    <w:autoSpaceDE/>
                    <w:autoSpaceDN/>
                    <w:bidi w:val="0"/>
                    <w:adjustRightInd/>
                    <w:snapToGrid/>
                    <w:ind w:firstLine="0" w:firstLineChars="0"/>
                    <w:jc w:val="center"/>
                    <w:textAlignment w:val="cente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pPr>
                  <w:r>
                    <w:rPr>
                      <w:rFonts w:hint="eastAsia" w:ascii="Times New Roman" w:hAnsi="Times New Roman" w:eastAsia="宋体" w:cs="Times New Roman"/>
                      <w:color w:val="000000" w:themeColor="text1"/>
                      <w:kern w:val="0"/>
                      <w:sz w:val="21"/>
                      <w:szCs w:val="21"/>
                      <w:highlight w:val="none"/>
                      <w:lang w:val="en-US" w:eastAsia="zh-CN" w:bidi="ar"/>
                      <w14:textFill>
                        <w14:solidFill>
                          <w14:schemeClr w14:val="tx1"/>
                        </w14:solidFill>
                      </w14:textFill>
                    </w:rPr>
                    <w:t>-29</w:t>
                  </w:r>
                </w:p>
              </w:tc>
              <w:tc>
                <w:tcPr>
                  <w:tcW w:w="667" w:type="pct"/>
                  <w:tcBorders>
                    <w:tl2br w:val="nil"/>
                    <w:tr2bl w:val="nil"/>
                  </w:tcBorders>
                  <w:vAlign w:val="center"/>
                </w:tcPr>
                <w:p w14:paraId="5893B05F">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kern w:val="0"/>
                      <w:szCs w:val="21"/>
                      <w:highlight w:val="none"/>
                      <w:lang w:bidi="ar"/>
                      <w14:textFill>
                        <w14:solidFill>
                          <w14:schemeClr w14:val="tx1"/>
                        </w14:solidFill>
                      </w14:textFill>
                    </w:rPr>
                  </w:pPr>
                  <w:r>
                    <w:rPr>
                      <w:rFonts w:hint="eastAsia"/>
                      <w:color w:val="000000" w:themeColor="text1"/>
                      <w:kern w:val="0"/>
                      <w:szCs w:val="21"/>
                      <w:highlight w:val="none"/>
                      <w:lang w:bidi="ar"/>
                      <w14:textFill>
                        <w14:solidFill>
                          <w14:schemeClr w14:val="tx1"/>
                        </w14:solidFill>
                      </w14:textFill>
                    </w:rPr>
                    <w:t>1</w:t>
                  </w:r>
                </w:p>
              </w:tc>
              <w:tc>
                <w:tcPr>
                  <w:tcW w:w="703" w:type="pct"/>
                  <w:vMerge w:val="continue"/>
                  <w:tcBorders>
                    <w:tl2br w:val="nil"/>
                    <w:tr2bl w:val="nil"/>
                  </w:tcBorders>
                  <w:vAlign w:val="center"/>
                </w:tcPr>
                <w:p w14:paraId="4B2B3411">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center"/>
                    <w:rPr>
                      <w:color w:val="000000" w:themeColor="text1"/>
                      <w:szCs w:val="21"/>
                      <w:highlight w:val="none"/>
                      <w14:textFill>
                        <w14:solidFill>
                          <w14:schemeClr w14:val="tx1"/>
                        </w14:solidFill>
                      </w14:textFill>
                    </w:rPr>
                  </w:pPr>
                </w:p>
              </w:tc>
            </w:tr>
            <w:tr w14:paraId="537A65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 w:hRule="atLeast"/>
                <w:jc w:val="center"/>
              </w:trPr>
              <w:tc>
                <w:tcPr>
                  <w:tcW w:w="5000" w:type="pct"/>
                  <w:gridSpan w:val="8"/>
                  <w:tcBorders>
                    <w:tl2br w:val="nil"/>
                    <w:tr2bl w:val="nil"/>
                  </w:tcBorders>
                  <w:vAlign w:val="center"/>
                </w:tcPr>
                <w:p w14:paraId="26E2F7E4">
                  <w:pPr>
                    <w:keepNext w:val="0"/>
                    <w:keepLines w:val="0"/>
                    <w:pageBreakBefore w:val="0"/>
                    <w:widowControl/>
                    <w:kinsoku/>
                    <w:wordWrap/>
                    <w:overflowPunct/>
                    <w:topLinePunct w:val="0"/>
                    <w:autoSpaceDE/>
                    <w:autoSpaceDN/>
                    <w:bidi w:val="0"/>
                    <w:adjustRightInd/>
                    <w:snapToGrid/>
                    <w:ind w:firstLine="0" w:firstLineChars="0"/>
                    <w:jc w:val="left"/>
                    <w:rPr>
                      <w:rFonts w:ascii="宋体" w:hAnsi="宋体" w:cs="宋体"/>
                      <w:color w:val="000000" w:themeColor="text1"/>
                      <w:kern w:val="0"/>
                      <w:sz w:val="18"/>
                      <w:szCs w:val="18"/>
                      <w:highlight w:val="none"/>
                      <w:lang w:bidi="ar"/>
                      <w14:textFill>
                        <w14:solidFill>
                          <w14:schemeClr w14:val="tx1"/>
                        </w14:solidFill>
                      </w14:textFill>
                    </w:rPr>
                  </w:pPr>
                  <w:r>
                    <w:rPr>
                      <w:rFonts w:hint="eastAsia" w:ascii="宋体" w:hAnsi="宋体" w:cs="宋体"/>
                      <w:color w:val="000000" w:themeColor="text1"/>
                      <w:kern w:val="0"/>
                      <w:sz w:val="18"/>
                      <w:szCs w:val="18"/>
                      <w:highlight w:val="none"/>
                      <w:lang w:bidi="ar"/>
                      <w14:textFill>
                        <w14:solidFill>
                          <w14:schemeClr w14:val="tx1"/>
                        </w14:solidFill>
                      </w14:textFill>
                    </w:rPr>
                    <w:t xml:space="preserve">注：①生产厂区中心坐标东经 </w:t>
                  </w:r>
                  <w:r>
                    <w:rPr>
                      <w:rFonts w:hint="eastAsia"/>
                      <w:color w:val="000000" w:themeColor="text1"/>
                      <w:sz w:val="20"/>
                      <w:szCs w:val="20"/>
                      <w:highlight w:val="none"/>
                      <w14:textFill>
                        <w14:solidFill>
                          <w14:schemeClr w14:val="tx1"/>
                        </w14:solidFill>
                      </w14:textFill>
                    </w:rPr>
                    <w:t>124.08021</w:t>
                  </w:r>
                  <w:r>
                    <w:rPr>
                      <w:rFonts w:hint="eastAsia"/>
                      <w:color w:val="000000" w:themeColor="text1"/>
                      <w:sz w:val="20"/>
                      <w:szCs w:val="20"/>
                      <w:highlight w:val="none"/>
                      <w:lang w:val="en-US" w:eastAsia="zh-CN"/>
                      <w14:textFill>
                        <w14:solidFill>
                          <w14:schemeClr w14:val="tx1"/>
                        </w14:solidFill>
                      </w14:textFill>
                    </w:rPr>
                    <w:t>6</w:t>
                  </w:r>
                  <w:r>
                    <w:rPr>
                      <w:color w:val="000000" w:themeColor="text1"/>
                      <w:kern w:val="0"/>
                      <w:sz w:val="18"/>
                      <w:szCs w:val="18"/>
                      <w:highlight w:val="none"/>
                      <w:lang w:bidi="ar"/>
                      <w14:textFill>
                        <w14:solidFill>
                          <w14:schemeClr w14:val="tx1"/>
                        </w14:solidFill>
                      </w14:textFill>
                    </w:rPr>
                    <w:t>°,</w:t>
                  </w:r>
                  <w:r>
                    <w:rPr>
                      <w:rFonts w:hint="eastAsia" w:ascii="宋体" w:hAnsi="宋体" w:cs="宋体"/>
                      <w:color w:val="000000" w:themeColor="text1"/>
                      <w:kern w:val="0"/>
                      <w:sz w:val="18"/>
                      <w:szCs w:val="18"/>
                      <w:highlight w:val="none"/>
                      <w:lang w:bidi="ar"/>
                      <w14:textFill>
                        <w14:solidFill>
                          <w14:schemeClr w14:val="tx1"/>
                        </w14:solidFill>
                      </w14:textFill>
                    </w:rPr>
                    <w:t xml:space="preserve">北纬 </w:t>
                  </w:r>
                  <w:r>
                    <w:rPr>
                      <w:rFonts w:hint="eastAsia"/>
                      <w:color w:val="000000" w:themeColor="text1"/>
                      <w:sz w:val="20"/>
                      <w:szCs w:val="20"/>
                      <w:highlight w:val="none"/>
                      <w14:textFill>
                        <w14:solidFill>
                          <w14:schemeClr w14:val="tx1"/>
                        </w14:solidFill>
                      </w14:textFill>
                    </w:rPr>
                    <w:t>42.0390</w:t>
                  </w:r>
                  <w:r>
                    <w:rPr>
                      <w:rFonts w:hint="eastAsia"/>
                      <w:color w:val="000000" w:themeColor="text1"/>
                      <w:sz w:val="20"/>
                      <w:szCs w:val="20"/>
                      <w:highlight w:val="none"/>
                      <w:lang w:val="en-US" w:eastAsia="zh-CN"/>
                      <w14:textFill>
                        <w14:solidFill>
                          <w14:schemeClr w14:val="tx1"/>
                        </w14:solidFill>
                      </w14:textFill>
                    </w:rPr>
                    <w:t>90</w:t>
                  </w:r>
                  <w:r>
                    <w:rPr>
                      <w:color w:val="000000" w:themeColor="text1"/>
                      <w:kern w:val="0"/>
                      <w:sz w:val="18"/>
                      <w:szCs w:val="18"/>
                      <w:highlight w:val="none"/>
                      <w:lang w:bidi="ar"/>
                      <w14:textFill>
                        <w14:solidFill>
                          <w14:schemeClr w14:val="tx1"/>
                        </w14:solidFill>
                      </w14:textFill>
                    </w:rPr>
                    <w:t>°</w:t>
                  </w:r>
                  <w:r>
                    <w:rPr>
                      <w:rFonts w:hint="eastAsia" w:ascii="宋体" w:hAnsi="宋体" w:cs="宋体"/>
                      <w:color w:val="000000" w:themeColor="text1"/>
                      <w:kern w:val="0"/>
                      <w:sz w:val="18"/>
                      <w:szCs w:val="18"/>
                      <w:highlight w:val="none"/>
                      <w:lang w:bidi="ar"/>
                      <w14:textFill>
                        <w14:solidFill>
                          <w14:schemeClr w14:val="tx1"/>
                        </w14:solidFill>
                      </w14:textFill>
                    </w:rPr>
                    <w:t>，以此中心点坐标为（</w:t>
                  </w:r>
                  <w:r>
                    <w:rPr>
                      <w:color w:val="000000" w:themeColor="text1"/>
                      <w:kern w:val="0"/>
                      <w:sz w:val="18"/>
                      <w:szCs w:val="18"/>
                      <w:highlight w:val="none"/>
                      <w:lang w:bidi="ar"/>
                      <w14:textFill>
                        <w14:solidFill>
                          <w14:schemeClr w14:val="tx1"/>
                        </w14:solidFill>
                      </w14:textFill>
                    </w:rPr>
                    <w:t>0</w:t>
                  </w:r>
                  <w:r>
                    <w:rPr>
                      <w:rFonts w:hint="eastAsia" w:ascii="宋体" w:hAnsi="宋体" w:cs="宋体"/>
                      <w:color w:val="000000" w:themeColor="text1"/>
                      <w:kern w:val="0"/>
                      <w:sz w:val="18"/>
                      <w:szCs w:val="18"/>
                      <w:highlight w:val="none"/>
                      <w:lang w:bidi="ar"/>
                      <w14:textFill>
                        <w14:solidFill>
                          <w14:schemeClr w14:val="tx1"/>
                        </w14:solidFill>
                      </w14:textFill>
                    </w:rPr>
                    <w:t>，</w:t>
                  </w:r>
                  <w:r>
                    <w:rPr>
                      <w:color w:val="000000" w:themeColor="text1"/>
                      <w:kern w:val="0"/>
                      <w:sz w:val="18"/>
                      <w:szCs w:val="18"/>
                      <w:highlight w:val="none"/>
                      <w:lang w:bidi="ar"/>
                      <w14:textFill>
                        <w14:solidFill>
                          <w14:schemeClr w14:val="tx1"/>
                        </w14:solidFill>
                      </w14:textFill>
                    </w:rPr>
                    <w:t>0</w:t>
                  </w:r>
                  <w:r>
                    <w:rPr>
                      <w:rFonts w:hint="eastAsia" w:ascii="宋体" w:hAnsi="宋体" w:cs="宋体"/>
                      <w:color w:val="000000" w:themeColor="text1"/>
                      <w:kern w:val="0"/>
                      <w:sz w:val="18"/>
                      <w:szCs w:val="18"/>
                      <w:highlight w:val="none"/>
                      <w:lang w:bidi="ar"/>
                      <w14:textFill>
                        <w14:solidFill>
                          <w14:schemeClr w14:val="tx1"/>
                        </w14:solidFill>
                      </w14:textFill>
                    </w:rPr>
                    <w:t>，</w:t>
                  </w:r>
                  <w:r>
                    <w:rPr>
                      <w:color w:val="000000" w:themeColor="text1"/>
                      <w:kern w:val="0"/>
                      <w:sz w:val="18"/>
                      <w:szCs w:val="18"/>
                      <w:highlight w:val="none"/>
                      <w:lang w:bidi="ar"/>
                      <w14:textFill>
                        <w14:solidFill>
                          <w14:schemeClr w14:val="tx1"/>
                        </w14:solidFill>
                      </w14:textFill>
                    </w:rPr>
                    <w:t>0</w:t>
                  </w:r>
                  <w:r>
                    <w:rPr>
                      <w:rFonts w:hint="eastAsia" w:ascii="宋体" w:hAnsi="宋体" w:cs="宋体"/>
                      <w:color w:val="000000" w:themeColor="text1"/>
                      <w:kern w:val="0"/>
                      <w:sz w:val="18"/>
                      <w:szCs w:val="18"/>
                      <w:highlight w:val="none"/>
                      <w:lang w:bidi="ar"/>
                      <w14:textFill>
                        <w14:solidFill>
                          <w14:schemeClr w14:val="tx1"/>
                        </w14:solidFill>
                      </w14:textFill>
                    </w:rPr>
                    <w:t>）</w:t>
                  </w:r>
                  <w:r>
                    <w:rPr>
                      <w:rFonts w:hint="eastAsia" w:ascii="宋体" w:hAnsi="宋体" w:cs="宋体"/>
                      <w:color w:val="000000" w:themeColor="text1"/>
                      <w:kern w:val="0"/>
                      <w:sz w:val="18"/>
                      <w:szCs w:val="18"/>
                      <w:highlight w:val="none"/>
                      <w:lang w:eastAsia="zh-CN" w:bidi="ar"/>
                      <w14:textFill>
                        <w14:solidFill>
                          <w14:schemeClr w14:val="tx1"/>
                        </w14:solidFill>
                      </w14:textFill>
                    </w:rPr>
                    <w:t>。</w:t>
                  </w:r>
                </w:p>
                <w:p w14:paraId="217306B1">
                  <w:pPr>
                    <w:pStyle w:val="11"/>
                    <w:keepNext w:val="0"/>
                    <w:keepLines w:val="0"/>
                    <w:pageBreakBefore w:val="0"/>
                    <w:kinsoku/>
                    <w:wordWrap/>
                    <w:overflowPunct/>
                    <w:topLinePunct w:val="0"/>
                    <w:autoSpaceDE/>
                    <w:autoSpaceDN/>
                    <w:bidi w:val="0"/>
                    <w:adjustRightInd/>
                    <w:snapToGrid/>
                    <w:spacing w:after="0" w:line="240" w:lineRule="auto"/>
                    <w:ind w:left="0" w:leftChars="0" w:firstLine="0" w:firstLineChars="0"/>
                    <w:jc w:val="left"/>
                    <w:rPr>
                      <w:color w:val="000000" w:themeColor="text1"/>
                      <w:szCs w:val="21"/>
                      <w:highlight w:val="none"/>
                      <w14:textFill>
                        <w14:solidFill>
                          <w14:schemeClr w14:val="tx1"/>
                        </w14:solidFill>
                      </w14:textFill>
                    </w:rPr>
                  </w:pPr>
                  <w:r>
                    <w:rPr>
                      <w:rFonts w:hint="eastAsia" w:ascii="宋体" w:hAnsi="宋体" w:cs="宋体"/>
                      <w:color w:val="000000" w:themeColor="text1"/>
                      <w:kern w:val="0"/>
                      <w:sz w:val="18"/>
                      <w:szCs w:val="18"/>
                      <w:highlight w:val="none"/>
                      <w:lang w:bidi="ar"/>
                      <w14:textFill>
                        <w14:solidFill>
                          <w14:schemeClr w14:val="tx1"/>
                        </w14:solidFill>
                      </w14:textFill>
                    </w:rPr>
                    <w:t>②</w:t>
                  </w:r>
                  <w:r>
                    <w:rPr>
                      <w:rFonts w:hint="eastAsia" w:ascii="宋体" w:hAnsi="宋体" w:cs="宋体"/>
                      <w:color w:val="000000" w:themeColor="text1"/>
                      <w:kern w:val="0"/>
                      <w:sz w:val="18"/>
                      <w:szCs w:val="18"/>
                      <w:highlight w:val="none"/>
                      <w:lang w:val="en-US" w:eastAsia="zh-CN" w:bidi="ar"/>
                      <w14:textFill>
                        <w14:solidFill>
                          <w14:schemeClr w14:val="tx1"/>
                        </w14:solidFill>
                      </w14:textFill>
                    </w:rPr>
                    <w:t>装载机</w:t>
                  </w:r>
                  <w:r>
                    <w:rPr>
                      <w:rFonts w:hint="eastAsia" w:ascii="宋体" w:hAnsi="宋体" w:cs="宋体"/>
                      <w:color w:val="000000" w:themeColor="text1"/>
                      <w:kern w:val="0"/>
                      <w:sz w:val="18"/>
                      <w:szCs w:val="18"/>
                      <w:highlight w:val="none"/>
                      <w:lang w:bidi="ar"/>
                      <w14:textFill>
                        <w14:solidFill>
                          <w14:schemeClr w14:val="tx1"/>
                        </w14:solidFill>
                      </w14:textFill>
                    </w:rPr>
                    <w:t>根据生产需要，移动使用。</w:t>
                  </w:r>
                </w:p>
              </w:tc>
            </w:tr>
          </w:tbl>
          <w:p w14:paraId="7D32A68D">
            <w:pPr>
              <w:rPr>
                <w:color w:val="000000" w:themeColor="text1"/>
                <w:highlight w:val="none"/>
                <w14:textFill>
                  <w14:solidFill>
                    <w14:schemeClr w14:val="tx1"/>
                  </w14:solidFill>
                </w14:textFill>
              </w:rPr>
            </w:pPr>
          </w:p>
          <w:p w14:paraId="2FD88C5B">
            <w:pPr>
              <w:rPr>
                <w:color w:val="000000" w:themeColor="text1"/>
                <w:highlight w:val="none"/>
                <w14:textFill>
                  <w14:solidFill>
                    <w14:schemeClr w14:val="tx1"/>
                  </w14:solidFill>
                </w14:textFill>
              </w:rPr>
            </w:pPr>
          </w:p>
          <w:p w14:paraId="30A851DB">
            <w:pPr>
              <w:rPr>
                <w:color w:val="000000" w:themeColor="text1"/>
                <w:highlight w:val="none"/>
                <w14:textFill>
                  <w14:solidFill>
                    <w14:schemeClr w14:val="tx1"/>
                  </w14:solidFill>
                </w14:textFill>
              </w:rPr>
            </w:pPr>
          </w:p>
        </w:tc>
      </w:tr>
    </w:tbl>
    <w:p w14:paraId="109876E5">
      <w:pPr>
        <w:rPr>
          <w:color w:val="000000" w:themeColor="text1"/>
          <w:highlight w:val="none"/>
          <w14:textFill>
            <w14:solidFill>
              <w14:schemeClr w14:val="tx1"/>
            </w14:solidFill>
          </w14:textFill>
        </w:rPr>
      </w:pPr>
    </w:p>
    <w:p w14:paraId="2640CF72">
      <w:pPr>
        <w:rPr>
          <w:color w:val="000000" w:themeColor="text1"/>
          <w:highlight w:val="none"/>
          <w14:textFill>
            <w14:solidFill>
              <w14:schemeClr w14:val="tx1"/>
            </w14:solidFill>
          </w14:textFill>
        </w:rPr>
        <w:sectPr>
          <w:pgSz w:w="16840" w:h="11907" w:orient="landscape"/>
          <w:pgMar w:top="1531" w:right="1701" w:bottom="1531" w:left="2127" w:header="851" w:footer="851" w:gutter="0"/>
          <w:pgNumType w:fmt="decimal"/>
          <w:cols w:space="720" w:num="1"/>
          <w:docGrid w:linePitch="312" w:charSpace="0"/>
        </w:sectPr>
      </w:pPr>
    </w:p>
    <w:tbl>
      <w:tblPr>
        <w:tblStyle w:val="18"/>
        <w:tblW w:w="8782"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74"/>
        <w:gridCol w:w="8508"/>
      </w:tblGrid>
      <w:tr w14:paraId="70B22E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74" w:type="dxa"/>
            <w:tcMar>
              <w:left w:w="28" w:type="dxa"/>
              <w:right w:w="28" w:type="dxa"/>
            </w:tcMar>
            <w:vAlign w:val="center"/>
          </w:tcPr>
          <w:p w14:paraId="182112C6">
            <w:pPr>
              <w:adjustRightInd w:val="0"/>
              <w:snapToGrid w:val="0"/>
              <w:jc w:val="center"/>
              <w:rPr>
                <w:rFonts w:ascii="宋体" w:hAnsi="宋体" w:cs="宋体"/>
                <w:bCs/>
                <w:color w:val="000000" w:themeColor="text1"/>
                <w:szCs w:val="21"/>
                <w:highlight w:val="none"/>
                <w14:textFill>
                  <w14:solidFill>
                    <w14:schemeClr w14:val="tx1"/>
                  </w14:solidFill>
                </w14:textFill>
              </w:rPr>
            </w:pPr>
          </w:p>
        </w:tc>
        <w:tc>
          <w:tcPr>
            <w:tcW w:w="8508" w:type="dxa"/>
            <w:vAlign w:val="center"/>
          </w:tcPr>
          <w:p w14:paraId="2D41864A">
            <w:pPr>
              <w:widowControl/>
              <w:spacing w:line="360" w:lineRule="auto"/>
              <w:ind w:firstLine="480" w:firstLineChars="200"/>
              <w:jc w:val="left"/>
              <w:rPr>
                <w:color w:val="auto"/>
                <w:kern w:val="0"/>
                <w:sz w:val="24"/>
                <w:highlight w:val="none"/>
                <w:lang w:bidi="ar"/>
              </w:rPr>
            </w:pPr>
            <w:r>
              <w:rPr>
                <w:color w:val="auto"/>
                <w:kern w:val="0"/>
                <w:sz w:val="24"/>
                <w:highlight w:val="none"/>
                <w:lang w:bidi="ar"/>
              </w:rPr>
              <w:t>3.2 噪声防治措施</w:t>
            </w:r>
          </w:p>
          <w:p w14:paraId="0E3F8545">
            <w:pPr>
              <w:widowControl/>
              <w:spacing w:line="360" w:lineRule="auto"/>
              <w:ind w:firstLine="480" w:firstLineChars="200"/>
              <w:jc w:val="left"/>
              <w:rPr>
                <w:rFonts w:hint="eastAsia" w:ascii="宋体" w:hAnsi="宋体" w:eastAsia="宋体" w:cs="宋体"/>
                <w:color w:val="auto"/>
                <w:kern w:val="0"/>
                <w:sz w:val="24"/>
                <w:highlight w:val="none"/>
                <w:lang w:eastAsia="zh-CN" w:bidi="ar"/>
              </w:rPr>
            </w:pPr>
            <w:r>
              <w:rPr>
                <w:rFonts w:hint="eastAsia" w:ascii="宋体" w:hAnsi="宋体" w:cs="宋体"/>
                <w:color w:val="auto"/>
                <w:kern w:val="0"/>
                <w:sz w:val="24"/>
                <w:highlight w:val="none"/>
                <w:lang w:bidi="ar"/>
              </w:rPr>
              <w:t>本项目车间布局合理，将噪声强度较大的设备尽量设置在</w:t>
            </w:r>
            <w:r>
              <w:rPr>
                <w:rFonts w:hint="eastAsia" w:ascii="宋体" w:hAnsi="宋体" w:cs="宋体"/>
                <w:color w:val="auto"/>
                <w:kern w:val="0"/>
                <w:sz w:val="24"/>
                <w:highlight w:val="none"/>
                <w:lang w:val="en-US" w:eastAsia="zh-CN" w:bidi="ar"/>
              </w:rPr>
              <w:t>全</w:t>
            </w:r>
            <w:r>
              <w:rPr>
                <w:rFonts w:hint="eastAsia" w:ascii="宋体" w:hAnsi="宋体" w:cs="宋体"/>
                <w:color w:val="auto"/>
                <w:kern w:val="0"/>
                <w:sz w:val="24"/>
                <w:highlight w:val="none"/>
                <w:lang w:bidi="ar"/>
              </w:rPr>
              <w:t>封闭厂房内，</w:t>
            </w:r>
            <w:r>
              <w:rPr>
                <w:rFonts w:hint="eastAsia" w:ascii="宋体" w:hAnsi="宋体" w:cs="宋体"/>
                <w:color w:val="auto"/>
                <w:kern w:val="0"/>
                <w:sz w:val="24"/>
                <w:highlight w:val="none"/>
                <w:lang w:val="en-US" w:eastAsia="zh-CN" w:bidi="ar"/>
              </w:rPr>
              <w:t>建筑</w:t>
            </w:r>
            <w:r>
              <w:rPr>
                <w:rFonts w:hint="eastAsia" w:ascii="宋体" w:hAnsi="宋体" w:cs="宋体"/>
                <w:color w:val="auto"/>
                <w:kern w:val="0"/>
                <w:sz w:val="24"/>
                <w:highlight w:val="none"/>
                <w:lang w:bidi="ar"/>
              </w:rPr>
              <w:t>隔声</w:t>
            </w:r>
            <w:r>
              <w:rPr>
                <w:rFonts w:hint="eastAsia" w:ascii="宋体" w:hAnsi="宋体" w:cs="宋体"/>
                <w:color w:val="auto"/>
                <w:kern w:val="0"/>
                <w:sz w:val="24"/>
                <w:highlight w:val="none"/>
                <w:lang w:eastAsia="zh-CN" w:bidi="ar"/>
              </w:rPr>
              <w:t>、</w:t>
            </w:r>
            <w:r>
              <w:rPr>
                <w:rFonts w:hint="eastAsia" w:ascii="宋体" w:hAnsi="宋体" w:cs="宋体"/>
                <w:color w:val="auto"/>
                <w:kern w:val="0"/>
                <w:sz w:val="24"/>
                <w:highlight w:val="none"/>
                <w:lang w:bidi="ar"/>
              </w:rPr>
              <w:t>减振处理，以尽量减少对周围环境的影响。提高机械装配精度，减少机械振动和摩擦产生的噪声，防止共振。设备选型时考虑低噪声设备。风机等噪声较大设备均采用独立基础，并加装减振垫等。生产过程中应加强生产设备的保养、检修与润滑，保证设备处于良好的运转状态。</w:t>
            </w:r>
            <w:r>
              <w:rPr>
                <w:rFonts w:hint="eastAsia" w:ascii="宋体" w:hAnsi="宋体" w:cs="宋体"/>
                <w:color w:val="auto"/>
                <w:kern w:val="0"/>
                <w:sz w:val="24"/>
                <w:highlight w:val="none"/>
                <w:lang w:val="en-US" w:eastAsia="zh-CN" w:bidi="ar"/>
              </w:rPr>
              <w:t>运输</w:t>
            </w:r>
            <w:r>
              <w:rPr>
                <w:rFonts w:hint="eastAsia" w:ascii="宋体" w:hAnsi="宋体" w:eastAsia="宋体" w:cs="宋体"/>
                <w:color w:val="auto"/>
                <w:kern w:val="0"/>
                <w:sz w:val="24"/>
                <w:highlight w:val="none"/>
                <w:lang w:bidi="ar"/>
              </w:rPr>
              <w:t>车辆限速限制鸣笛</w:t>
            </w:r>
            <w:r>
              <w:rPr>
                <w:rFonts w:hint="eastAsia" w:ascii="宋体" w:hAnsi="宋体" w:eastAsia="宋体" w:cs="宋体"/>
                <w:color w:val="auto"/>
                <w:kern w:val="0"/>
                <w:sz w:val="24"/>
                <w:highlight w:val="none"/>
                <w:lang w:eastAsia="zh-CN" w:bidi="ar"/>
              </w:rPr>
              <w:t>。</w:t>
            </w:r>
          </w:p>
          <w:p w14:paraId="0655AF60">
            <w:pPr>
              <w:widowControl/>
              <w:spacing w:line="360" w:lineRule="auto"/>
              <w:ind w:firstLine="480" w:firstLineChars="200"/>
              <w:jc w:val="left"/>
              <w:rPr>
                <w:color w:val="auto"/>
                <w:sz w:val="24"/>
                <w:highlight w:val="none"/>
              </w:rPr>
            </w:pPr>
            <w:r>
              <w:rPr>
                <w:rFonts w:hint="eastAsia"/>
                <w:color w:val="auto"/>
                <w:kern w:val="0"/>
                <w:sz w:val="24"/>
                <w:highlight w:val="none"/>
                <w:lang w:bidi="ar"/>
              </w:rPr>
              <w:t>3.3</w:t>
            </w:r>
            <w:r>
              <w:rPr>
                <w:color w:val="auto"/>
                <w:kern w:val="0"/>
                <w:sz w:val="24"/>
                <w:highlight w:val="none"/>
                <w:lang w:bidi="ar"/>
              </w:rPr>
              <w:t>运营期厂界噪声达标分析</w:t>
            </w:r>
          </w:p>
          <w:p w14:paraId="31A0A3FA">
            <w:pPr>
              <w:spacing w:line="360" w:lineRule="auto"/>
              <w:ind w:firstLine="480" w:firstLineChars="200"/>
              <w:rPr>
                <w:bCs/>
                <w:color w:val="auto"/>
                <w:sz w:val="24"/>
                <w:highlight w:val="none"/>
              </w:rPr>
            </w:pPr>
            <w:r>
              <w:rPr>
                <w:rFonts w:hint="eastAsia"/>
                <w:color w:val="auto"/>
                <w:sz w:val="24"/>
                <w:highlight w:val="none"/>
              </w:rPr>
              <w:t>由于预测点距声源的距离远远大于声源本身的尺寸，因此各噪声源设备辐射的噪声传播可视为点声源。本次评价采用《环境影响评价技术导则 声环境》（HJ2.4-2021）中附录A“户外声传播衰减”和附录B“工业噪声预测计算模型”进行预测。</w:t>
            </w:r>
          </w:p>
          <w:p w14:paraId="587AEBFC">
            <w:pPr>
              <w:spacing w:line="360" w:lineRule="auto"/>
              <w:ind w:firstLine="480" w:firstLineChars="200"/>
              <w:outlineLvl w:val="5"/>
              <w:rPr>
                <w:iCs/>
                <w:color w:val="auto"/>
                <w:sz w:val="24"/>
                <w:highlight w:val="none"/>
              </w:rPr>
            </w:pPr>
            <w:r>
              <w:rPr>
                <w:rFonts w:hint="eastAsia" w:ascii="宋体" w:hAnsi="宋体"/>
                <w:iCs/>
                <w:color w:val="auto"/>
                <w:sz w:val="24"/>
                <w:highlight w:val="none"/>
              </w:rPr>
              <w:t>①</w:t>
            </w:r>
            <w:r>
              <w:rPr>
                <w:rFonts w:hint="eastAsia"/>
                <w:iCs/>
                <w:color w:val="auto"/>
                <w:sz w:val="24"/>
                <w:highlight w:val="none"/>
              </w:rPr>
              <w:t>室内声源等效室外声源声功率级计算方法</w:t>
            </w:r>
          </w:p>
          <w:p w14:paraId="03F843B0">
            <w:pPr>
              <w:spacing w:line="360" w:lineRule="auto"/>
              <w:ind w:firstLine="480" w:firstLineChars="200"/>
              <w:rPr>
                <w:rFonts w:ascii="宋体" w:hAnsi="宋体"/>
                <w:iCs/>
                <w:color w:val="auto"/>
                <w:sz w:val="24"/>
                <w:highlight w:val="none"/>
              </w:rPr>
            </w:pPr>
            <w:r>
              <w:rPr>
                <w:rFonts w:hint="eastAsia"/>
                <w:color w:val="auto"/>
                <w:sz w:val="24"/>
                <w:highlight w:val="none"/>
              </w:rPr>
              <w:t>参照导则附录</w:t>
            </w:r>
            <w:r>
              <w:rPr>
                <w:color w:val="auto"/>
                <w:sz w:val="24"/>
                <w:highlight w:val="none"/>
              </w:rPr>
              <w:t>B. 1</w:t>
            </w:r>
            <w:r>
              <w:rPr>
                <w:rFonts w:hint="eastAsia"/>
                <w:color w:val="auto"/>
                <w:sz w:val="24"/>
                <w:highlight w:val="none"/>
              </w:rPr>
              <w:t>内容，某个室内声源靠近围护结构处的倍频带声压级计算公式如下：</w:t>
            </w:r>
          </w:p>
          <w:p w14:paraId="0DF51155">
            <w:pPr>
              <w:spacing w:line="360" w:lineRule="auto"/>
              <w:jc w:val="center"/>
              <w:rPr>
                <w:rFonts w:ascii="宋体" w:hAnsi="宋体"/>
                <w:iCs/>
                <w:color w:val="auto"/>
                <w:sz w:val="24"/>
                <w:highlight w:val="none"/>
              </w:rPr>
            </w:pPr>
            <w:r>
              <w:rPr>
                <w:color w:val="auto"/>
                <w:position w:val="-28"/>
                <w:highlight w:val="none"/>
              </w:rPr>
              <w:object>
                <v:shape id="_x0000_i1027" o:spt="75" type="#_x0000_t75" style="height:33.8pt;width:135.85pt;" o:ole="t" filled="f" o:preferrelative="t" stroked="f" coordsize="21600,21600">
                  <v:path/>
                  <v:fill on="f" focussize="0,0"/>
                  <v:stroke on="f" joinstyle="miter"/>
                  <v:imagedata r:id="rId27" o:title=""/>
                  <o:lock v:ext="edit" aspectratio="t"/>
                  <w10:wrap type="none"/>
                  <w10:anchorlock/>
                </v:shape>
                <o:OLEObject Type="Embed" ProgID="Equation.DSMT4" ShapeID="_x0000_i1027" DrawAspect="Content" ObjectID="_1468075727" r:id="rId26">
                  <o:LockedField>false</o:LockedField>
                </o:OLEObject>
              </w:object>
            </w:r>
          </w:p>
          <w:p w14:paraId="47FB6C62">
            <w:pPr>
              <w:spacing w:line="360" w:lineRule="auto"/>
              <w:ind w:firstLine="480" w:firstLineChars="200"/>
              <w:rPr>
                <w:color w:val="auto"/>
                <w:sz w:val="24"/>
                <w:highlight w:val="none"/>
              </w:rPr>
            </w:pPr>
            <w:r>
              <w:rPr>
                <w:color w:val="auto"/>
                <w:sz w:val="24"/>
                <w:highlight w:val="none"/>
              </w:rPr>
              <w:t>式中：</w:t>
            </w:r>
            <w:r>
              <w:rPr>
                <w:i/>
                <w:color w:val="auto"/>
                <w:sz w:val="24"/>
                <w:highlight w:val="none"/>
              </w:rPr>
              <w:t>L</w:t>
            </w:r>
            <w:r>
              <w:rPr>
                <w:i/>
                <w:color w:val="auto"/>
                <w:sz w:val="24"/>
                <w:highlight w:val="none"/>
                <w:vertAlign w:val="subscript"/>
              </w:rPr>
              <w:t>p1</w:t>
            </w:r>
            <w:r>
              <w:rPr>
                <w:color w:val="auto"/>
                <w:sz w:val="24"/>
                <w:highlight w:val="none"/>
              </w:rPr>
              <w:t>——</w:t>
            </w:r>
            <w:r>
              <w:rPr>
                <w:rFonts w:hint="eastAsia"/>
                <w:color w:val="auto"/>
                <w:sz w:val="24"/>
                <w:highlight w:val="none"/>
              </w:rPr>
              <w:t>靠近开口处（或窗户）室内某倍频带的声压级，d</w:t>
            </w:r>
            <w:r>
              <w:rPr>
                <w:color w:val="auto"/>
                <w:sz w:val="24"/>
                <w:highlight w:val="none"/>
              </w:rPr>
              <w:t>B</w:t>
            </w:r>
            <w:r>
              <w:rPr>
                <w:rFonts w:hint="eastAsia"/>
                <w:color w:val="auto"/>
                <w:sz w:val="24"/>
                <w:highlight w:val="none"/>
              </w:rPr>
              <w:t>；</w:t>
            </w:r>
            <w:r>
              <w:rPr>
                <w:color w:val="auto"/>
                <w:sz w:val="24"/>
                <w:highlight w:val="none"/>
              </w:rPr>
              <w:t xml:space="preserve"> </w:t>
            </w:r>
          </w:p>
          <w:p w14:paraId="6A6CDE51">
            <w:pPr>
              <w:spacing w:line="360" w:lineRule="auto"/>
              <w:ind w:firstLine="1200" w:firstLineChars="500"/>
              <w:rPr>
                <w:color w:val="auto"/>
                <w:sz w:val="24"/>
                <w:highlight w:val="none"/>
              </w:rPr>
            </w:pPr>
            <w:r>
              <w:rPr>
                <w:i/>
                <w:color w:val="auto"/>
                <w:sz w:val="24"/>
                <w:highlight w:val="none"/>
              </w:rPr>
              <w:t>L</w:t>
            </w:r>
            <w:r>
              <w:rPr>
                <w:rFonts w:hint="eastAsia"/>
                <w:i/>
                <w:color w:val="auto"/>
                <w:sz w:val="24"/>
                <w:highlight w:val="none"/>
                <w:vertAlign w:val="subscript"/>
              </w:rPr>
              <w:t>w</w:t>
            </w:r>
            <w:r>
              <w:rPr>
                <w:color w:val="auto"/>
                <w:sz w:val="24"/>
                <w:highlight w:val="none"/>
              </w:rPr>
              <w:t>——</w:t>
            </w:r>
            <w:r>
              <w:rPr>
                <w:rFonts w:hint="eastAsia"/>
                <w:color w:val="auto"/>
                <w:sz w:val="24"/>
                <w:highlight w:val="none"/>
              </w:rPr>
              <w:t>点声源声功率级，dB</w:t>
            </w:r>
            <w:r>
              <w:rPr>
                <w:color w:val="auto"/>
                <w:sz w:val="24"/>
                <w:highlight w:val="none"/>
              </w:rPr>
              <w:t>；</w:t>
            </w:r>
          </w:p>
          <w:p w14:paraId="2900A82A">
            <w:pPr>
              <w:spacing w:line="360" w:lineRule="auto"/>
              <w:ind w:firstLine="1200" w:firstLineChars="500"/>
              <w:rPr>
                <w:rFonts w:ascii="宋体" w:cs="宋体"/>
                <w:color w:val="auto"/>
                <w:sz w:val="24"/>
                <w:highlight w:val="none"/>
              </w:rPr>
            </w:pPr>
            <w:r>
              <w:rPr>
                <w:i/>
                <w:iCs/>
                <w:color w:val="auto"/>
                <w:sz w:val="24"/>
                <w:highlight w:val="none"/>
              </w:rPr>
              <w:t>Q</w:t>
            </w:r>
            <w:r>
              <w:rPr>
                <w:color w:val="auto"/>
                <w:sz w:val="24"/>
                <w:highlight w:val="none"/>
              </w:rPr>
              <w:t>——</w:t>
            </w:r>
            <w:r>
              <w:rPr>
                <w:rFonts w:hint="eastAsia" w:ascii="宋体" w:cs="宋体"/>
                <w:color w:val="auto"/>
                <w:sz w:val="24"/>
                <w:highlight w:val="none"/>
              </w:rPr>
              <w:t>指向性因数；通常对无指向性声源，当声源放在房间中心时，</w:t>
            </w:r>
            <w:r>
              <w:rPr>
                <w:i/>
                <w:iCs/>
                <w:color w:val="auto"/>
                <w:sz w:val="24"/>
                <w:highlight w:val="none"/>
              </w:rPr>
              <w:t>Q</w:t>
            </w:r>
            <w:r>
              <w:rPr>
                <w:color w:val="auto"/>
                <w:sz w:val="24"/>
                <w:highlight w:val="none"/>
              </w:rPr>
              <w:t>=1</w:t>
            </w:r>
            <w:r>
              <w:rPr>
                <w:rFonts w:hint="eastAsia" w:ascii="宋体" w:cs="宋体"/>
                <w:color w:val="auto"/>
                <w:sz w:val="24"/>
                <w:highlight w:val="none"/>
              </w:rPr>
              <w:t>；当放在一面墙的中心时，</w:t>
            </w:r>
            <w:r>
              <w:rPr>
                <w:i/>
                <w:iCs/>
                <w:color w:val="auto"/>
                <w:sz w:val="24"/>
                <w:highlight w:val="none"/>
              </w:rPr>
              <w:t>Q</w:t>
            </w:r>
            <w:r>
              <w:rPr>
                <w:color w:val="auto"/>
                <w:sz w:val="24"/>
                <w:highlight w:val="none"/>
              </w:rPr>
              <w:t>=2</w:t>
            </w:r>
            <w:r>
              <w:rPr>
                <w:rFonts w:hint="eastAsia" w:ascii="宋体" w:cs="宋体"/>
                <w:color w:val="auto"/>
                <w:sz w:val="24"/>
                <w:highlight w:val="none"/>
              </w:rPr>
              <w:t>；当放在两面墙夹角处时，</w:t>
            </w:r>
            <w:r>
              <w:rPr>
                <w:i/>
                <w:iCs/>
                <w:color w:val="auto"/>
                <w:sz w:val="24"/>
                <w:highlight w:val="none"/>
              </w:rPr>
              <w:t>Q</w:t>
            </w:r>
            <w:r>
              <w:rPr>
                <w:color w:val="auto"/>
                <w:sz w:val="24"/>
                <w:highlight w:val="none"/>
              </w:rPr>
              <w:t>=4</w:t>
            </w:r>
            <w:r>
              <w:rPr>
                <w:rFonts w:hint="eastAsia" w:ascii="宋体" w:cs="宋体"/>
                <w:color w:val="auto"/>
                <w:sz w:val="24"/>
                <w:highlight w:val="none"/>
              </w:rPr>
              <w:t>；当放在三面墙夹角处时，</w:t>
            </w:r>
            <w:r>
              <w:rPr>
                <w:i/>
                <w:iCs/>
                <w:color w:val="auto"/>
                <w:sz w:val="24"/>
                <w:highlight w:val="none"/>
              </w:rPr>
              <w:t>Q</w:t>
            </w:r>
            <w:r>
              <w:rPr>
                <w:color w:val="auto"/>
                <w:sz w:val="24"/>
                <w:highlight w:val="none"/>
              </w:rPr>
              <w:t>=8</w:t>
            </w:r>
            <w:r>
              <w:rPr>
                <w:rFonts w:hint="eastAsia" w:ascii="宋体" w:cs="宋体"/>
                <w:color w:val="auto"/>
                <w:sz w:val="24"/>
                <w:highlight w:val="none"/>
              </w:rPr>
              <w:t>；</w:t>
            </w:r>
          </w:p>
          <w:p w14:paraId="5D04025F">
            <w:pPr>
              <w:spacing w:line="360" w:lineRule="auto"/>
              <w:ind w:firstLine="1200" w:firstLineChars="500"/>
              <w:rPr>
                <w:rFonts w:ascii="宋体" w:cs="宋体"/>
                <w:color w:val="auto"/>
                <w:sz w:val="24"/>
                <w:highlight w:val="none"/>
              </w:rPr>
            </w:pPr>
            <w:r>
              <w:rPr>
                <w:i/>
                <w:iCs/>
                <w:color w:val="auto"/>
                <w:sz w:val="24"/>
                <w:highlight w:val="none"/>
              </w:rPr>
              <w:t>R</w:t>
            </w:r>
            <w:r>
              <w:rPr>
                <w:color w:val="auto"/>
                <w:sz w:val="24"/>
                <w:highlight w:val="none"/>
              </w:rPr>
              <w:t>——</w:t>
            </w:r>
            <w:r>
              <w:rPr>
                <w:rFonts w:hint="eastAsia" w:ascii="宋体" w:cs="宋体"/>
                <w:color w:val="auto"/>
                <w:sz w:val="24"/>
                <w:highlight w:val="none"/>
              </w:rPr>
              <w:t>房间常数；</w:t>
            </w:r>
            <w:r>
              <w:rPr>
                <w:i/>
                <w:iCs/>
                <w:color w:val="auto"/>
                <w:sz w:val="24"/>
                <w:highlight w:val="none"/>
              </w:rPr>
              <w:t>R=Sα/(1-α)</w:t>
            </w:r>
            <w:r>
              <w:rPr>
                <w:rFonts w:hint="eastAsia" w:ascii="宋体" w:cs="宋体"/>
                <w:color w:val="auto"/>
                <w:sz w:val="24"/>
                <w:highlight w:val="none"/>
              </w:rPr>
              <w:t>，</w:t>
            </w:r>
            <w:r>
              <w:rPr>
                <w:i/>
                <w:iCs/>
                <w:color w:val="auto"/>
                <w:sz w:val="24"/>
                <w:highlight w:val="none"/>
              </w:rPr>
              <w:t>S</w:t>
            </w:r>
            <w:r>
              <w:rPr>
                <w:rFonts w:hint="eastAsia" w:ascii="宋体" w:cs="宋体"/>
                <w:color w:val="auto"/>
                <w:sz w:val="24"/>
                <w:highlight w:val="none"/>
              </w:rPr>
              <w:t>为房间内表面面积，</w:t>
            </w:r>
            <w:r>
              <w:rPr>
                <w:color w:val="auto"/>
                <w:sz w:val="24"/>
                <w:highlight w:val="none"/>
              </w:rPr>
              <w:t>m</w:t>
            </w:r>
            <w:r>
              <w:rPr>
                <w:color w:val="auto"/>
                <w:sz w:val="24"/>
                <w:highlight w:val="none"/>
                <w:vertAlign w:val="superscript"/>
              </w:rPr>
              <w:t>2</w:t>
            </w:r>
            <w:r>
              <w:rPr>
                <w:rFonts w:hint="eastAsia" w:ascii="宋体" w:cs="宋体"/>
                <w:color w:val="auto"/>
                <w:sz w:val="24"/>
                <w:highlight w:val="none"/>
              </w:rPr>
              <w:t>；</w:t>
            </w:r>
            <w:r>
              <w:rPr>
                <w:i/>
                <w:iCs/>
                <w:color w:val="auto"/>
                <w:sz w:val="24"/>
                <w:highlight w:val="none"/>
              </w:rPr>
              <w:t>α</w:t>
            </w:r>
            <w:r>
              <w:rPr>
                <w:rFonts w:hint="eastAsia" w:ascii="宋体" w:cs="宋体"/>
                <w:color w:val="auto"/>
                <w:sz w:val="24"/>
                <w:highlight w:val="none"/>
              </w:rPr>
              <w:t>为平均吸声系数；</w:t>
            </w:r>
          </w:p>
          <w:p w14:paraId="3153CB7C">
            <w:pPr>
              <w:spacing w:line="360" w:lineRule="auto"/>
              <w:ind w:firstLine="1200" w:firstLineChars="500"/>
              <w:rPr>
                <w:color w:val="auto"/>
                <w:sz w:val="24"/>
                <w:highlight w:val="none"/>
              </w:rPr>
            </w:pPr>
            <w:r>
              <w:rPr>
                <w:rFonts w:hint="eastAsia"/>
                <w:i/>
                <w:color w:val="auto"/>
                <w:sz w:val="24"/>
                <w:highlight w:val="none"/>
              </w:rPr>
              <w:t>r</w:t>
            </w:r>
            <w:r>
              <w:rPr>
                <w:color w:val="auto"/>
                <w:sz w:val="24"/>
                <w:highlight w:val="none"/>
              </w:rPr>
              <w:t>——</w:t>
            </w:r>
            <w:r>
              <w:rPr>
                <w:rFonts w:hint="eastAsia"/>
                <w:color w:val="auto"/>
                <w:sz w:val="24"/>
                <w:highlight w:val="none"/>
              </w:rPr>
              <w:t>声源到靠近围护结构某点处的距离，m。</w:t>
            </w:r>
          </w:p>
          <w:p w14:paraId="0AC59B48">
            <w:pPr>
              <w:spacing w:line="360" w:lineRule="auto"/>
              <w:ind w:firstLine="480" w:firstLineChars="200"/>
              <w:rPr>
                <w:rFonts w:ascii="宋体" w:hAnsi="宋体"/>
                <w:iCs/>
                <w:color w:val="auto"/>
                <w:sz w:val="24"/>
                <w:highlight w:val="none"/>
              </w:rPr>
            </w:pPr>
            <w:r>
              <w:rPr>
                <w:rFonts w:hint="eastAsia" w:ascii="宋体" w:hAnsi="宋体"/>
                <w:iCs/>
                <w:color w:val="auto"/>
                <w:sz w:val="24"/>
                <w:highlight w:val="none"/>
              </w:rPr>
              <w:t>然后按下式计算出所有室内声源在围护结构处产生的</w:t>
            </w:r>
            <w:r>
              <w:rPr>
                <w:i/>
                <w:color w:val="auto"/>
                <w:sz w:val="24"/>
                <w:highlight w:val="none"/>
              </w:rPr>
              <w:t xml:space="preserve">i </w:t>
            </w:r>
            <w:r>
              <w:rPr>
                <w:rFonts w:hint="eastAsia" w:ascii="宋体" w:hAnsi="宋体"/>
                <w:iCs/>
                <w:color w:val="auto"/>
                <w:sz w:val="24"/>
                <w:highlight w:val="none"/>
              </w:rPr>
              <w:t>倍频带叠加声压级：</w:t>
            </w:r>
          </w:p>
          <w:p w14:paraId="60643388">
            <w:pPr>
              <w:spacing w:line="360" w:lineRule="auto"/>
              <w:jc w:val="center"/>
              <w:rPr>
                <w:color w:val="auto"/>
                <w:sz w:val="24"/>
                <w:highlight w:val="none"/>
              </w:rPr>
            </w:pPr>
            <w:r>
              <w:rPr>
                <w:color w:val="auto"/>
                <w:position w:val="-30"/>
                <w:highlight w:val="none"/>
              </w:rPr>
              <w:object>
                <v:shape id="_x0000_i1028" o:spt="75" type="#_x0000_t75" style="height:35.05pt;width:128.35pt;" o:ole="t" filled="f" o:preferrelative="t" stroked="f" coordsize="21600,21600">
                  <v:path/>
                  <v:fill on="f" focussize="0,0"/>
                  <v:stroke on="f" joinstyle="miter"/>
                  <v:imagedata r:id="rId29" o:title=""/>
                  <o:lock v:ext="edit" aspectratio="t"/>
                  <w10:wrap type="none"/>
                  <w10:anchorlock/>
                </v:shape>
                <o:OLEObject Type="Embed" ProgID="Equation.DSMT4" ShapeID="_x0000_i1028" DrawAspect="Content" ObjectID="_1468075728" r:id="rId28">
                  <o:LockedField>false</o:LockedField>
                </o:OLEObject>
              </w:object>
            </w:r>
          </w:p>
          <w:p w14:paraId="2042BED0">
            <w:pPr>
              <w:spacing w:line="360" w:lineRule="auto"/>
              <w:ind w:firstLine="480" w:firstLineChars="200"/>
              <w:rPr>
                <w:color w:val="auto"/>
                <w:sz w:val="24"/>
                <w:highlight w:val="none"/>
              </w:rPr>
            </w:pPr>
            <w:r>
              <w:rPr>
                <w:color w:val="auto"/>
                <w:sz w:val="24"/>
                <w:highlight w:val="none"/>
              </w:rPr>
              <w:t>式中：</w:t>
            </w:r>
            <w:r>
              <w:rPr>
                <w:i/>
                <w:color w:val="auto"/>
                <w:sz w:val="24"/>
                <w:highlight w:val="none"/>
              </w:rPr>
              <w:t>L</w:t>
            </w:r>
            <w:r>
              <w:rPr>
                <w:i/>
                <w:color w:val="auto"/>
                <w:sz w:val="24"/>
                <w:highlight w:val="none"/>
                <w:vertAlign w:val="subscript"/>
              </w:rPr>
              <w:t>p</w:t>
            </w:r>
            <w:r>
              <w:rPr>
                <w:iCs/>
                <w:color w:val="auto"/>
                <w:sz w:val="24"/>
                <w:highlight w:val="none"/>
                <w:vertAlign w:val="subscript"/>
              </w:rPr>
              <w:t>1</w:t>
            </w:r>
            <w:r>
              <w:rPr>
                <w:rFonts w:hint="eastAsia"/>
                <w:i/>
                <w:iCs/>
                <w:color w:val="auto"/>
                <w:sz w:val="24"/>
                <w:highlight w:val="none"/>
                <w:vertAlign w:val="subscript"/>
              </w:rPr>
              <w:t>i</w:t>
            </w:r>
            <w:r>
              <w:rPr>
                <w:rFonts w:hint="eastAsia"/>
                <w:color w:val="auto"/>
                <w:sz w:val="24"/>
                <w:highlight w:val="none"/>
              </w:rPr>
              <w:t xml:space="preserve"> </w:t>
            </w:r>
            <w:r>
              <w:rPr>
                <w:rFonts w:hint="eastAsia" w:ascii="宋体" w:hAnsi="宋体"/>
                <w:color w:val="auto"/>
                <w:sz w:val="24"/>
                <w:highlight w:val="none"/>
              </w:rPr>
              <w:t>(</w:t>
            </w:r>
            <w:r>
              <w:rPr>
                <w:rFonts w:hint="eastAsia"/>
                <w:i/>
                <w:iCs/>
                <w:color w:val="auto"/>
                <w:sz w:val="24"/>
                <w:highlight w:val="none"/>
              </w:rPr>
              <w:t>T</w:t>
            </w:r>
            <w:r>
              <w:rPr>
                <w:rFonts w:ascii="宋体" w:hAnsi="宋体"/>
                <w:color w:val="auto"/>
                <w:sz w:val="24"/>
                <w:highlight w:val="none"/>
              </w:rPr>
              <w:t>)</w:t>
            </w:r>
            <w:bookmarkStart w:id="4" w:name="_Hlk112405909"/>
            <w:r>
              <w:rPr>
                <w:color w:val="auto"/>
                <w:sz w:val="24"/>
                <w:highlight w:val="none"/>
              </w:rPr>
              <w:t>——</w:t>
            </w:r>
            <w:bookmarkEnd w:id="4"/>
            <w:r>
              <w:rPr>
                <w:rFonts w:hint="eastAsia"/>
                <w:color w:val="auto"/>
                <w:sz w:val="24"/>
                <w:highlight w:val="none"/>
              </w:rPr>
              <w:t>靠近围护结构处室内N个声源</w:t>
            </w:r>
            <w:r>
              <w:rPr>
                <w:rFonts w:hint="eastAsia"/>
                <w:i/>
                <w:iCs/>
                <w:color w:val="auto"/>
                <w:sz w:val="24"/>
                <w:highlight w:val="none"/>
              </w:rPr>
              <w:t>i</w:t>
            </w:r>
            <w:r>
              <w:rPr>
                <w:rFonts w:hint="eastAsia"/>
                <w:color w:val="auto"/>
                <w:sz w:val="24"/>
                <w:highlight w:val="none"/>
              </w:rPr>
              <w:t>倍频带的叠加声压级，d</w:t>
            </w:r>
            <w:r>
              <w:rPr>
                <w:color w:val="auto"/>
                <w:sz w:val="24"/>
                <w:highlight w:val="none"/>
              </w:rPr>
              <w:t>B</w:t>
            </w:r>
            <w:r>
              <w:rPr>
                <w:rFonts w:hint="eastAsia"/>
                <w:color w:val="auto"/>
                <w:sz w:val="24"/>
                <w:highlight w:val="none"/>
              </w:rPr>
              <w:t>；</w:t>
            </w:r>
            <w:r>
              <w:rPr>
                <w:color w:val="auto"/>
                <w:sz w:val="24"/>
                <w:highlight w:val="none"/>
              </w:rPr>
              <w:t xml:space="preserve"> </w:t>
            </w:r>
          </w:p>
          <w:p w14:paraId="631F1EDC">
            <w:pPr>
              <w:spacing w:line="360" w:lineRule="auto"/>
              <w:ind w:firstLine="1200" w:firstLineChars="500"/>
              <w:rPr>
                <w:color w:val="auto"/>
                <w:sz w:val="24"/>
                <w:highlight w:val="none"/>
              </w:rPr>
            </w:pPr>
            <w:r>
              <w:rPr>
                <w:i/>
                <w:color w:val="auto"/>
                <w:sz w:val="24"/>
                <w:highlight w:val="none"/>
              </w:rPr>
              <w:t>L</w:t>
            </w:r>
            <w:r>
              <w:rPr>
                <w:rFonts w:hint="eastAsia"/>
                <w:i/>
                <w:color w:val="auto"/>
                <w:sz w:val="24"/>
                <w:highlight w:val="none"/>
                <w:vertAlign w:val="subscript"/>
              </w:rPr>
              <w:t>p</w:t>
            </w:r>
            <w:r>
              <w:rPr>
                <w:iCs/>
                <w:color w:val="auto"/>
                <w:sz w:val="24"/>
                <w:highlight w:val="none"/>
                <w:vertAlign w:val="subscript"/>
              </w:rPr>
              <w:t>1</w:t>
            </w:r>
            <w:r>
              <w:rPr>
                <w:i/>
                <w:color w:val="auto"/>
                <w:sz w:val="24"/>
                <w:highlight w:val="none"/>
                <w:vertAlign w:val="subscript"/>
              </w:rPr>
              <w:t>ij</w:t>
            </w:r>
            <w:r>
              <w:rPr>
                <w:color w:val="auto"/>
                <w:sz w:val="24"/>
                <w:highlight w:val="none"/>
              </w:rPr>
              <w:t>——</w:t>
            </w:r>
            <w:r>
              <w:rPr>
                <w:rFonts w:hint="eastAsia"/>
                <w:color w:val="auto"/>
                <w:sz w:val="24"/>
                <w:highlight w:val="none"/>
              </w:rPr>
              <w:t>室内</w:t>
            </w:r>
            <w:r>
              <w:rPr>
                <w:rFonts w:hint="eastAsia"/>
                <w:i/>
                <w:iCs/>
                <w:color w:val="auto"/>
                <w:sz w:val="24"/>
                <w:highlight w:val="none"/>
              </w:rPr>
              <w:t>j</w:t>
            </w:r>
            <w:r>
              <w:rPr>
                <w:rFonts w:hint="eastAsia"/>
                <w:color w:val="auto"/>
                <w:sz w:val="24"/>
                <w:highlight w:val="none"/>
              </w:rPr>
              <w:t>声源</w:t>
            </w:r>
            <w:r>
              <w:rPr>
                <w:rFonts w:hint="eastAsia"/>
                <w:i/>
                <w:iCs/>
                <w:color w:val="auto"/>
                <w:sz w:val="24"/>
                <w:highlight w:val="none"/>
              </w:rPr>
              <w:t>i</w:t>
            </w:r>
            <w:r>
              <w:rPr>
                <w:rFonts w:hint="eastAsia"/>
                <w:color w:val="auto"/>
                <w:sz w:val="24"/>
                <w:highlight w:val="none"/>
              </w:rPr>
              <w:t>倍频带的声压级，dB</w:t>
            </w:r>
            <w:r>
              <w:rPr>
                <w:color w:val="auto"/>
                <w:sz w:val="24"/>
                <w:highlight w:val="none"/>
              </w:rPr>
              <w:t>；</w:t>
            </w:r>
          </w:p>
          <w:p w14:paraId="15B04282">
            <w:pPr>
              <w:spacing w:line="360" w:lineRule="auto"/>
              <w:ind w:firstLine="1200" w:firstLineChars="500"/>
              <w:rPr>
                <w:color w:val="auto"/>
                <w:sz w:val="24"/>
                <w:highlight w:val="none"/>
              </w:rPr>
            </w:pPr>
            <w:r>
              <w:rPr>
                <w:rFonts w:hint="eastAsia"/>
                <w:i/>
                <w:iCs/>
                <w:color w:val="auto"/>
                <w:sz w:val="24"/>
                <w:highlight w:val="none"/>
              </w:rPr>
              <w:t>N</w:t>
            </w:r>
            <w:r>
              <w:rPr>
                <w:color w:val="auto"/>
                <w:sz w:val="24"/>
                <w:highlight w:val="none"/>
              </w:rPr>
              <w:t>——</w:t>
            </w:r>
            <w:r>
              <w:rPr>
                <w:rFonts w:hint="eastAsia"/>
                <w:color w:val="auto"/>
                <w:sz w:val="24"/>
                <w:highlight w:val="none"/>
              </w:rPr>
              <w:t>室内声源总数。</w:t>
            </w:r>
          </w:p>
          <w:p w14:paraId="432C0C62">
            <w:pPr>
              <w:spacing w:line="360" w:lineRule="auto"/>
              <w:ind w:firstLine="480" w:firstLineChars="200"/>
              <w:rPr>
                <w:i/>
                <w:iCs/>
                <w:color w:val="auto"/>
                <w:sz w:val="24"/>
                <w:highlight w:val="none"/>
              </w:rPr>
            </w:pPr>
            <w:r>
              <w:rPr>
                <w:rFonts w:hint="eastAsia"/>
                <w:color w:val="auto"/>
                <w:sz w:val="24"/>
                <w:highlight w:val="none"/>
              </w:rPr>
              <w:t>在室内近似为扩散声场时，按下式计算出靠近室外维护结构处的声压级：</w:t>
            </w:r>
          </w:p>
          <w:p w14:paraId="37254E70">
            <w:pPr>
              <w:spacing w:line="360" w:lineRule="auto"/>
              <w:jc w:val="center"/>
              <w:rPr>
                <w:color w:val="auto"/>
                <w:sz w:val="24"/>
                <w:highlight w:val="none"/>
              </w:rPr>
            </w:pPr>
            <w:r>
              <w:rPr>
                <w:color w:val="auto"/>
                <w:position w:val="-14"/>
                <w:highlight w:val="none"/>
              </w:rPr>
              <w:object>
                <v:shape id="_x0000_i1029" o:spt="75" type="#_x0000_t75" style="height:18.8pt;width:135.25pt;" o:ole="t" filled="f" o:preferrelative="t" stroked="f" coordsize="21600,21600">
                  <v:path/>
                  <v:fill on="f" focussize="0,0"/>
                  <v:stroke on="f" joinstyle="miter"/>
                  <v:imagedata r:id="rId31" o:title=""/>
                  <o:lock v:ext="edit" aspectratio="t"/>
                  <w10:wrap type="none"/>
                  <w10:anchorlock/>
                </v:shape>
                <o:OLEObject Type="Embed" ProgID="Equation.DSMT4" ShapeID="_x0000_i1029" DrawAspect="Content" ObjectID="_1468075729" r:id="rId30">
                  <o:LockedField>false</o:LockedField>
                </o:OLEObject>
              </w:object>
            </w:r>
          </w:p>
          <w:p w14:paraId="3DAC44CF">
            <w:pPr>
              <w:spacing w:line="360" w:lineRule="auto"/>
              <w:ind w:firstLine="480" w:firstLineChars="200"/>
              <w:rPr>
                <w:color w:val="auto"/>
                <w:sz w:val="24"/>
                <w:highlight w:val="none"/>
              </w:rPr>
            </w:pPr>
            <w:r>
              <w:rPr>
                <w:color w:val="auto"/>
                <w:sz w:val="24"/>
                <w:highlight w:val="none"/>
              </w:rPr>
              <w:t>式中：</w:t>
            </w:r>
            <w:r>
              <w:rPr>
                <w:i/>
                <w:color w:val="auto"/>
                <w:sz w:val="24"/>
                <w:highlight w:val="none"/>
              </w:rPr>
              <w:t>L</w:t>
            </w:r>
            <w:r>
              <w:rPr>
                <w:i/>
                <w:color w:val="auto"/>
                <w:sz w:val="24"/>
                <w:highlight w:val="none"/>
                <w:vertAlign w:val="subscript"/>
              </w:rPr>
              <w:t>p</w:t>
            </w:r>
            <w:r>
              <w:rPr>
                <w:iCs/>
                <w:color w:val="auto"/>
                <w:sz w:val="24"/>
                <w:highlight w:val="none"/>
                <w:vertAlign w:val="subscript"/>
              </w:rPr>
              <w:t>2</w:t>
            </w:r>
            <w:r>
              <w:rPr>
                <w:rFonts w:hint="eastAsia"/>
                <w:i/>
                <w:iCs/>
                <w:color w:val="auto"/>
                <w:sz w:val="24"/>
                <w:highlight w:val="none"/>
                <w:vertAlign w:val="subscript"/>
              </w:rPr>
              <w:t>i</w:t>
            </w:r>
            <w:r>
              <w:rPr>
                <w:rFonts w:hint="eastAsia"/>
                <w:color w:val="auto"/>
                <w:sz w:val="24"/>
                <w:highlight w:val="none"/>
              </w:rPr>
              <w:t xml:space="preserve"> </w:t>
            </w:r>
            <w:r>
              <w:rPr>
                <w:rFonts w:hint="eastAsia" w:ascii="宋体" w:hAnsi="宋体"/>
                <w:color w:val="auto"/>
                <w:sz w:val="24"/>
                <w:highlight w:val="none"/>
              </w:rPr>
              <w:t>(</w:t>
            </w:r>
            <w:r>
              <w:rPr>
                <w:rFonts w:hint="eastAsia"/>
                <w:i/>
                <w:iCs/>
                <w:color w:val="auto"/>
                <w:sz w:val="24"/>
                <w:highlight w:val="none"/>
              </w:rPr>
              <w:t>T</w:t>
            </w:r>
            <w:r>
              <w:rPr>
                <w:rFonts w:ascii="宋体" w:hAnsi="宋体"/>
                <w:color w:val="auto"/>
                <w:sz w:val="24"/>
                <w:highlight w:val="none"/>
              </w:rPr>
              <w:t>)</w:t>
            </w:r>
            <w:r>
              <w:rPr>
                <w:color w:val="auto"/>
                <w:sz w:val="24"/>
                <w:highlight w:val="none"/>
              </w:rPr>
              <w:t>——</w:t>
            </w:r>
            <w:r>
              <w:rPr>
                <w:rFonts w:hint="eastAsia"/>
                <w:color w:val="auto"/>
                <w:sz w:val="24"/>
                <w:highlight w:val="none"/>
              </w:rPr>
              <w:t>靠近围护结构处室外N个声源</w:t>
            </w:r>
            <w:r>
              <w:rPr>
                <w:rFonts w:hint="eastAsia"/>
                <w:i/>
                <w:iCs/>
                <w:color w:val="auto"/>
                <w:sz w:val="24"/>
                <w:highlight w:val="none"/>
              </w:rPr>
              <w:t>i</w:t>
            </w:r>
            <w:r>
              <w:rPr>
                <w:rFonts w:hint="eastAsia"/>
                <w:color w:val="auto"/>
                <w:sz w:val="24"/>
                <w:highlight w:val="none"/>
              </w:rPr>
              <w:t>倍频带的叠加声压级，d</w:t>
            </w:r>
            <w:r>
              <w:rPr>
                <w:color w:val="auto"/>
                <w:sz w:val="24"/>
                <w:highlight w:val="none"/>
              </w:rPr>
              <w:t>B</w:t>
            </w:r>
            <w:r>
              <w:rPr>
                <w:rFonts w:hint="eastAsia"/>
                <w:color w:val="auto"/>
                <w:sz w:val="24"/>
                <w:highlight w:val="none"/>
              </w:rPr>
              <w:t>；</w:t>
            </w:r>
          </w:p>
          <w:p w14:paraId="0BDEE8A6">
            <w:pPr>
              <w:spacing w:line="360" w:lineRule="auto"/>
              <w:ind w:firstLine="1200" w:firstLineChars="500"/>
              <w:rPr>
                <w:color w:val="auto"/>
                <w:sz w:val="24"/>
                <w:highlight w:val="none"/>
              </w:rPr>
            </w:pPr>
            <w:r>
              <w:rPr>
                <w:i/>
                <w:color w:val="auto"/>
                <w:sz w:val="24"/>
                <w:highlight w:val="none"/>
              </w:rPr>
              <w:t>L</w:t>
            </w:r>
            <w:r>
              <w:rPr>
                <w:i/>
                <w:color w:val="auto"/>
                <w:sz w:val="24"/>
                <w:highlight w:val="none"/>
                <w:vertAlign w:val="subscript"/>
              </w:rPr>
              <w:t>p</w:t>
            </w:r>
            <w:r>
              <w:rPr>
                <w:iCs/>
                <w:color w:val="auto"/>
                <w:sz w:val="24"/>
                <w:highlight w:val="none"/>
                <w:vertAlign w:val="subscript"/>
              </w:rPr>
              <w:t>1</w:t>
            </w:r>
            <w:r>
              <w:rPr>
                <w:rFonts w:hint="eastAsia"/>
                <w:i/>
                <w:iCs/>
                <w:color w:val="auto"/>
                <w:sz w:val="24"/>
                <w:highlight w:val="none"/>
                <w:vertAlign w:val="subscript"/>
              </w:rPr>
              <w:t>i</w:t>
            </w:r>
            <w:r>
              <w:rPr>
                <w:rFonts w:hint="eastAsia"/>
                <w:color w:val="auto"/>
                <w:sz w:val="24"/>
                <w:highlight w:val="none"/>
              </w:rPr>
              <w:t xml:space="preserve"> </w:t>
            </w:r>
            <w:r>
              <w:rPr>
                <w:rFonts w:hint="eastAsia" w:ascii="宋体" w:hAnsi="宋体"/>
                <w:color w:val="auto"/>
                <w:sz w:val="24"/>
                <w:highlight w:val="none"/>
              </w:rPr>
              <w:t>(</w:t>
            </w:r>
            <w:r>
              <w:rPr>
                <w:rFonts w:hint="eastAsia"/>
                <w:i/>
                <w:iCs/>
                <w:color w:val="auto"/>
                <w:sz w:val="24"/>
                <w:highlight w:val="none"/>
              </w:rPr>
              <w:t>T</w:t>
            </w:r>
            <w:r>
              <w:rPr>
                <w:rFonts w:ascii="宋体" w:hAnsi="宋体"/>
                <w:color w:val="auto"/>
                <w:sz w:val="24"/>
                <w:highlight w:val="none"/>
              </w:rPr>
              <w:t>)</w:t>
            </w:r>
            <w:r>
              <w:rPr>
                <w:color w:val="auto"/>
                <w:sz w:val="24"/>
                <w:highlight w:val="none"/>
              </w:rPr>
              <w:t>——</w:t>
            </w:r>
            <w:r>
              <w:rPr>
                <w:rFonts w:hint="eastAsia"/>
                <w:color w:val="auto"/>
                <w:sz w:val="24"/>
                <w:highlight w:val="none"/>
              </w:rPr>
              <w:t>靠近围护结构处室内N个声源</w:t>
            </w:r>
            <w:r>
              <w:rPr>
                <w:rFonts w:hint="eastAsia"/>
                <w:i/>
                <w:iCs/>
                <w:color w:val="auto"/>
                <w:sz w:val="24"/>
                <w:highlight w:val="none"/>
              </w:rPr>
              <w:t>i</w:t>
            </w:r>
            <w:r>
              <w:rPr>
                <w:rFonts w:hint="eastAsia"/>
                <w:color w:val="auto"/>
                <w:sz w:val="24"/>
                <w:highlight w:val="none"/>
              </w:rPr>
              <w:t>倍频带的叠加声压级，d</w:t>
            </w:r>
            <w:r>
              <w:rPr>
                <w:color w:val="auto"/>
                <w:sz w:val="24"/>
                <w:highlight w:val="none"/>
              </w:rPr>
              <w:t>B</w:t>
            </w:r>
            <w:r>
              <w:rPr>
                <w:rFonts w:hint="eastAsia"/>
                <w:color w:val="auto"/>
                <w:sz w:val="24"/>
                <w:highlight w:val="none"/>
              </w:rPr>
              <w:t>；</w:t>
            </w:r>
          </w:p>
          <w:p w14:paraId="0F9A0494">
            <w:pPr>
              <w:spacing w:line="360" w:lineRule="auto"/>
              <w:ind w:firstLine="1200" w:firstLineChars="500"/>
              <w:rPr>
                <w:color w:val="auto"/>
                <w:sz w:val="24"/>
                <w:highlight w:val="none"/>
              </w:rPr>
            </w:pPr>
            <w:r>
              <w:rPr>
                <w:rFonts w:hint="eastAsia"/>
                <w:i/>
                <w:iCs/>
                <w:color w:val="auto"/>
                <w:sz w:val="24"/>
                <w:highlight w:val="none"/>
              </w:rPr>
              <w:t>TL</w:t>
            </w:r>
            <w:r>
              <w:rPr>
                <w:i/>
                <w:iCs/>
                <w:color w:val="auto"/>
                <w:sz w:val="24"/>
                <w:highlight w:val="none"/>
                <w:vertAlign w:val="subscript"/>
              </w:rPr>
              <w:t>i</w:t>
            </w:r>
            <w:r>
              <w:rPr>
                <w:color w:val="auto"/>
                <w:sz w:val="24"/>
                <w:highlight w:val="none"/>
              </w:rPr>
              <w:t>——</w:t>
            </w:r>
            <w:r>
              <w:rPr>
                <w:rFonts w:hint="eastAsia"/>
                <w:color w:val="auto"/>
                <w:sz w:val="24"/>
                <w:highlight w:val="none"/>
              </w:rPr>
              <w:t>维护结构</w:t>
            </w:r>
            <w:r>
              <w:rPr>
                <w:rFonts w:hint="eastAsia"/>
                <w:i/>
                <w:iCs/>
                <w:color w:val="auto"/>
                <w:sz w:val="24"/>
                <w:highlight w:val="none"/>
              </w:rPr>
              <w:t>i</w:t>
            </w:r>
            <w:r>
              <w:rPr>
                <w:rFonts w:hint="eastAsia"/>
                <w:color w:val="auto"/>
                <w:sz w:val="24"/>
                <w:highlight w:val="none"/>
              </w:rPr>
              <w:t>倍频带的隔声量，d</w:t>
            </w:r>
            <w:r>
              <w:rPr>
                <w:color w:val="auto"/>
                <w:sz w:val="24"/>
                <w:highlight w:val="none"/>
              </w:rPr>
              <w:t>B</w:t>
            </w:r>
            <w:r>
              <w:rPr>
                <w:rFonts w:hint="eastAsia"/>
                <w:color w:val="auto"/>
                <w:sz w:val="24"/>
                <w:highlight w:val="none"/>
              </w:rPr>
              <w:t>。</w:t>
            </w:r>
          </w:p>
          <w:p w14:paraId="5846FFAE">
            <w:pPr>
              <w:spacing w:line="360" w:lineRule="auto"/>
              <w:ind w:firstLine="480" w:firstLineChars="200"/>
              <w:rPr>
                <w:color w:val="auto"/>
                <w:sz w:val="24"/>
                <w:highlight w:val="none"/>
              </w:rPr>
            </w:pPr>
            <w:r>
              <w:rPr>
                <w:rFonts w:hint="eastAsia"/>
                <w:color w:val="auto"/>
                <w:sz w:val="24"/>
                <w:highlight w:val="none"/>
              </w:rPr>
              <w:t>然后按下式将室外声源的声压级和透过面积换算成等效的室外声源，计算出中心位置位于透声面积（S）处的等效声源的倍频带声功率级。</w:t>
            </w:r>
          </w:p>
          <w:p w14:paraId="45E7B248">
            <w:pPr>
              <w:spacing w:line="360" w:lineRule="auto"/>
              <w:jc w:val="center"/>
              <w:rPr>
                <w:color w:val="auto"/>
                <w:sz w:val="24"/>
                <w:highlight w:val="none"/>
              </w:rPr>
            </w:pPr>
            <w:r>
              <w:rPr>
                <w:color w:val="auto"/>
                <w:position w:val="-14"/>
                <w:highlight w:val="none"/>
              </w:rPr>
              <w:object>
                <v:shape id="_x0000_i1030" o:spt="75" type="#_x0000_t75" style="height:18.8pt;width:102.05pt;" o:ole="t" filled="f" o:preferrelative="t" stroked="f" coordsize="21600,21600">
                  <v:path/>
                  <v:fill on="f" focussize="0,0"/>
                  <v:stroke on="f" joinstyle="miter"/>
                  <v:imagedata r:id="rId33" o:title=""/>
                  <o:lock v:ext="edit" aspectratio="t"/>
                  <w10:wrap type="none"/>
                  <w10:anchorlock/>
                </v:shape>
                <o:OLEObject Type="Embed" ProgID="Equation.DSMT4" ShapeID="_x0000_i1030" DrawAspect="Content" ObjectID="_1468075730" r:id="rId32">
                  <o:LockedField>false</o:LockedField>
                </o:OLEObject>
              </w:object>
            </w:r>
          </w:p>
          <w:p w14:paraId="6F2C68B3">
            <w:pPr>
              <w:spacing w:line="360" w:lineRule="auto"/>
              <w:ind w:firstLine="480" w:firstLineChars="200"/>
              <w:rPr>
                <w:color w:val="auto"/>
                <w:sz w:val="24"/>
                <w:highlight w:val="none"/>
              </w:rPr>
            </w:pPr>
            <w:r>
              <w:rPr>
                <w:color w:val="auto"/>
                <w:sz w:val="24"/>
                <w:highlight w:val="none"/>
              </w:rPr>
              <w:t>式中：</w:t>
            </w:r>
            <w:r>
              <w:rPr>
                <w:i/>
                <w:color w:val="auto"/>
                <w:sz w:val="24"/>
                <w:highlight w:val="none"/>
              </w:rPr>
              <w:t>L</w:t>
            </w:r>
            <w:r>
              <w:rPr>
                <w:rFonts w:hint="eastAsia"/>
                <w:i/>
                <w:color w:val="auto"/>
                <w:sz w:val="24"/>
                <w:highlight w:val="none"/>
                <w:vertAlign w:val="subscript"/>
              </w:rPr>
              <w:t>w</w:t>
            </w:r>
            <w:r>
              <w:rPr>
                <w:color w:val="auto"/>
                <w:sz w:val="24"/>
                <w:highlight w:val="none"/>
              </w:rPr>
              <w:t>——</w:t>
            </w:r>
            <w:r>
              <w:rPr>
                <w:rFonts w:hint="eastAsia"/>
                <w:color w:val="auto"/>
                <w:sz w:val="24"/>
                <w:highlight w:val="none"/>
              </w:rPr>
              <w:t>中心位置位于透声面积（</w:t>
            </w:r>
            <w:r>
              <w:rPr>
                <w:rFonts w:hint="eastAsia"/>
                <w:i/>
                <w:iCs/>
                <w:color w:val="auto"/>
                <w:sz w:val="24"/>
                <w:highlight w:val="none"/>
              </w:rPr>
              <w:t>S</w:t>
            </w:r>
            <w:r>
              <w:rPr>
                <w:rFonts w:hint="eastAsia"/>
                <w:color w:val="auto"/>
                <w:sz w:val="24"/>
                <w:highlight w:val="none"/>
              </w:rPr>
              <w:t>）处的等效声源的倍频带声功率级，d</w:t>
            </w:r>
            <w:r>
              <w:rPr>
                <w:color w:val="auto"/>
                <w:sz w:val="24"/>
                <w:highlight w:val="none"/>
              </w:rPr>
              <w:t>B</w:t>
            </w:r>
            <w:r>
              <w:rPr>
                <w:rFonts w:hint="eastAsia"/>
                <w:color w:val="auto"/>
                <w:sz w:val="24"/>
                <w:highlight w:val="none"/>
              </w:rPr>
              <w:t>；</w:t>
            </w:r>
          </w:p>
          <w:p w14:paraId="712EEEB7">
            <w:pPr>
              <w:spacing w:line="360" w:lineRule="auto"/>
              <w:ind w:firstLine="1200" w:firstLineChars="500"/>
              <w:rPr>
                <w:color w:val="auto"/>
                <w:sz w:val="24"/>
                <w:highlight w:val="none"/>
              </w:rPr>
            </w:pPr>
            <w:r>
              <w:rPr>
                <w:i/>
                <w:color w:val="auto"/>
                <w:sz w:val="24"/>
                <w:highlight w:val="none"/>
              </w:rPr>
              <w:t>L</w:t>
            </w:r>
            <w:r>
              <w:rPr>
                <w:i/>
                <w:color w:val="auto"/>
                <w:sz w:val="24"/>
                <w:highlight w:val="none"/>
                <w:vertAlign w:val="subscript"/>
              </w:rPr>
              <w:t>p</w:t>
            </w:r>
            <w:r>
              <w:rPr>
                <w:iCs/>
                <w:color w:val="auto"/>
                <w:sz w:val="24"/>
                <w:highlight w:val="none"/>
                <w:vertAlign w:val="subscript"/>
              </w:rPr>
              <w:t>2</w:t>
            </w:r>
            <w:r>
              <w:rPr>
                <w:rFonts w:hint="eastAsia" w:ascii="宋体" w:hAnsi="宋体"/>
                <w:color w:val="auto"/>
                <w:sz w:val="24"/>
                <w:highlight w:val="none"/>
              </w:rPr>
              <w:t>(</w:t>
            </w:r>
            <w:r>
              <w:rPr>
                <w:rFonts w:hint="eastAsia"/>
                <w:i/>
                <w:iCs/>
                <w:color w:val="auto"/>
                <w:sz w:val="24"/>
                <w:highlight w:val="none"/>
              </w:rPr>
              <w:t>T</w:t>
            </w:r>
            <w:r>
              <w:rPr>
                <w:rFonts w:ascii="宋体" w:hAnsi="宋体"/>
                <w:color w:val="auto"/>
                <w:sz w:val="24"/>
                <w:highlight w:val="none"/>
              </w:rPr>
              <w:t>)</w:t>
            </w:r>
            <w:r>
              <w:rPr>
                <w:color w:val="auto"/>
                <w:sz w:val="24"/>
                <w:highlight w:val="none"/>
              </w:rPr>
              <w:t>——</w:t>
            </w:r>
            <w:r>
              <w:rPr>
                <w:rFonts w:hint="eastAsia"/>
                <w:color w:val="auto"/>
                <w:sz w:val="24"/>
                <w:highlight w:val="none"/>
              </w:rPr>
              <w:t>靠近围护结构处室外声源的声压级，d</w:t>
            </w:r>
            <w:r>
              <w:rPr>
                <w:color w:val="auto"/>
                <w:sz w:val="24"/>
                <w:highlight w:val="none"/>
              </w:rPr>
              <w:t>B</w:t>
            </w:r>
            <w:r>
              <w:rPr>
                <w:rFonts w:hint="eastAsia"/>
                <w:color w:val="auto"/>
                <w:sz w:val="24"/>
                <w:highlight w:val="none"/>
              </w:rPr>
              <w:t>；</w:t>
            </w:r>
            <w:r>
              <w:rPr>
                <w:color w:val="auto"/>
                <w:sz w:val="24"/>
                <w:highlight w:val="none"/>
              </w:rPr>
              <w:t xml:space="preserve"> </w:t>
            </w:r>
          </w:p>
          <w:p w14:paraId="1856F808">
            <w:pPr>
              <w:spacing w:line="360" w:lineRule="auto"/>
              <w:ind w:firstLine="1200" w:firstLineChars="500"/>
              <w:rPr>
                <w:color w:val="auto"/>
                <w:sz w:val="24"/>
                <w:highlight w:val="none"/>
              </w:rPr>
            </w:pPr>
            <w:r>
              <w:rPr>
                <w:rFonts w:hint="eastAsia"/>
                <w:i/>
                <w:iCs/>
                <w:color w:val="auto"/>
                <w:sz w:val="24"/>
                <w:highlight w:val="none"/>
              </w:rPr>
              <w:t>S</w:t>
            </w:r>
            <w:r>
              <w:rPr>
                <w:color w:val="auto"/>
                <w:sz w:val="24"/>
                <w:highlight w:val="none"/>
              </w:rPr>
              <w:t>——</w:t>
            </w:r>
            <w:r>
              <w:rPr>
                <w:rFonts w:hint="eastAsia"/>
                <w:color w:val="auto"/>
                <w:sz w:val="24"/>
                <w:highlight w:val="none"/>
              </w:rPr>
              <w:t>透声面积，</w:t>
            </w:r>
            <w:r>
              <w:rPr>
                <w:color w:val="auto"/>
                <w:sz w:val="24"/>
                <w:highlight w:val="none"/>
              </w:rPr>
              <w:t>m</w:t>
            </w:r>
            <w:r>
              <w:rPr>
                <w:color w:val="auto"/>
                <w:sz w:val="24"/>
                <w:highlight w:val="none"/>
                <w:vertAlign w:val="superscript"/>
              </w:rPr>
              <w:t>2</w:t>
            </w:r>
            <w:r>
              <w:rPr>
                <w:rFonts w:hint="eastAsia"/>
                <w:color w:val="auto"/>
                <w:sz w:val="24"/>
                <w:highlight w:val="none"/>
              </w:rPr>
              <w:t>。</w:t>
            </w:r>
          </w:p>
          <w:p w14:paraId="7E9C5716">
            <w:pPr>
              <w:spacing w:line="360" w:lineRule="auto"/>
              <w:ind w:firstLine="480" w:firstLineChars="200"/>
              <w:outlineLvl w:val="5"/>
              <w:rPr>
                <w:color w:val="auto"/>
                <w:sz w:val="24"/>
                <w:highlight w:val="none"/>
              </w:rPr>
            </w:pPr>
            <w:r>
              <w:rPr>
                <w:rFonts w:hint="eastAsia" w:ascii="宋体" w:hAnsi="宋体"/>
                <w:color w:val="auto"/>
                <w:sz w:val="24"/>
                <w:highlight w:val="none"/>
              </w:rPr>
              <w:t>②</w:t>
            </w:r>
            <w:r>
              <w:rPr>
                <w:rFonts w:hint="eastAsia"/>
                <w:color w:val="auto"/>
                <w:sz w:val="24"/>
                <w:highlight w:val="none"/>
              </w:rPr>
              <w:t>室外声源在预测点产生的声级计算模型</w:t>
            </w:r>
          </w:p>
          <w:p w14:paraId="3717BF22">
            <w:pPr>
              <w:spacing w:line="360" w:lineRule="auto"/>
              <w:ind w:firstLine="482"/>
              <w:rPr>
                <w:color w:val="auto"/>
                <w:sz w:val="24"/>
                <w:highlight w:val="none"/>
              </w:rPr>
            </w:pPr>
            <w:r>
              <w:rPr>
                <w:rFonts w:hint="eastAsia"/>
                <w:color w:val="auto"/>
                <w:sz w:val="24"/>
                <w:highlight w:val="none"/>
              </w:rPr>
              <w:t>户外声传播衰减包括几何发散、大气吸收、地面效应、障碍物屏蔽、其他多方面效应引起的衰减，根据本项目实际情况，本次室外声源户外声传播衰减忽略其他方面引起的衰减，只考虑无指向性点声源几何发散衰减，</w:t>
            </w:r>
            <w:bookmarkStart w:id="5" w:name="_Hlk112403985"/>
            <w:r>
              <w:rPr>
                <w:rFonts w:hint="eastAsia"/>
                <w:color w:val="auto"/>
                <w:sz w:val="24"/>
                <w:highlight w:val="none"/>
              </w:rPr>
              <w:t>参照导则附录A</w:t>
            </w:r>
            <w:r>
              <w:rPr>
                <w:color w:val="auto"/>
                <w:sz w:val="24"/>
                <w:highlight w:val="none"/>
              </w:rPr>
              <w:t>.3.1.1</w:t>
            </w:r>
            <w:r>
              <w:rPr>
                <w:rFonts w:hint="eastAsia"/>
                <w:color w:val="auto"/>
                <w:sz w:val="24"/>
                <w:highlight w:val="none"/>
              </w:rPr>
              <w:t>内容，公式如下：</w:t>
            </w:r>
            <w:bookmarkEnd w:id="5"/>
          </w:p>
          <w:p w14:paraId="13F158A6">
            <w:pPr>
              <w:spacing w:line="360" w:lineRule="auto"/>
              <w:jc w:val="center"/>
              <w:rPr>
                <w:color w:val="auto"/>
                <w:sz w:val="24"/>
                <w:highlight w:val="none"/>
              </w:rPr>
            </w:pPr>
            <w:r>
              <w:rPr>
                <w:color w:val="auto"/>
                <w:position w:val="-14"/>
                <w:highlight w:val="none"/>
              </w:rPr>
              <w:object>
                <v:shape id="_x0000_i1031" o:spt="75" type="#_x0000_t75" style="height:20.05pt;width:141.5pt;" o:ole="t" filled="f" o:preferrelative="t" stroked="f" coordsize="21600,21600">
                  <v:path/>
                  <v:fill on="f" focussize="0,0"/>
                  <v:stroke on="f" joinstyle="miter"/>
                  <v:imagedata r:id="rId35" o:title=""/>
                  <o:lock v:ext="edit" aspectratio="t"/>
                  <w10:wrap type="none"/>
                  <w10:anchorlock/>
                </v:shape>
                <o:OLEObject Type="Embed" ProgID="Equation.DSMT4" ShapeID="_x0000_i1031" DrawAspect="Content" ObjectID="_1468075731" r:id="rId34">
                  <o:LockedField>false</o:LockedField>
                </o:OLEObject>
              </w:object>
            </w:r>
          </w:p>
          <w:p w14:paraId="1A396A33">
            <w:pPr>
              <w:spacing w:line="360" w:lineRule="auto"/>
              <w:ind w:firstLine="480" w:firstLineChars="200"/>
              <w:rPr>
                <w:color w:val="auto"/>
                <w:sz w:val="24"/>
                <w:highlight w:val="none"/>
              </w:rPr>
            </w:pPr>
            <w:r>
              <w:rPr>
                <w:color w:val="auto"/>
                <w:sz w:val="24"/>
                <w:highlight w:val="none"/>
              </w:rPr>
              <w:t>式中：</w:t>
            </w:r>
            <w:r>
              <w:rPr>
                <w:i/>
                <w:color w:val="auto"/>
                <w:sz w:val="24"/>
                <w:highlight w:val="none"/>
              </w:rPr>
              <w:t>L</w:t>
            </w:r>
            <w:r>
              <w:rPr>
                <w:i/>
                <w:color w:val="auto"/>
                <w:sz w:val="24"/>
                <w:highlight w:val="none"/>
                <w:vertAlign w:val="subscript"/>
              </w:rPr>
              <w:t>p</w:t>
            </w:r>
            <w:r>
              <w:rPr>
                <w:i/>
                <w:color w:val="auto"/>
                <w:sz w:val="24"/>
                <w:highlight w:val="none"/>
              </w:rPr>
              <w:t>(r)</w:t>
            </w:r>
            <w:r>
              <w:rPr>
                <w:color w:val="auto"/>
                <w:sz w:val="24"/>
                <w:highlight w:val="none"/>
              </w:rPr>
              <w:t>——</w:t>
            </w:r>
            <w:r>
              <w:rPr>
                <w:rFonts w:hint="eastAsia"/>
                <w:color w:val="auto"/>
                <w:sz w:val="24"/>
                <w:highlight w:val="none"/>
              </w:rPr>
              <w:t>预测点处声压级，d</w:t>
            </w:r>
            <w:r>
              <w:rPr>
                <w:color w:val="auto"/>
                <w:sz w:val="24"/>
                <w:highlight w:val="none"/>
              </w:rPr>
              <w:t>B</w:t>
            </w:r>
            <w:r>
              <w:rPr>
                <w:rFonts w:hint="eastAsia"/>
                <w:color w:val="auto"/>
                <w:sz w:val="24"/>
                <w:highlight w:val="none"/>
              </w:rPr>
              <w:t>；</w:t>
            </w:r>
          </w:p>
          <w:p w14:paraId="11C3F2F9">
            <w:pPr>
              <w:spacing w:line="360" w:lineRule="auto"/>
              <w:ind w:firstLine="1200" w:firstLineChars="500"/>
              <w:rPr>
                <w:color w:val="auto"/>
                <w:sz w:val="24"/>
                <w:highlight w:val="none"/>
              </w:rPr>
            </w:pPr>
            <w:r>
              <w:rPr>
                <w:i/>
                <w:color w:val="auto"/>
                <w:sz w:val="24"/>
                <w:highlight w:val="none"/>
              </w:rPr>
              <w:t>L</w:t>
            </w:r>
            <w:r>
              <w:rPr>
                <w:i/>
                <w:color w:val="auto"/>
                <w:sz w:val="24"/>
                <w:highlight w:val="none"/>
                <w:vertAlign w:val="subscript"/>
              </w:rPr>
              <w:t>p</w:t>
            </w:r>
            <w:r>
              <w:rPr>
                <w:i/>
                <w:color w:val="auto"/>
                <w:sz w:val="24"/>
                <w:highlight w:val="none"/>
              </w:rPr>
              <w:t>(r</w:t>
            </w:r>
            <w:r>
              <w:rPr>
                <w:i/>
                <w:color w:val="auto"/>
                <w:sz w:val="24"/>
                <w:highlight w:val="none"/>
                <w:vertAlign w:val="subscript"/>
              </w:rPr>
              <w:t>0</w:t>
            </w:r>
            <w:r>
              <w:rPr>
                <w:i/>
                <w:color w:val="auto"/>
                <w:sz w:val="24"/>
                <w:highlight w:val="none"/>
              </w:rPr>
              <w:t>)</w:t>
            </w:r>
            <w:r>
              <w:rPr>
                <w:color w:val="auto"/>
                <w:sz w:val="24"/>
                <w:highlight w:val="none"/>
              </w:rPr>
              <w:t>——参考位置r</w:t>
            </w:r>
            <w:r>
              <w:rPr>
                <w:color w:val="auto"/>
                <w:sz w:val="24"/>
                <w:highlight w:val="none"/>
                <w:vertAlign w:val="subscript"/>
              </w:rPr>
              <w:t>0</w:t>
            </w:r>
            <w:r>
              <w:rPr>
                <w:color w:val="auto"/>
                <w:sz w:val="24"/>
                <w:highlight w:val="none"/>
              </w:rPr>
              <w:t>处的</w:t>
            </w:r>
            <w:r>
              <w:rPr>
                <w:rFonts w:hint="eastAsia"/>
                <w:color w:val="auto"/>
                <w:sz w:val="24"/>
                <w:highlight w:val="none"/>
              </w:rPr>
              <w:t>声压级，dB</w:t>
            </w:r>
            <w:r>
              <w:rPr>
                <w:color w:val="auto"/>
                <w:sz w:val="24"/>
                <w:highlight w:val="none"/>
              </w:rPr>
              <w:t>；</w:t>
            </w:r>
          </w:p>
          <w:p w14:paraId="113C5F46">
            <w:pPr>
              <w:spacing w:line="360" w:lineRule="auto"/>
              <w:ind w:firstLine="1200" w:firstLineChars="500"/>
              <w:rPr>
                <w:color w:val="auto"/>
                <w:sz w:val="24"/>
                <w:highlight w:val="none"/>
              </w:rPr>
            </w:pPr>
            <w:r>
              <w:rPr>
                <w:rFonts w:hint="eastAsia"/>
                <w:i/>
                <w:color w:val="auto"/>
                <w:sz w:val="24"/>
                <w:highlight w:val="none"/>
              </w:rPr>
              <w:t>r</w:t>
            </w:r>
            <w:r>
              <w:rPr>
                <w:color w:val="auto"/>
                <w:sz w:val="24"/>
                <w:highlight w:val="none"/>
              </w:rPr>
              <w:t>——</w:t>
            </w:r>
            <w:r>
              <w:rPr>
                <w:rFonts w:hint="eastAsia"/>
                <w:color w:val="auto"/>
                <w:sz w:val="24"/>
                <w:highlight w:val="none"/>
              </w:rPr>
              <w:t>预测点距声源的距离</w:t>
            </w:r>
            <w:r>
              <w:rPr>
                <w:color w:val="auto"/>
                <w:sz w:val="24"/>
                <w:highlight w:val="none"/>
              </w:rPr>
              <w:t>；</w:t>
            </w:r>
          </w:p>
          <w:p w14:paraId="2688830A">
            <w:pPr>
              <w:spacing w:line="360" w:lineRule="auto"/>
              <w:ind w:firstLine="1200" w:firstLineChars="500"/>
              <w:rPr>
                <w:i/>
                <w:iCs/>
                <w:color w:val="auto"/>
                <w:sz w:val="24"/>
                <w:highlight w:val="none"/>
              </w:rPr>
            </w:pPr>
            <w:r>
              <w:rPr>
                <w:rFonts w:hint="eastAsia"/>
                <w:i/>
                <w:iCs/>
                <w:color w:val="auto"/>
                <w:sz w:val="24"/>
                <w:highlight w:val="none"/>
              </w:rPr>
              <w:t>r</w:t>
            </w:r>
            <w:r>
              <w:rPr>
                <w:i/>
                <w:iCs/>
                <w:color w:val="auto"/>
                <w:sz w:val="24"/>
                <w:highlight w:val="none"/>
                <w:vertAlign w:val="subscript"/>
              </w:rPr>
              <w:t>0</w:t>
            </w:r>
            <w:r>
              <w:rPr>
                <w:color w:val="auto"/>
                <w:sz w:val="24"/>
                <w:highlight w:val="none"/>
              </w:rPr>
              <w:t>——</w:t>
            </w:r>
            <w:r>
              <w:rPr>
                <w:rFonts w:hint="eastAsia"/>
                <w:color w:val="auto"/>
                <w:sz w:val="24"/>
                <w:highlight w:val="none"/>
              </w:rPr>
              <w:t>参考位置距声源的距离。</w:t>
            </w:r>
          </w:p>
          <w:p w14:paraId="4D1D26B2">
            <w:pPr>
              <w:spacing w:line="360" w:lineRule="auto"/>
              <w:ind w:firstLine="480" w:firstLineChars="200"/>
              <w:rPr>
                <w:color w:val="auto"/>
                <w:sz w:val="24"/>
                <w:highlight w:val="none"/>
              </w:rPr>
            </w:pPr>
            <w:r>
              <w:rPr>
                <w:rFonts w:hint="eastAsia"/>
                <w:color w:val="auto"/>
                <w:sz w:val="24"/>
                <w:highlight w:val="none"/>
              </w:rPr>
              <w:t>式中第二项表示点声源的几何发散衰减：</w:t>
            </w:r>
          </w:p>
          <w:p w14:paraId="33034D8D">
            <w:pPr>
              <w:spacing w:line="360" w:lineRule="auto"/>
              <w:jc w:val="center"/>
              <w:rPr>
                <w:color w:val="auto"/>
                <w:sz w:val="24"/>
                <w:highlight w:val="none"/>
              </w:rPr>
            </w:pPr>
            <w:r>
              <w:rPr>
                <w:color w:val="auto"/>
                <w:position w:val="-14"/>
                <w:highlight w:val="none"/>
              </w:rPr>
              <w:object>
                <v:shape id="_x0000_i1032" o:spt="75" type="#_x0000_t75" style="height:20.05pt;width:87.65pt;" o:ole="t" filled="f" o:preferrelative="t" stroked="f" coordsize="21600,21600">
                  <v:path/>
                  <v:fill on="f" focussize="0,0"/>
                  <v:stroke on="f" joinstyle="miter"/>
                  <v:imagedata r:id="rId37" o:title=""/>
                  <o:lock v:ext="edit" aspectratio="t"/>
                  <w10:wrap type="none"/>
                  <w10:anchorlock/>
                </v:shape>
                <o:OLEObject Type="Embed" ProgID="Equation.DSMT4" ShapeID="_x0000_i1032" DrawAspect="Content" ObjectID="_1468075732" r:id="rId36">
                  <o:LockedField>false</o:LockedField>
                </o:OLEObject>
              </w:object>
            </w:r>
          </w:p>
          <w:p w14:paraId="626B5D7D">
            <w:pPr>
              <w:spacing w:line="360" w:lineRule="auto"/>
              <w:ind w:firstLine="480" w:firstLineChars="200"/>
              <w:rPr>
                <w:color w:val="auto"/>
                <w:sz w:val="24"/>
                <w:highlight w:val="none"/>
              </w:rPr>
            </w:pPr>
            <w:r>
              <w:rPr>
                <w:color w:val="auto"/>
                <w:sz w:val="24"/>
                <w:highlight w:val="none"/>
              </w:rPr>
              <w:t>式中：</w:t>
            </w:r>
            <w:r>
              <w:rPr>
                <w:i/>
                <w:color w:val="auto"/>
                <w:sz w:val="24"/>
                <w:highlight w:val="none"/>
              </w:rPr>
              <w:t>A</w:t>
            </w:r>
            <w:r>
              <w:rPr>
                <w:i/>
                <w:color w:val="auto"/>
                <w:sz w:val="24"/>
                <w:highlight w:val="none"/>
                <w:vertAlign w:val="subscript"/>
              </w:rPr>
              <w:t>div</w:t>
            </w:r>
            <w:r>
              <w:rPr>
                <w:color w:val="auto"/>
                <w:sz w:val="24"/>
                <w:highlight w:val="none"/>
              </w:rPr>
              <w:t>——几何</w:t>
            </w:r>
            <w:r>
              <w:rPr>
                <w:rFonts w:hint="eastAsia"/>
                <w:color w:val="auto"/>
                <w:sz w:val="24"/>
                <w:highlight w:val="none"/>
              </w:rPr>
              <w:t>发散</w:t>
            </w:r>
            <w:r>
              <w:rPr>
                <w:color w:val="auto"/>
                <w:sz w:val="24"/>
                <w:highlight w:val="none"/>
              </w:rPr>
              <w:t>引起的衰减</w:t>
            </w:r>
            <w:r>
              <w:rPr>
                <w:rFonts w:hint="eastAsia"/>
                <w:color w:val="auto"/>
                <w:sz w:val="24"/>
                <w:highlight w:val="none"/>
              </w:rPr>
              <w:t>，d</w:t>
            </w:r>
            <w:r>
              <w:rPr>
                <w:color w:val="auto"/>
                <w:sz w:val="24"/>
                <w:highlight w:val="none"/>
              </w:rPr>
              <w:t>B；</w:t>
            </w:r>
          </w:p>
          <w:p w14:paraId="3A13B0F9">
            <w:pPr>
              <w:spacing w:line="360" w:lineRule="auto"/>
              <w:ind w:firstLine="1200" w:firstLineChars="500"/>
              <w:rPr>
                <w:color w:val="auto"/>
                <w:sz w:val="24"/>
                <w:highlight w:val="none"/>
              </w:rPr>
            </w:pPr>
            <w:r>
              <w:rPr>
                <w:rFonts w:hint="eastAsia"/>
                <w:i/>
                <w:color w:val="auto"/>
                <w:sz w:val="24"/>
                <w:highlight w:val="none"/>
              </w:rPr>
              <w:t>r</w:t>
            </w:r>
            <w:r>
              <w:rPr>
                <w:color w:val="auto"/>
                <w:sz w:val="24"/>
                <w:highlight w:val="none"/>
              </w:rPr>
              <w:t>——</w:t>
            </w:r>
            <w:r>
              <w:rPr>
                <w:rFonts w:hint="eastAsia"/>
                <w:color w:val="auto"/>
                <w:sz w:val="24"/>
                <w:highlight w:val="none"/>
              </w:rPr>
              <w:t>预测点距声源的距离</w:t>
            </w:r>
            <w:r>
              <w:rPr>
                <w:color w:val="auto"/>
                <w:sz w:val="24"/>
                <w:highlight w:val="none"/>
              </w:rPr>
              <w:t>；</w:t>
            </w:r>
          </w:p>
          <w:p w14:paraId="1C6F2845">
            <w:pPr>
              <w:spacing w:line="360" w:lineRule="auto"/>
              <w:ind w:firstLine="1200" w:firstLineChars="500"/>
              <w:rPr>
                <w:i/>
                <w:iCs/>
                <w:color w:val="auto"/>
                <w:sz w:val="24"/>
                <w:highlight w:val="none"/>
              </w:rPr>
            </w:pPr>
            <w:r>
              <w:rPr>
                <w:rFonts w:hint="eastAsia"/>
                <w:i/>
                <w:iCs/>
                <w:color w:val="auto"/>
                <w:sz w:val="24"/>
                <w:highlight w:val="none"/>
              </w:rPr>
              <w:t>r</w:t>
            </w:r>
            <w:r>
              <w:rPr>
                <w:i/>
                <w:iCs/>
                <w:color w:val="auto"/>
                <w:sz w:val="24"/>
                <w:highlight w:val="none"/>
                <w:vertAlign w:val="subscript"/>
              </w:rPr>
              <w:t>0</w:t>
            </w:r>
            <w:r>
              <w:rPr>
                <w:color w:val="auto"/>
                <w:sz w:val="24"/>
                <w:highlight w:val="none"/>
              </w:rPr>
              <w:t>——</w:t>
            </w:r>
            <w:r>
              <w:rPr>
                <w:rFonts w:hint="eastAsia"/>
                <w:color w:val="auto"/>
                <w:sz w:val="24"/>
                <w:highlight w:val="none"/>
              </w:rPr>
              <w:t>参考位置距声源的距离。</w:t>
            </w:r>
          </w:p>
          <w:p w14:paraId="3661469F">
            <w:pPr>
              <w:spacing w:line="360" w:lineRule="auto"/>
              <w:ind w:firstLine="480" w:firstLineChars="200"/>
              <w:outlineLvl w:val="5"/>
              <w:rPr>
                <w:iCs/>
                <w:color w:val="auto"/>
                <w:sz w:val="24"/>
                <w:highlight w:val="none"/>
              </w:rPr>
            </w:pPr>
            <w:r>
              <w:rPr>
                <w:rFonts w:hint="eastAsia" w:ascii="宋体" w:hAnsi="宋体"/>
                <w:iCs/>
                <w:color w:val="auto"/>
                <w:sz w:val="24"/>
                <w:highlight w:val="none"/>
              </w:rPr>
              <w:t>③</w:t>
            </w:r>
            <w:r>
              <w:rPr>
                <w:rFonts w:hint="eastAsia"/>
                <w:iCs/>
                <w:color w:val="auto"/>
                <w:sz w:val="24"/>
                <w:highlight w:val="none"/>
              </w:rPr>
              <w:t>场界噪声贡献值计算</w:t>
            </w:r>
          </w:p>
          <w:p w14:paraId="35AC7EDA">
            <w:pPr>
              <w:spacing w:line="360" w:lineRule="auto"/>
              <w:ind w:firstLine="480" w:firstLineChars="200"/>
              <w:rPr>
                <w:color w:val="auto"/>
                <w:sz w:val="24"/>
                <w:highlight w:val="none"/>
              </w:rPr>
            </w:pPr>
            <w:r>
              <w:rPr>
                <w:rFonts w:hint="eastAsia"/>
                <w:color w:val="auto"/>
                <w:sz w:val="24"/>
                <w:highlight w:val="none"/>
              </w:rPr>
              <w:t>场界预测点处噪声贡献值采用导则附录B</w:t>
            </w:r>
            <w:r>
              <w:rPr>
                <w:color w:val="auto"/>
                <w:sz w:val="24"/>
                <w:highlight w:val="none"/>
              </w:rPr>
              <w:t>.1.5</w:t>
            </w:r>
            <w:r>
              <w:rPr>
                <w:rFonts w:hint="eastAsia"/>
                <w:color w:val="auto"/>
                <w:sz w:val="24"/>
                <w:highlight w:val="none"/>
              </w:rPr>
              <w:t>工业企业噪声计算公式，具体如下：</w:t>
            </w:r>
          </w:p>
          <w:p w14:paraId="4ADC2042">
            <w:pPr>
              <w:spacing w:line="360" w:lineRule="auto"/>
              <w:jc w:val="center"/>
              <w:rPr>
                <w:color w:val="auto"/>
                <w:sz w:val="24"/>
                <w:highlight w:val="none"/>
              </w:rPr>
            </w:pPr>
            <w:r>
              <w:rPr>
                <w:color w:val="auto"/>
                <w:position w:val="-34"/>
                <w:highlight w:val="none"/>
              </w:rPr>
              <w:object>
                <v:shape id="_x0000_i1033" o:spt="75" type="#_x0000_t75" style="height:40.05pt;width:204.75pt;" o:ole="t" filled="f" o:preferrelative="t" stroked="f" coordsize="21600,21600">
                  <v:path/>
                  <v:fill on="f" focussize="0,0"/>
                  <v:stroke on="f" joinstyle="miter"/>
                  <v:imagedata r:id="rId39" o:title=""/>
                  <o:lock v:ext="edit" aspectratio="t"/>
                  <w10:wrap type="none"/>
                  <w10:anchorlock/>
                </v:shape>
                <o:OLEObject Type="Embed" ProgID="Equation.DSMT4" ShapeID="_x0000_i1033" DrawAspect="Content" ObjectID="_1468075733" r:id="rId38">
                  <o:LockedField>false</o:LockedField>
                </o:OLEObject>
              </w:object>
            </w:r>
          </w:p>
          <w:p w14:paraId="54C7878F">
            <w:pPr>
              <w:spacing w:line="360" w:lineRule="auto"/>
              <w:ind w:firstLine="480" w:firstLineChars="200"/>
              <w:rPr>
                <w:color w:val="auto"/>
                <w:sz w:val="24"/>
                <w:highlight w:val="none"/>
              </w:rPr>
            </w:pPr>
            <w:r>
              <w:rPr>
                <w:rFonts w:hint="eastAsia"/>
                <w:color w:val="auto"/>
                <w:sz w:val="24"/>
                <w:highlight w:val="none"/>
              </w:rPr>
              <w:t>式中：</w:t>
            </w:r>
            <w:r>
              <w:rPr>
                <w:rFonts w:hint="eastAsia"/>
                <w:i/>
                <w:iCs/>
                <w:color w:val="auto"/>
                <w:sz w:val="24"/>
                <w:highlight w:val="none"/>
              </w:rPr>
              <w:t>L</w:t>
            </w:r>
            <w:r>
              <w:rPr>
                <w:rFonts w:hint="eastAsia"/>
                <w:color w:val="auto"/>
                <w:sz w:val="24"/>
                <w:highlight w:val="none"/>
                <w:vertAlign w:val="subscript"/>
              </w:rPr>
              <w:t>eqg</w:t>
            </w:r>
            <w:r>
              <w:rPr>
                <w:color w:val="auto"/>
                <w:sz w:val="24"/>
                <w:highlight w:val="none"/>
              </w:rPr>
              <w:t>——</w:t>
            </w:r>
            <w:r>
              <w:rPr>
                <w:rFonts w:hint="eastAsia"/>
                <w:color w:val="auto"/>
                <w:sz w:val="24"/>
                <w:highlight w:val="none"/>
              </w:rPr>
              <w:t>建设项目声源在预测点产生的噪声贡献值，dB；</w:t>
            </w:r>
          </w:p>
          <w:p w14:paraId="15DA1390">
            <w:pPr>
              <w:spacing w:line="360" w:lineRule="auto"/>
              <w:ind w:firstLine="1200" w:firstLineChars="500"/>
              <w:rPr>
                <w:color w:val="auto"/>
                <w:sz w:val="24"/>
                <w:highlight w:val="none"/>
              </w:rPr>
            </w:pPr>
            <w:r>
              <w:rPr>
                <w:rFonts w:hint="eastAsia"/>
                <w:i/>
                <w:iCs/>
                <w:color w:val="auto"/>
                <w:sz w:val="24"/>
                <w:highlight w:val="none"/>
              </w:rPr>
              <w:t>T</w:t>
            </w:r>
            <w:r>
              <w:rPr>
                <w:color w:val="auto"/>
                <w:sz w:val="24"/>
                <w:highlight w:val="none"/>
              </w:rPr>
              <w:t>——</w:t>
            </w:r>
            <w:r>
              <w:rPr>
                <w:rFonts w:hint="eastAsia"/>
                <w:color w:val="auto"/>
                <w:sz w:val="24"/>
                <w:highlight w:val="none"/>
              </w:rPr>
              <w:t>用于计算等效声级的时间，s；</w:t>
            </w:r>
          </w:p>
          <w:p w14:paraId="0BF61E49">
            <w:pPr>
              <w:spacing w:line="360" w:lineRule="auto"/>
              <w:ind w:firstLine="1200" w:firstLineChars="500"/>
              <w:rPr>
                <w:color w:val="auto"/>
                <w:sz w:val="24"/>
                <w:highlight w:val="none"/>
              </w:rPr>
            </w:pPr>
            <w:r>
              <w:rPr>
                <w:i/>
                <w:iCs/>
                <w:color w:val="auto"/>
                <w:sz w:val="24"/>
                <w:highlight w:val="none"/>
              </w:rPr>
              <w:t>N</w:t>
            </w:r>
            <w:r>
              <w:rPr>
                <w:color w:val="auto"/>
                <w:sz w:val="24"/>
                <w:highlight w:val="none"/>
              </w:rPr>
              <w:t>——</w:t>
            </w:r>
            <w:r>
              <w:rPr>
                <w:rFonts w:hint="eastAsia"/>
                <w:color w:val="auto"/>
                <w:sz w:val="24"/>
                <w:highlight w:val="none"/>
              </w:rPr>
              <w:t>室外声源个数；</w:t>
            </w:r>
          </w:p>
          <w:p w14:paraId="7766465A">
            <w:pPr>
              <w:spacing w:line="360" w:lineRule="auto"/>
              <w:ind w:firstLine="1200" w:firstLineChars="500"/>
              <w:rPr>
                <w:color w:val="auto"/>
                <w:sz w:val="24"/>
                <w:highlight w:val="none"/>
              </w:rPr>
            </w:pPr>
            <w:r>
              <w:rPr>
                <w:i/>
                <w:iCs/>
                <w:color w:val="auto"/>
                <w:sz w:val="24"/>
                <w:highlight w:val="none"/>
              </w:rPr>
              <w:t>L</w:t>
            </w:r>
            <w:r>
              <w:rPr>
                <w:i/>
                <w:iCs/>
                <w:color w:val="auto"/>
                <w:sz w:val="24"/>
                <w:highlight w:val="none"/>
                <w:vertAlign w:val="subscript"/>
              </w:rPr>
              <w:t>Ai</w:t>
            </w:r>
            <w:r>
              <w:rPr>
                <w:color w:val="auto"/>
                <w:sz w:val="24"/>
                <w:highlight w:val="none"/>
              </w:rPr>
              <w:t>——</w:t>
            </w:r>
            <w:r>
              <w:rPr>
                <w:rFonts w:hint="eastAsia"/>
                <w:color w:val="auto"/>
                <w:sz w:val="24"/>
                <w:highlight w:val="none"/>
              </w:rPr>
              <w:t>第</w:t>
            </w:r>
            <w:r>
              <w:rPr>
                <w:rFonts w:hint="eastAsia"/>
                <w:i/>
                <w:iCs/>
                <w:color w:val="auto"/>
                <w:sz w:val="24"/>
                <w:highlight w:val="none"/>
              </w:rPr>
              <w:t>i</w:t>
            </w:r>
            <w:r>
              <w:rPr>
                <w:rFonts w:hint="eastAsia"/>
                <w:color w:val="auto"/>
                <w:sz w:val="24"/>
                <w:highlight w:val="none"/>
              </w:rPr>
              <w:t>个室外声源在预测点产生的A声级，dB；</w:t>
            </w:r>
          </w:p>
          <w:p w14:paraId="21AB421C">
            <w:pPr>
              <w:spacing w:line="360" w:lineRule="auto"/>
              <w:ind w:firstLine="1200" w:firstLineChars="500"/>
              <w:rPr>
                <w:color w:val="auto"/>
                <w:sz w:val="24"/>
                <w:highlight w:val="none"/>
              </w:rPr>
            </w:pPr>
            <w:r>
              <w:rPr>
                <w:rFonts w:hint="eastAsia"/>
                <w:i/>
                <w:iCs/>
                <w:color w:val="auto"/>
                <w:sz w:val="24"/>
                <w:highlight w:val="none"/>
              </w:rPr>
              <w:t>t</w:t>
            </w:r>
            <w:r>
              <w:rPr>
                <w:rFonts w:hint="eastAsia"/>
                <w:i/>
                <w:iCs/>
                <w:color w:val="auto"/>
                <w:sz w:val="24"/>
                <w:highlight w:val="none"/>
                <w:vertAlign w:val="subscript"/>
              </w:rPr>
              <w:t>i</w:t>
            </w:r>
            <w:r>
              <w:rPr>
                <w:color w:val="auto"/>
                <w:sz w:val="24"/>
                <w:highlight w:val="none"/>
              </w:rPr>
              <w:t>——</w:t>
            </w:r>
            <w:r>
              <w:rPr>
                <w:rFonts w:hint="eastAsia"/>
                <w:color w:val="auto"/>
                <w:sz w:val="24"/>
                <w:highlight w:val="none"/>
              </w:rPr>
              <w:t>在</w:t>
            </w:r>
            <w:r>
              <w:rPr>
                <w:rFonts w:hint="eastAsia"/>
                <w:i/>
                <w:iCs/>
                <w:color w:val="auto"/>
                <w:sz w:val="24"/>
                <w:highlight w:val="none"/>
              </w:rPr>
              <w:t>T</w:t>
            </w:r>
            <w:r>
              <w:rPr>
                <w:rFonts w:hint="eastAsia"/>
                <w:color w:val="auto"/>
                <w:sz w:val="24"/>
                <w:highlight w:val="none"/>
              </w:rPr>
              <w:t xml:space="preserve"> 时间内</w:t>
            </w:r>
            <w:r>
              <w:rPr>
                <w:rFonts w:hint="eastAsia"/>
                <w:i/>
                <w:iCs/>
                <w:color w:val="auto"/>
                <w:sz w:val="24"/>
                <w:highlight w:val="none"/>
              </w:rPr>
              <w:t>i</w:t>
            </w:r>
            <w:r>
              <w:rPr>
                <w:rFonts w:hint="eastAsia"/>
                <w:color w:val="auto"/>
                <w:sz w:val="24"/>
                <w:highlight w:val="none"/>
              </w:rPr>
              <w:t>声源的工作时间，s；</w:t>
            </w:r>
          </w:p>
          <w:p w14:paraId="7AB7E0EF">
            <w:pPr>
              <w:spacing w:line="360" w:lineRule="auto"/>
              <w:ind w:firstLine="1200" w:firstLineChars="500"/>
              <w:rPr>
                <w:color w:val="auto"/>
                <w:sz w:val="24"/>
                <w:highlight w:val="none"/>
              </w:rPr>
            </w:pPr>
            <w:r>
              <w:rPr>
                <w:i/>
                <w:iCs/>
                <w:color w:val="auto"/>
                <w:sz w:val="24"/>
                <w:highlight w:val="none"/>
              </w:rPr>
              <w:t>M</w:t>
            </w:r>
            <w:r>
              <w:rPr>
                <w:color w:val="auto"/>
                <w:sz w:val="24"/>
                <w:highlight w:val="none"/>
              </w:rPr>
              <w:t>——</w:t>
            </w:r>
            <w:r>
              <w:rPr>
                <w:rFonts w:hint="eastAsia"/>
                <w:color w:val="auto"/>
                <w:sz w:val="24"/>
                <w:highlight w:val="none"/>
              </w:rPr>
              <w:t>等效室外声源个数；</w:t>
            </w:r>
          </w:p>
          <w:p w14:paraId="554EDF79">
            <w:pPr>
              <w:spacing w:line="360" w:lineRule="auto"/>
              <w:ind w:firstLine="1200" w:firstLineChars="500"/>
              <w:rPr>
                <w:color w:val="auto"/>
                <w:sz w:val="24"/>
                <w:highlight w:val="none"/>
              </w:rPr>
            </w:pPr>
            <w:r>
              <w:rPr>
                <w:i/>
                <w:iCs/>
                <w:color w:val="auto"/>
                <w:sz w:val="24"/>
                <w:highlight w:val="none"/>
              </w:rPr>
              <w:t>L</w:t>
            </w:r>
            <w:r>
              <w:rPr>
                <w:i/>
                <w:iCs/>
                <w:color w:val="auto"/>
                <w:sz w:val="24"/>
                <w:highlight w:val="none"/>
                <w:vertAlign w:val="subscript"/>
              </w:rPr>
              <w:t>Aj</w:t>
            </w:r>
            <w:r>
              <w:rPr>
                <w:color w:val="auto"/>
                <w:sz w:val="24"/>
                <w:highlight w:val="none"/>
              </w:rPr>
              <w:t>——</w:t>
            </w:r>
            <w:r>
              <w:rPr>
                <w:rFonts w:hint="eastAsia"/>
                <w:color w:val="auto"/>
                <w:sz w:val="24"/>
                <w:highlight w:val="none"/>
              </w:rPr>
              <w:t>第</w:t>
            </w:r>
            <w:r>
              <w:rPr>
                <w:rFonts w:hint="eastAsia"/>
                <w:i/>
                <w:iCs/>
                <w:color w:val="auto"/>
                <w:sz w:val="24"/>
                <w:highlight w:val="none"/>
              </w:rPr>
              <w:t>j</w:t>
            </w:r>
            <w:r>
              <w:rPr>
                <w:rFonts w:hint="eastAsia"/>
                <w:color w:val="auto"/>
                <w:sz w:val="24"/>
                <w:highlight w:val="none"/>
              </w:rPr>
              <w:t>个等效室外声源在预测点产生的A 声级，dB；</w:t>
            </w:r>
          </w:p>
          <w:p w14:paraId="325F4686">
            <w:pPr>
              <w:spacing w:line="360" w:lineRule="auto"/>
              <w:ind w:firstLine="1200" w:firstLineChars="500"/>
              <w:rPr>
                <w:color w:val="auto"/>
                <w:sz w:val="24"/>
                <w:highlight w:val="none"/>
              </w:rPr>
            </w:pPr>
            <w:r>
              <w:rPr>
                <w:i/>
                <w:iCs/>
                <w:color w:val="auto"/>
                <w:sz w:val="24"/>
                <w:highlight w:val="none"/>
              </w:rPr>
              <w:t>T</w:t>
            </w:r>
            <w:r>
              <w:rPr>
                <w:rFonts w:hint="eastAsia"/>
                <w:i/>
                <w:iCs/>
                <w:color w:val="auto"/>
                <w:sz w:val="24"/>
                <w:highlight w:val="none"/>
                <w:vertAlign w:val="subscript"/>
              </w:rPr>
              <w:t>j</w:t>
            </w:r>
            <w:r>
              <w:rPr>
                <w:color w:val="auto"/>
                <w:sz w:val="24"/>
                <w:highlight w:val="none"/>
              </w:rPr>
              <w:t>——</w:t>
            </w:r>
            <w:r>
              <w:rPr>
                <w:rFonts w:hint="eastAsia"/>
                <w:color w:val="auto"/>
                <w:sz w:val="24"/>
                <w:highlight w:val="none"/>
              </w:rPr>
              <w:t>在</w:t>
            </w:r>
            <w:r>
              <w:rPr>
                <w:rFonts w:hint="eastAsia"/>
                <w:i/>
                <w:iCs/>
                <w:color w:val="auto"/>
                <w:sz w:val="24"/>
                <w:highlight w:val="none"/>
              </w:rPr>
              <w:t>T</w:t>
            </w:r>
            <w:r>
              <w:rPr>
                <w:rFonts w:hint="eastAsia"/>
                <w:color w:val="auto"/>
                <w:sz w:val="24"/>
                <w:highlight w:val="none"/>
              </w:rPr>
              <w:t xml:space="preserve"> 时间内</w:t>
            </w:r>
            <w:r>
              <w:rPr>
                <w:rFonts w:hint="eastAsia"/>
                <w:i/>
                <w:iCs/>
                <w:color w:val="auto"/>
                <w:sz w:val="24"/>
                <w:highlight w:val="none"/>
              </w:rPr>
              <w:t>j</w:t>
            </w:r>
            <w:r>
              <w:rPr>
                <w:rFonts w:hint="eastAsia"/>
                <w:color w:val="auto"/>
                <w:sz w:val="24"/>
                <w:highlight w:val="none"/>
              </w:rPr>
              <w:t>声源的工作时间，s。</w:t>
            </w:r>
          </w:p>
          <w:p w14:paraId="4C5F1EA9">
            <w:pPr>
              <w:spacing w:line="360" w:lineRule="auto"/>
              <w:ind w:firstLine="480" w:firstLineChars="200"/>
              <w:outlineLvl w:val="5"/>
              <w:rPr>
                <w:iCs/>
                <w:color w:val="auto"/>
                <w:sz w:val="24"/>
                <w:highlight w:val="none"/>
              </w:rPr>
            </w:pPr>
            <w:r>
              <w:rPr>
                <w:rFonts w:hint="eastAsia" w:ascii="宋体" w:hAnsi="宋体"/>
                <w:iCs/>
                <w:color w:val="auto"/>
                <w:sz w:val="24"/>
                <w:highlight w:val="none"/>
              </w:rPr>
              <w:t>④</w:t>
            </w:r>
            <w:r>
              <w:rPr>
                <w:rFonts w:hint="eastAsia"/>
                <w:iCs/>
                <w:color w:val="auto"/>
                <w:sz w:val="24"/>
                <w:highlight w:val="none"/>
              </w:rPr>
              <w:t>噪声预测值计算</w:t>
            </w:r>
          </w:p>
          <w:p w14:paraId="2AE3B2B5">
            <w:pPr>
              <w:spacing w:line="360" w:lineRule="auto"/>
              <w:ind w:firstLine="480" w:firstLineChars="200"/>
              <w:rPr>
                <w:color w:val="auto"/>
                <w:sz w:val="24"/>
                <w:highlight w:val="none"/>
              </w:rPr>
            </w:pPr>
            <w:r>
              <w:rPr>
                <w:rFonts w:hint="eastAsia"/>
                <w:color w:val="auto"/>
                <w:sz w:val="24"/>
                <w:highlight w:val="none"/>
              </w:rPr>
              <w:t>噪声预测值为预测点的贡献值和背景值按能量叠加方法计算得到，计算公式如下：</w:t>
            </w:r>
          </w:p>
          <w:p w14:paraId="2176D548">
            <w:pPr>
              <w:spacing w:line="360" w:lineRule="auto"/>
              <w:jc w:val="center"/>
              <w:rPr>
                <w:color w:val="auto"/>
                <w:sz w:val="24"/>
                <w:highlight w:val="none"/>
              </w:rPr>
            </w:pPr>
            <w:r>
              <w:rPr>
                <w:color w:val="auto"/>
                <w:position w:val="-14"/>
                <w:highlight w:val="none"/>
              </w:rPr>
              <w:object>
                <v:shape id="_x0000_i1034" o:spt="75" type="#_x0000_t75" style="height:21.3pt;width:135.85pt;" o:ole="t" filled="f" o:preferrelative="t" stroked="f" coordsize="21600,21600">
                  <v:path/>
                  <v:fill on="f" focussize="0,0"/>
                  <v:stroke on="f" joinstyle="miter"/>
                  <v:imagedata r:id="rId41" o:title=""/>
                  <o:lock v:ext="edit" aspectratio="t"/>
                  <w10:wrap type="none"/>
                  <w10:anchorlock/>
                </v:shape>
                <o:OLEObject Type="Embed" ProgID="Equation.DSMT4" ShapeID="_x0000_i1034" DrawAspect="Content" ObjectID="_1468075734" r:id="rId40">
                  <o:LockedField>false</o:LockedField>
                </o:OLEObject>
              </w:object>
            </w:r>
          </w:p>
          <w:p w14:paraId="6AA31308">
            <w:pPr>
              <w:spacing w:line="360" w:lineRule="auto"/>
              <w:ind w:firstLine="480" w:firstLineChars="200"/>
              <w:rPr>
                <w:color w:val="auto"/>
                <w:sz w:val="24"/>
                <w:highlight w:val="none"/>
              </w:rPr>
            </w:pPr>
            <w:r>
              <w:rPr>
                <w:rFonts w:hint="eastAsia"/>
                <w:color w:val="auto"/>
                <w:sz w:val="24"/>
                <w:highlight w:val="none"/>
              </w:rPr>
              <w:t>式中：</w:t>
            </w:r>
            <w:r>
              <w:rPr>
                <w:rFonts w:hint="eastAsia"/>
                <w:i/>
                <w:iCs/>
                <w:color w:val="auto"/>
                <w:sz w:val="24"/>
                <w:highlight w:val="none"/>
              </w:rPr>
              <w:t>L</w:t>
            </w:r>
            <w:r>
              <w:rPr>
                <w:rFonts w:hint="eastAsia"/>
                <w:i/>
                <w:iCs/>
                <w:color w:val="auto"/>
                <w:sz w:val="24"/>
                <w:highlight w:val="none"/>
                <w:vertAlign w:val="subscript"/>
              </w:rPr>
              <w:t>eq</w:t>
            </w:r>
            <w:r>
              <w:rPr>
                <w:color w:val="auto"/>
                <w:sz w:val="24"/>
                <w:highlight w:val="none"/>
              </w:rPr>
              <w:t>——</w:t>
            </w:r>
            <w:r>
              <w:rPr>
                <w:rFonts w:hint="eastAsia"/>
                <w:color w:val="auto"/>
                <w:sz w:val="24"/>
                <w:highlight w:val="none"/>
              </w:rPr>
              <w:t>预测点的噪声预测值，dB；</w:t>
            </w:r>
          </w:p>
          <w:p w14:paraId="2561F97E">
            <w:pPr>
              <w:spacing w:line="360" w:lineRule="auto"/>
              <w:ind w:firstLine="1200" w:firstLineChars="500"/>
              <w:rPr>
                <w:color w:val="auto"/>
                <w:sz w:val="24"/>
                <w:highlight w:val="none"/>
              </w:rPr>
            </w:pPr>
            <w:r>
              <w:rPr>
                <w:rFonts w:hint="eastAsia"/>
                <w:i/>
                <w:iCs/>
                <w:color w:val="auto"/>
                <w:sz w:val="24"/>
                <w:highlight w:val="none"/>
              </w:rPr>
              <w:t>L</w:t>
            </w:r>
            <w:r>
              <w:rPr>
                <w:rFonts w:hint="eastAsia"/>
                <w:i/>
                <w:iCs/>
                <w:color w:val="auto"/>
                <w:sz w:val="24"/>
                <w:highlight w:val="none"/>
                <w:vertAlign w:val="subscript"/>
              </w:rPr>
              <w:t>eqg</w:t>
            </w:r>
            <w:r>
              <w:rPr>
                <w:color w:val="auto"/>
                <w:sz w:val="24"/>
                <w:highlight w:val="none"/>
              </w:rPr>
              <w:t>——</w:t>
            </w:r>
            <w:r>
              <w:rPr>
                <w:rFonts w:hint="eastAsia"/>
                <w:color w:val="auto"/>
                <w:sz w:val="24"/>
                <w:highlight w:val="none"/>
              </w:rPr>
              <w:t>建设项目声源在预测点产生的噪声贡献值，dB；</w:t>
            </w:r>
          </w:p>
          <w:p w14:paraId="41DCFA84">
            <w:pPr>
              <w:spacing w:line="360" w:lineRule="auto"/>
              <w:ind w:firstLine="1200" w:firstLineChars="500"/>
              <w:rPr>
                <w:color w:val="auto"/>
                <w:sz w:val="24"/>
                <w:highlight w:val="none"/>
              </w:rPr>
            </w:pPr>
            <w:r>
              <w:rPr>
                <w:rFonts w:hint="eastAsia"/>
                <w:i/>
                <w:iCs/>
                <w:color w:val="auto"/>
                <w:sz w:val="24"/>
                <w:highlight w:val="none"/>
              </w:rPr>
              <w:t>L</w:t>
            </w:r>
            <w:r>
              <w:rPr>
                <w:rFonts w:hint="eastAsia"/>
                <w:i/>
                <w:iCs/>
                <w:color w:val="auto"/>
                <w:sz w:val="24"/>
                <w:highlight w:val="none"/>
                <w:vertAlign w:val="subscript"/>
              </w:rPr>
              <w:t>eqb</w:t>
            </w:r>
            <w:r>
              <w:rPr>
                <w:color w:val="auto"/>
                <w:sz w:val="24"/>
                <w:highlight w:val="none"/>
              </w:rPr>
              <w:t>——</w:t>
            </w:r>
            <w:r>
              <w:rPr>
                <w:rFonts w:hint="eastAsia"/>
                <w:color w:val="auto"/>
                <w:sz w:val="24"/>
                <w:highlight w:val="none"/>
              </w:rPr>
              <w:t>预测点的背景噪声值，dB。</w:t>
            </w:r>
          </w:p>
          <w:p w14:paraId="268CCDAC">
            <w:pPr>
              <w:widowControl/>
              <w:spacing w:line="360" w:lineRule="auto"/>
              <w:ind w:firstLine="480" w:firstLineChars="200"/>
              <w:jc w:val="left"/>
              <w:rPr>
                <w:color w:val="auto"/>
                <w:sz w:val="24"/>
                <w:highlight w:val="none"/>
              </w:rPr>
            </w:pPr>
            <w:r>
              <w:rPr>
                <w:rFonts w:hint="eastAsia"/>
                <w:color w:val="auto"/>
                <w:kern w:val="0"/>
                <w:sz w:val="24"/>
                <w:highlight w:val="none"/>
                <w:lang w:bidi="ar"/>
              </w:rPr>
              <w:t>结合本项目实际情况，在本项目厂界四周设置预测点，</w:t>
            </w:r>
            <w:r>
              <w:rPr>
                <w:color w:val="auto"/>
                <w:kern w:val="0"/>
                <w:sz w:val="24"/>
                <w:highlight w:val="none"/>
                <w:lang w:bidi="ar"/>
              </w:rPr>
              <w:t>本项目</w:t>
            </w:r>
            <w:r>
              <w:rPr>
                <w:rFonts w:hint="eastAsia"/>
                <w:color w:val="auto"/>
                <w:kern w:val="0"/>
                <w:sz w:val="24"/>
                <w:highlight w:val="none"/>
                <w:lang w:bidi="ar"/>
              </w:rPr>
              <w:t>运营期</w:t>
            </w:r>
            <w:r>
              <w:rPr>
                <w:color w:val="auto"/>
                <w:kern w:val="0"/>
                <w:sz w:val="24"/>
                <w:highlight w:val="none"/>
                <w:lang w:bidi="ar"/>
              </w:rPr>
              <w:t>噪声值预测结果</w:t>
            </w:r>
            <w:r>
              <w:rPr>
                <w:rFonts w:hint="eastAsia"/>
                <w:color w:val="auto"/>
                <w:kern w:val="0"/>
                <w:sz w:val="24"/>
                <w:highlight w:val="none"/>
                <w:lang w:bidi="ar"/>
              </w:rPr>
              <w:t>详见下表</w:t>
            </w:r>
            <w:r>
              <w:rPr>
                <w:color w:val="auto"/>
                <w:kern w:val="0"/>
                <w:sz w:val="24"/>
                <w:highlight w:val="none"/>
                <w:lang w:bidi="ar"/>
              </w:rPr>
              <w:t>。</w:t>
            </w:r>
          </w:p>
          <w:p w14:paraId="5BD6D6EB">
            <w:pPr>
              <w:widowControl/>
              <w:jc w:val="center"/>
              <w:rPr>
                <w:b/>
                <w:bCs/>
                <w:color w:val="FF0000"/>
                <w:kern w:val="0"/>
                <w:szCs w:val="21"/>
                <w:highlight w:val="none"/>
                <w:lang w:bidi="ar"/>
              </w:rPr>
            </w:pPr>
            <w:r>
              <w:rPr>
                <w:b/>
                <w:bCs/>
                <w:color w:val="FF0000"/>
                <w:kern w:val="0"/>
                <w:szCs w:val="21"/>
                <w:highlight w:val="none"/>
                <w:lang w:bidi="ar"/>
              </w:rPr>
              <w:t>表4-</w:t>
            </w:r>
            <w:r>
              <w:rPr>
                <w:rFonts w:hint="eastAsia"/>
                <w:b/>
                <w:bCs/>
                <w:color w:val="FF0000"/>
                <w:kern w:val="0"/>
                <w:szCs w:val="21"/>
                <w:highlight w:val="none"/>
                <w:lang w:bidi="ar"/>
              </w:rPr>
              <w:t>1</w:t>
            </w:r>
            <w:r>
              <w:rPr>
                <w:rFonts w:hint="eastAsia"/>
                <w:b/>
                <w:bCs/>
                <w:color w:val="FF0000"/>
                <w:kern w:val="0"/>
                <w:szCs w:val="21"/>
                <w:highlight w:val="none"/>
                <w:lang w:val="en-US" w:eastAsia="zh-CN" w:bidi="ar"/>
              </w:rPr>
              <w:t>2</w:t>
            </w:r>
            <w:r>
              <w:rPr>
                <w:b/>
                <w:bCs/>
                <w:color w:val="FF0000"/>
                <w:kern w:val="0"/>
                <w:szCs w:val="21"/>
                <w:highlight w:val="none"/>
                <w:lang w:bidi="ar"/>
              </w:rPr>
              <w:t xml:space="preserve"> </w:t>
            </w:r>
            <w:r>
              <w:rPr>
                <w:rFonts w:hint="eastAsia"/>
                <w:b/>
                <w:bCs/>
                <w:color w:val="FF0000"/>
                <w:kern w:val="0"/>
                <w:szCs w:val="21"/>
                <w:highlight w:val="none"/>
                <w:lang w:bidi="ar"/>
              </w:rPr>
              <w:t xml:space="preserve"> </w:t>
            </w:r>
            <w:r>
              <w:rPr>
                <w:b/>
                <w:bCs/>
                <w:color w:val="FF0000"/>
                <w:kern w:val="0"/>
                <w:szCs w:val="21"/>
                <w:highlight w:val="none"/>
                <w:lang w:bidi="ar"/>
              </w:rPr>
              <w:t xml:space="preserve">噪声预测结果  </w:t>
            </w:r>
            <w:r>
              <w:rPr>
                <w:rFonts w:hint="eastAsia"/>
                <w:b/>
                <w:bCs/>
                <w:color w:val="FF0000"/>
                <w:kern w:val="0"/>
                <w:szCs w:val="21"/>
                <w:highlight w:val="none"/>
                <w:lang w:bidi="ar"/>
              </w:rPr>
              <w:t>单位：</w:t>
            </w:r>
            <w:r>
              <w:rPr>
                <w:b/>
                <w:bCs/>
                <w:color w:val="FF0000"/>
                <w:kern w:val="0"/>
                <w:szCs w:val="21"/>
                <w:highlight w:val="none"/>
                <w:lang w:bidi="ar"/>
              </w:rPr>
              <w:t>dB（A）</w:t>
            </w:r>
          </w:p>
          <w:tbl>
            <w:tblPr>
              <w:tblStyle w:val="18"/>
              <w:tblW w:w="4931"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37"/>
              <w:gridCol w:w="1046"/>
              <w:gridCol w:w="1110"/>
              <w:gridCol w:w="1849"/>
              <w:gridCol w:w="1049"/>
              <w:gridCol w:w="1056"/>
              <w:gridCol w:w="931"/>
            </w:tblGrid>
            <w:tr w14:paraId="2CDFECB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41" w:hRule="atLeast"/>
                <w:jc w:val="center"/>
              </w:trPr>
              <w:tc>
                <w:tcPr>
                  <w:tcW w:w="695" w:type="pct"/>
                  <w:vMerge w:val="restart"/>
                  <w:noWrap w:val="0"/>
                  <w:vAlign w:val="center"/>
                </w:tcPr>
                <w:p w14:paraId="44B17B16">
                  <w:pPr>
                    <w:adjustRightInd w:val="0"/>
                    <w:snapToGrid w:val="0"/>
                    <w:jc w:val="center"/>
                    <w:rPr>
                      <w:b/>
                      <w:bCs/>
                      <w:color w:val="FF0000"/>
                      <w:szCs w:val="21"/>
                      <w:highlight w:val="none"/>
                    </w:rPr>
                  </w:pPr>
                  <w:r>
                    <w:rPr>
                      <w:b/>
                      <w:bCs/>
                      <w:color w:val="FF0000"/>
                      <w:szCs w:val="21"/>
                      <w:highlight w:val="none"/>
                    </w:rPr>
                    <w:t>降噪后合成源强</w:t>
                  </w:r>
                </w:p>
              </w:tc>
              <w:tc>
                <w:tcPr>
                  <w:tcW w:w="639" w:type="pct"/>
                  <w:vMerge w:val="restart"/>
                  <w:noWrap w:val="0"/>
                  <w:vAlign w:val="center"/>
                </w:tcPr>
                <w:p w14:paraId="4DC5917A">
                  <w:pPr>
                    <w:adjustRightInd w:val="0"/>
                    <w:snapToGrid w:val="0"/>
                    <w:jc w:val="center"/>
                    <w:rPr>
                      <w:b/>
                      <w:bCs/>
                      <w:color w:val="FF0000"/>
                      <w:szCs w:val="21"/>
                      <w:highlight w:val="none"/>
                    </w:rPr>
                  </w:pPr>
                  <w:r>
                    <w:rPr>
                      <w:b/>
                      <w:bCs/>
                      <w:color w:val="FF0000"/>
                      <w:szCs w:val="21"/>
                      <w:highlight w:val="none"/>
                    </w:rPr>
                    <w:t>厂界</w:t>
                  </w:r>
                </w:p>
              </w:tc>
              <w:tc>
                <w:tcPr>
                  <w:tcW w:w="678" w:type="pct"/>
                  <w:vMerge w:val="restart"/>
                  <w:noWrap w:val="0"/>
                  <w:vAlign w:val="center"/>
                </w:tcPr>
                <w:p w14:paraId="1C3C4A9E">
                  <w:pPr>
                    <w:adjustRightInd w:val="0"/>
                    <w:snapToGrid w:val="0"/>
                    <w:jc w:val="center"/>
                    <w:rPr>
                      <w:b/>
                      <w:bCs/>
                      <w:color w:val="FF0000"/>
                      <w:szCs w:val="21"/>
                      <w:highlight w:val="none"/>
                    </w:rPr>
                  </w:pPr>
                  <w:r>
                    <w:rPr>
                      <w:b/>
                      <w:bCs/>
                      <w:color w:val="FF0000"/>
                      <w:szCs w:val="21"/>
                      <w:highlight w:val="none"/>
                    </w:rPr>
                    <w:t>与声源强距离m</w:t>
                  </w:r>
                </w:p>
              </w:tc>
              <w:tc>
                <w:tcPr>
                  <w:tcW w:w="1130" w:type="pct"/>
                  <w:vMerge w:val="restart"/>
                  <w:noWrap w:val="0"/>
                  <w:vAlign w:val="center"/>
                </w:tcPr>
                <w:p w14:paraId="22FE66CF">
                  <w:pPr>
                    <w:adjustRightInd w:val="0"/>
                    <w:snapToGrid w:val="0"/>
                    <w:jc w:val="center"/>
                    <w:rPr>
                      <w:rFonts w:hint="eastAsia"/>
                      <w:b/>
                      <w:bCs/>
                      <w:color w:val="FF0000"/>
                      <w:szCs w:val="21"/>
                      <w:highlight w:val="none"/>
                    </w:rPr>
                  </w:pPr>
                  <w:r>
                    <w:rPr>
                      <w:b/>
                      <w:bCs/>
                      <w:color w:val="FF0000"/>
                      <w:szCs w:val="21"/>
                      <w:highlight w:val="none"/>
                    </w:rPr>
                    <w:t>本项目贡献值</w:t>
                  </w:r>
                  <w:r>
                    <w:rPr>
                      <w:rFonts w:hint="eastAsia"/>
                      <w:b/>
                      <w:bCs/>
                      <w:color w:val="FF0000"/>
                      <w:szCs w:val="21"/>
                      <w:highlight w:val="none"/>
                    </w:rPr>
                    <w:t>（昼间，夜间不生产）</w:t>
                  </w:r>
                </w:p>
              </w:tc>
              <w:tc>
                <w:tcPr>
                  <w:tcW w:w="1286" w:type="pct"/>
                  <w:gridSpan w:val="2"/>
                  <w:noWrap w:val="0"/>
                  <w:vAlign w:val="center"/>
                </w:tcPr>
                <w:p w14:paraId="43017CCF">
                  <w:pPr>
                    <w:adjustRightInd w:val="0"/>
                    <w:snapToGrid w:val="0"/>
                    <w:jc w:val="center"/>
                    <w:rPr>
                      <w:b/>
                      <w:bCs/>
                      <w:color w:val="FF0000"/>
                      <w:szCs w:val="21"/>
                      <w:highlight w:val="none"/>
                    </w:rPr>
                  </w:pPr>
                  <w:r>
                    <w:rPr>
                      <w:b/>
                      <w:bCs/>
                      <w:color w:val="FF0000"/>
                      <w:szCs w:val="21"/>
                      <w:highlight w:val="none"/>
                    </w:rPr>
                    <w:t>执行标准</w:t>
                  </w:r>
                </w:p>
              </w:tc>
              <w:tc>
                <w:tcPr>
                  <w:tcW w:w="569" w:type="pct"/>
                  <w:vMerge w:val="restart"/>
                  <w:noWrap w:val="0"/>
                  <w:vAlign w:val="center"/>
                </w:tcPr>
                <w:p w14:paraId="6C7F694D">
                  <w:pPr>
                    <w:adjustRightInd w:val="0"/>
                    <w:snapToGrid w:val="0"/>
                    <w:jc w:val="center"/>
                    <w:rPr>
                      <w:b/>
                      <w:bCs/>
                      <w:color w:val="FF0000"/>
                      <w:szCs w:val="21"/>
                      <w:highlight w:val="none"/>
                    </w:rPr>
                  </w:pPr>
                  <w:r>
                    <w:rPr>
                      <w:b/>
                      <w:bCs/>
                      <w:color w:val="FF0000"/>
                      <w:szCs w:val="21"/>
                      <w:highlight w:val="none"/>
                    </w:rPr>
                    <w:t>达标</w:t>
                  </w:r>
                </w:p>
                <w:p w14:paraId="72022238">
                  <w:pPr>
                    <w:adjustRightInd w:val="0"/>
                    <w:snapToGrid w:val="0"/>
                    <w:jc w:val="center"/>
                    <w:rPr>
                      <w:b/>
                      <w:bCs/>
                      <w:color w:val="FF0000"/>
                      <w:szCs w:val="21"/>
                      <w:highlight w:val="none"/>
                    </w:rPr>
                  </w:pPr>
                  <w:r>
                    <w:rPr>
                      <w:b/>
                      <w:bCs/>
                      <w:color w:val="FF0000"/>
                      <w:szCs w:val="21"/>
                      <w:highlight w:val="none"/>
                    </w:rPr>
                    <w:t>情况</w:t>
                  </w:r>
                </w:p>
              </w:tc>
            </w:tr>
            <w:tr w14:paraId="433BD228">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71" w:hRule="atLeast"/>
                <w:jc w:val="center"/>
              </w:trPr>
              <w:tc>
                <w:tcPr>
                  <w:tcW w:w="695" w:type="pct"/>
                  <w:vMerge w:val="continue"/>
                  <w:noWrap w:val="0"/>
                  <w:vAlign w:val="center"/>
                </w:tcPr>
                <w:p w14:paraId="14AA09DC">
                  <w:pPr>
                    <w:adjustRightInd w:val="0"/>
                    <w:snapToGrid w:val="0"/>
                    <w:jc w:val="center"/>
                    <w:rPr>
                      <w:b/>
                      <w:bCs/>
                      <w:color w:val="FF0000"/>
                      <w:szCs w:val="21"/>
                      <w:highlight w:val="none"/>
                    </w:rPr>
                  </w:pPr>
                </w:p>
              </w:tc>
              <w:tc>
                <w:tcPr>
                  <w:tcW w:w="639" w:type="pct"/>
                  <w:vMerge w:val="continue"/>
                  <w:noWrap w:val="0"/>
                  <w:vAlign w:val="center"/>
                </w:tcPr>
                <w:p w14:paraId="6495C747">
                  <w:pPr>
                    <w:adjustRightInd w:val="0"/>
                    <w:snapToGrid w:val="0"/>
                    <w:jc w:val="center"/>
                    <w:rPr>
                      <w:b/>
                      <w:bCs/>
                      <w:color w:val="FF0000"/>
                      <w:szCs w:val="21"/>
                      <w:highlight w:val="none"/>
                    </w:rPr>
                  </w:pPr>
                </w:p>
              </w:tc>
              <w:tc>
                <w:tcPr>
                  <w:tcW w:w="678" w:type="pct"/>
                  <w:vMerge w:val="continue"/>
                  <w:noWrap w:val="0"/>
                  <w:vAlign w:val="center"/>
                </w:tcPr>
                <w:p w14:paraId="2491C8F1">
                  <w:pPr>
                    <w:adjustRightInd w:val="0"/>
                    <w:snapToGrid w:val="0"/>
                    <w:jc w:val="center"/>
                    <w:rPr>
                      <w:b/>
                      <w:bCs/>
                      <w:color w:val="FF0000"/>
                      <w:szCs w:val="21"/>
                      <w:highlight w:val="none"/>
                    </w:rPr>
                  </w:pPr>
                </w:p>
              </w:tc>
              <w:tc>
                <w:tcPr>
                  <w:tcW w:w="1130" w:type="pct"/>
                  <w:vMerge w:val="continue"/>
                  <w:noWrap w:val="0"/>
                  <w:vAlign w:val="center"/>
                </w:tcPr>
                <w:p w14:paraId="6C540BB9">
                  <w:pPr>
                    <w:adjustRightInd w:val="0"/>
                    <w:snapToGrid w:val="0"/>
                    <w:jc w:val="center"/>
                    <w:rPr>
                      <w:b/>
                      <w:bCs/>
                      <w:color w:val="FF0000"/>
                      <w:szCs w:val="21"/>
                      <w:highlight w:val="none"/>
                    </w:rPr>
                  </w:pPr>
                </w:p>
              </w:tc>
              <w:tc>
                <w:tcPr>
                  <w:tcW w:w="641" w:type="pct"/>
                  <w:noWrap w:val="0"/>
                  <w:vAlign w:val="center"/>
                </w:tcPr>
                <w:p w14:paraId="3E113107">
                  <w:pPr>
                    <w:adjustRightInd w:val="0"/>
                    <w:snapToGrid w:val="0"/>
                    <w:jc w:val="center"/>
                    <w:rPr>
                      <w:b/>
                      <w:bCs/>
                      <w:color w:val="FF0000"/>
                      <w:szCs w:val="21"/>
                      <w:highlight w:val="none"/>
                    </w:rPr>
                  </w:pPr>
                  <w:r>
                    <w:rPr>
                      <w:rFonts w:hint="eastAsia"/>
                      <w:b/>
                      <w:bCs/>
                      <w:color w:val="FF0000"/>
                      <w:szCs w:val="21"/>
                      <w:highlight w:val="none"/>
                    </w:rPr>
                    <w:t>昼间</w:t>
                  </w:r>
                </w:p>
              </w:tc>
              <w:tc>
                <w:tcPr>
                  <w:tcW w:w="645" w:type="pct"/>
                  <w:noWrap w:val="0"/>
                  <w:vAlign w:val="center"/>
                </w:tcPr>
                <w:p w14:paraId="66BF3E33">
                  <w:pPr>
                    <w:adjustRightInd w:val="0"/>
                    <w:snapToGrid w:val="0"/>
                    <w:jc w:val="center"/>
                    <w:rPr>
                      <w:rFonts w:hint="eastAsia" w:eastAsia="宋体"/>
                      <w:b/>
                      <w:bCs/>
                      <w:color w:val="FF0000"/>
                      <w:szCs w:val="21"/>
                      <w:highlight w:val="none"/>
                      <w:lang w:val="en-US" w:eastAsia="zh-CN"/>
                    </w:rPr>
                  </w:pPr>
                  <w:r>
                    <w:rPr>
                      <w:b/>
                      <w:bCs/>
                      <w:color w:val="FF0000"/>
                      <w:szCs w:val="21"/>
                      <w:highlight w:val="none"/>
                    </w:rPr>
                    <w:t>夜</w:t>
                  </w:r>
                  <w:r>
                    <w:rPr>
                      <w:rFonts w:hint="eastAsia"/>
                      <w:b/>
                      <w:bCs/>
                      <w:color w:val="FF0000"/>
                      <w:szCs w:val="21"/>
                      <w:highlight w:val="none"/>
                      <w:lang w:val="en-US" w:eastAsia="zh-CN"/>
                    </w:rPr>
                    <w:t>间</w:t>
                  </w:r>
                </w:p>
              </w:tc>
              <w:tc>
                <w:tcPr>
                  <w:tcW w:w="569" w:type="pct"/>
                  <w:vMerge w:val="continue"/>
                  <w:noWrap w:val="0"/>
                  <w:vAlign w:val="center"/>
                </w:tcPr>
                <w:p w14:paraId="086B594A">
                  <w:pPr>
                    <w:adjustRightInd w:val="0"/>
                    <w:snapToGrid w:val="0"/>
                    <w:jc w:val="center"/>
                    <w:rPr>
                      <w:b/>
                      <w:bCs/>
                      <w:color w:val="FF0000"/>
                      <w:szCs w:val="21"/>
                      <w:highlight w:val="none"/>
                    </w:rPr>
                  </w:pPr>
                </w:p>
              </w:tc>
            </w:tr>
            <w:tr w14:paraId="22B216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71" w:hRule="atLeast"/>
                <w:jc w:val="center"/>
              </w:trPr>
              <w:tc>
                <w:tcPr>
                  <w:tcW w:w="695" w:type="pct"/>
                  <w:vMerge w:val="restart"/>
                  <w:noWrap w:val="0"/>
                  <w:vAlign w:val="center"/>
                </w:tcPr>
                <w:p w14:paraId="67760C39">
                  <w:pPr>
                    <w:adjustRightInd w:val="0"/>
                    <w:snapToGrid w:val="0"/>
                    <w:jc w:val="center"/>
                    <w:rPr>
                      <w:rFonts w:hint="default" w:eastAsia="宋体"/>
                      <w:color w:val="FF0000"/>
                      <w:szCs w:val="21"/>
                      <w:highlight w:val="none"/>
                      <w:lang w:val="en-US" w:eastAsia="zh-CN"/>
                    </w:rPr>
                  </w:pPr>
                  <w:r>
                    <w:rPr>
                      <w:rFonts w:hint="eastAsia"/>
                      <w:color w:val="FF0000"/>
                      <w:szCs w:val="21"/>
                      <w:highlight w:val="none"/>
                      <w:lang w:val="en-US" w:eastAsia="zh-CN"/>
                    </w:rPr>
                    <w:t>82</w:t>
                  </w:r>
                </w:p>
              </w:tc>
              <w:tc>
                <w:tcPr>
                  <w:tcW w:w="639" w:type="pct"/>
                  <w:noWrap w:val="0"/>
                  <w:vAlign w:val="center"/>
                </w:tcPr>
                <w:p w14:paraId="16DD62F4">
                  <w:pPr>
                    <w:adjustRightInd w:val="0"/>
                    <w:snapToGrid w:val="0"/>
                    <w:jc w:val="center"/>
                    <w:rPr>
                      <w:color w:val="FF0000"/>
                      <w:szCs w:val="21"/>
                      <w:highlight w:val="none"/>
                    </w:rPr>
                  </w:pPr>
                  <w:r>
                    <w:rPr>
                      <w:color w:val="FF0000"/>
                      <w:szCs w:val="21"/>
                      <w:highlight w:val="none"/>
                    </w:rPr>
                    <w:t>东厂界</w:t>
                  </w:r>
                </w:p>
              </w:tc>
              <w:tc>
                <w:tcPr>
                  <w:tcW w:w="678" w:type="pct"/>
                  <w:noWrap w:val="0"/>
                  <w:vAlign w:val="center"/>
                </w:tcPr>
                <w:p w14:paraId="4DDC9C45">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22</w:t>
                  </w:r>
                </w:p>
              </w:tc>
              <w:tc>
                <w:tcPr>
                  <w:tcW w:w="1130" w:type="pct"/>
                  <w:noWrap w:val="0"/>
                  <w:vAlign w:val="center"/>
                </w:tcPr>
                <w:p w14:paraId="3A0C8429">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54</w:t>
                  </w:r>
                </w:p>
              </w:tc>
              <w:tc>
                <w:tcPr>
                  <w:tcW w:w="641" w:type="pct"/>
                  <w:noWrap w:val="0"/>
                  <w:vAlign w:val="center"/>
                </w:tcPr>
                <w:p w14:paraId="70CF1A6F">
                  <w:pPr>
                    <w:pStyle w:val="16"/>
                    <w:widowControl w:val="0"/>
                    <w:autoSpaceDE w:val="0"/>
                    <w:autoSpaceDN w:val="0"/>
                    <w:adjustRightInd w:val="0"/>
                    <w:snapToGrid w:val="0"/>
                    <w:spacing w:before="0" w:beforeAutospacing="0" w:after="0" w:afterAutospacing="0"/>
                    <w:jc w:val="center"/>
                    <w:rPr>
                      <w:rFonts w:hint="default" w:ascii="Times New Roman" w:hAnsi="Times New Roman" w:eastAsia="宋体"/>
                      <w:color w:val="FF0000"/>
                      <w:sz w:val="21"/>
                      <w:szCs w:val="21"/>
                      <w:highlight w:val="none"/>
                      <w:lang w:val="en-US" w:eastAsia="zh-CN"/>
                    </w:rPr>
                  </w:pPr>
                  <w:r>
                    <w:rPr>
                      <w:rFonts w:hint="eastAsia" w:ascii="Times New Roman" w:hAnsi="Times New Roman"/>
                      <w:color w:val="FF0000"/>
                      <w:sz w:val="21"/>
                      <w:szCs w:val="21"/>
                      <w:highlight w:val="none"/>
                      <w:lang w:val="en-US" w:eastAsia="zh-CN"/>
                    </w:rPr>
                    <w:t>60</w:t>
                  </w:r>
                </w:p>
              </w:tc>
              <w:tc>
                <w:tcPr>
                  <w:tcW w:w="645" w:type="pct"/>
                  <w:noWrap w:val="0"/>
                  <w:vAlign w:val="center"/>
                </w:tcPr>
                <w:p w14:paraId="3BDDDBF3">
                  <w:pPr>
                    <w:adjustRightInd w:val="0"/>
                    <w:snapToGrid w:val="0"/>
                    <w:jc w:val="center"/>
                    <w:rPr>
                      <w:rFonts w:hint="default" w:eastAsia="宋体"/>
                      <w:color w:val="FF0000"/>
                      <w:szCs w:val="21"/>
                      <w:highlight w:val="none"/>
                      <w:lang w:val="en-US" w:eastAsia="zh-CN"/>
                    </w:rPr>
                  </w:pPr>
                  <w:r>
                    <w:rPr>
                      <w:rFonts w:hint="eastAsia"/>
                      <w:color w:val="FF0000"/>
                      <w:szCs w:val="21"/>
                      <w:highlight w:val="none"/>
                      <w:lang w:val="en-US" w:eastAsia="zh-CN"/>
                    </w:rPr>
                    <w:t>50</w:t>
                  </w:r>
                </w:p>
              </w:tc>
              <w:tc>
                <w:tcPr>
                  <w:tcW w:w="569" w:type="pct"/>
                  <w:noWrap w:val="0"/>
                  <w:vAlign w:val="center"/>
                </w:tcPr>
                <w:p w14:paraId="7F08DDFE">
                  <w:pPr>
                    <w:adjustRightInd w:val="0"/>
                    <w:snapToGrid w:val="0"/>
                    <w:jc w:val="center"/>
                    <w:rPr>
                      <w:color w:val="FF0000"/>
                      <w:szCs w:val="21"/>
                      <w:highlight w:val="none"/>
                    </w:rPr>
                  </w:pPr>
                  <w:r>
                    <w:rPr>
                      <w:color w:val="FF0000"/>
                      <w:szCs w:val="21"/>
                      <w:highlight w:val="none"/>
                    </w:rPr>
                    <w:t>达标</w:t>
                  </w:r>
                </w:p>
              </w:tc>
            </w:tr>
            <w:tr w14:paraId="66674E3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jc w:val="center"/>
              </w:trPr>
              <w:tc>
                <w:tcPr>
                  <w:tcW w:w="695" w:type="pct"/>
                  <w:vMerge w:val="continue"/>
                  <w:noWrap w:val="0"/>
                  <w:vAlign w:val="center"/>
                </w:tcPr>
                <w:p w14:paraId="403E77D4">
                  <w:pPr>
                    <w:adjustRightInd w:val="0"/>
                    <w:snapToGrid w:val="0"/>
                    <w:jc w:val="center"/>
                    <w:rPr>
                      <w:color w:val="FF0000"/>
                      <w:szCs w:val="21"/>
                      <w:highlight w:val="none"/>
                    </w:rPr>
                  </w:pPr>
                </w:p>
              </w:tc>
              <w:tc>
                <w:tcPr>
                  <w:tcW w:w="639" w:type="pct"/>
                  <w:noWrap w:val="0"/>
                  <w:vAlign w:val="center"/>
                </w:tcPr>
                <w:p w14:paraId="7CB90F78">
                  <w:pPr>
                    <w:adjustRightInd w:val="0"/>
                    <w:snapToGrid w:val="0"/>
                    <w:jc w:val="center"/>
                    <w:rPr>
                      <w:color w:val="FF0000"/>
                      <w:szCs w:val="21"/>
                      <w:highlight w:val="none"/>
                    </w:rPr>
                  </w:pPr>
                  <w:r>
                    <w:rPr>
                      <w:color w:val="FF0000"/>
                      <w:szCs w:val="21"/>
                      <w:highlight w:val="none"/>
                    </w:rPr>
                    <w:t>南厂界</w:t>
                  </w:r>
                </w:p>
              </w:tc>
              <w:tc>
                <w:tcPr>
                  <w:tcW w:w="678" w:type="pct"/>
                  <w:noWrap w:val="0"/>
                  <w:vAlign w:val="center"/>
                </w:tcPr>
                <w:p w14:paraId="0E844EB4">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31</w:t>
                  </w:r>
                </w:p>
              </w:tc>
              <w:tc>
                <w:tcPr>
                  <w:tcW w:w="1130" w:type="pct"/>
                  <w:noWrap w:val="0"/>
                  <w:vAlign w:val="center"/>
                </w:tcPr>
                <w:p w14:paraId="5D9CB0DA">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51</w:t>
                  </w:r>
                </w:p>
              </w:tc>
              <w:tc>
                <w:tcPr>
                  <w:tcW w:w="1049" w:type="dxa"/>
                  <w:noWrap w:val="0"/>
                  <w:vAlign w:val="center"/>
                </w:tcPr>
                <w:p w14:paraId="3D9B7A26">
                  <w:pPr>
                    <w:pStyle w:val="16"/>
                    <w:widowControl w:val="0"/>
                    <w:autoSpaceDE w:val="0"/>
                    <w:autoSpaceDN w:val="0"/>
                    <w:adjustRightInd w:val="0"/>
                    <w:snapToGrid w:val="0"/>
                    <w:spacing w:before="0" w:beforeAutospacing="0" w:after="0" w:afterAutospacing="0"/>
                    <w:jc w:val="center"/>
                    <w:rPr>
                      <w:rFonts w:ascii="Times New Roman" w:hAnsi="Times New Roman"/>
                      <w:color w:val="FF0000"/>
                      <w:sz w:val="21"/>
                      <w:szCs w:val="21"/>
                      <w:highlight w:val="none"/>
                    </w:rPr>
                  </w:pPr>
                  <w:r>
                    <w:rPr>
                      <w:rFonts w:hint="eastAsia" w:ascii="Times New Roman" w:hAnsi="Times New Roman"/>
                      <w:color w:val="FF0000"/>
                      <w:sz w:val="21"/>
                      <w:szCs w:val="21"/>
                      <w:highlight w:val="none"/>
                      <w:lang w:val="en-US" w:eastAsia="zh-CN"/>
                    </w:rPr>
                    <w:t>60</w:t>
                  </w:r>
                </w:p>
              </w:tc>
              <w:tc>
                <w:tcPr>
                  <w:tcW w:w="1056" w:type="dxa"/>
                  <w:noWrap w:val="0"/>
                  <w:vAlign w:val="center"/>
                </w:tcPr>
                <w:p w14:paraId="3C1E5FF1">
                  <w:pPr>
                    <w:adjustRightInd w:val="0"/>
                    <w:snapToGrid w:val="0"/>
                    <w:jc w:val="center"/>
                    <w:rPr>
                      <w:color w:val="FF0000"/>
                      <w:szCs w:val="21"/>
                      <w:highlight w:val="none"/>
                    </w:rPr>
                  </w:pPr>
                  <w:r>
                    <w:rPr>
                      <w:rFonts w:hint="eastAsia"/>
                      <w:color w:val="FF0000"/>
                      <w:szCs w:val="21"/>
                      <w:highlight w:val="none"/>
                      <w:lang w:val="en-US" w:eastAsia="zh-CN"/>
                    </w:rPr>
                    <w:t>50</w:t>
                  </w:r>
                </w:p>
              </w:tc>
              <w:tc>
                <w:tcPr>
                  <w:tcW w:w="569" w:type="pct"/>
                  <w:noWrap w:val="0"/>
                  <w:vAlign w:val="center"/>
                </w:tcPr>
                <w:p w14:paraId="2929B607">
                  <w:pPr>
                    <w:adjustRightInd w:val="0"/>
                    <w:snapToGrid w:val="0"/>
                    <w:jc w:val="center"/>
                    <w:rPr>
                      <w:color w:val="FF0000"/>
                      <w:szCs w:val="21"/>
                      <w:highlight w:val="none"/>
                    </w:rPr>
                  </w:pPr>
                  <w:r>
                    <w:rPr>
                      <w:color w:val="FF0000"/>
                      <w:szCs w:val="21"/>
                      <w:highlight w:val="none"/>
                    </w:rPr>
                    <w:t>达标</w:t>
                  </w:r>
                </w:p>
              </w:tc>
            </w:tr>
            <w:tr w14:paraId="7418E404">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jc w:val="center"/>
              </w:trPr>
              <w:tc>
                <w:tcPr>
                  <w:tcW w:w="695" w:type="pct"/>
                  <w:vMerge w:val="continue"/>
                  <w:noWrap w:val="0"/>
                  <w:vAlign w:val="center"/>
                </w:tcPr>
                <w:p w14:paraId="093A48BF">
                  <w:pPr>
                    <w:adjustRightInd w:val="0"/>
                    <w:snapToGrid w:val="0"/>
                    <w:jc w:val="center"/>
                    <w:rPr>
                      <w:color w:val="FF0000"/>
                      <w:szCs w:val="21"/>
                      <w:highlight w:val="none"/>
                    </w:rPr>
                  </w:pPr>
                </w:p>
              </w:tc>
              <w:tc>
                <w:tcPr>
                  <w:tcW w:w="639" w:type="pct"/>
                  <w:noWrap w:val="0"/>
                  <w:vAlign w:val="center"/>
                </w:tcPr>
                <w:p w14:paraId="072119F0">
                  <w:pPr>
                    <w:adjustRightInd w:val="0"/>
                    <w:snapToGrid w:val="0"/>
                    <w:jc w:val="center"/>
                    <w:rPr>
                      <w:color w:val="FF0000"/>
                      <w:szCs w:val="21"/>
                      <w:highlight w:val="none"/>
                    </w:rPr>
                  </w:pPr>
                  <w:r>
                    <w:rPr>
                      <w:color w:val="FF0000"/>
                      <w:szCs w:val="21"/>
                      <w:highlight w:val="none"/>
                    </w:rPr>
                    <w:t>西厂界</w:t>
                  </w:r>
                </w:p>
              </w:tc>
              <w:tc>
                <w:tcPr>
                  <w:tcW w:w="678" w:type="pct"/>
                  <w:noWrap w:val="0"/>
                  <w:vAlign w:val="center"/>
                </w:tcPr>
                <w:p w14:paraId="7572BCAF">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23</w:t>
                  </w:r>
                </w:p>
              </w:tc>
              <w:tc>
                <w:tcPr>
                  <w:tcW w:w="1130" w:type="pct"/>
                  <w:noWrap w:val="0"/>
                  <w:vAlign w:val="center"/>
                </w:tcPr>
                <w:p w14:paraId="0D2E7857">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54</w:t>
                  </w:r>
                </w:p>
              </w:tc>
              <w:tc>
                <w:tcPr>
                  <w:tcW w:w="1049" w:type="dxa"/>
                  <w:noWrap w:val="0"/>
                  <w:vAlign w:val="center"/>
                </w:tcPr>
                <w:p w14:paraId="72622E4E">
                  <w:pPr>
                    <w:pStyle w:val="16"/>
                    <w:widowControl w:val="0"/>
                    <w:autoSpaceDE w:val="0"/>
                    <w:autoSpaceDN w:val="0"/>
                    <w:adjustRightInd w:val="0"/>
                    <w:snapToGrid w:val="0"/>
                    <w:spacing w:before="0" w:beforeAutospacing="0" w:after="0" w:afterAutospacing="0"/>
                    <w:jc w:val="center"/>
                    <w:rPr>
                      <w:rFonts w:ascii="Times New Roman" w:hAnsi="Times New Roman"/>
                      <w:color w:val="FF0000"/>
                      <w:sz w:val="21"/>
                      <w:szCs w:val="21"/>
                      <w:highlight w:val="none"/>
                    </w:rPr>
                  </w:pPr>
                  <w:r>
                    <w:rPr>
                      <w:rFonts w:hint="eastAsia" w:ascii="Times New Roman" w:hAnsi="Times New Roman"/>
                      <w:color w:val="FF0000"/>
                      <w:sz w:val="21"/>
                      <w:szCs w:val="21"/>
                      <w:highlight w:val="none"/>
                      <w:lang w:val="en-US" w:eastAsia="zh-CN"/>
                    </w:rPr>
                    <w:t>60</w:t>
                  </w:r>
                </w:p>
              </w:tc>
              <w:tc>
                <w:tcPr>
                  <w:tcW w:w="1056" w:type="dxa"/>
                  <w:noWrap w:val="0"/>
                  <w:vAlign w:val="center"/>
                </w:tcPr>
                <w:p w14:paraId="25EE0C9F">
                  <w:pPr>
                    <w:adjustRightInd w:val="0"/>
                    <w:snapToGrid w:val="0"/>
                    <w:jc w:val="center"/>
                    <w:rPr>
                      <w:color w:val="FF0000"/>
                      <w:szCs w:val="21"/>
                      <w:highlight w:val="none"/>
                    </w:rPr>
                  </w:pPr>
                  <w:r>
                    <w:rPr>
                      <w:rFonts w:hint="eastAsia"/>
                      <w:color w:val="FF0000"/>
                      <w:szCs w:val="21"/>
                      <w:highlight w:val="none"/>
                      <w:lang w:val="en-US" w:eastAsia="zh-CN"/>
                    </w:rPr>
                    <w:t>50</w:t>
                  </w:r>
                </w:p>
              </w:tc>
              <w:tc>
                <w:tcPr>
                  <w:tcW w:w="569" w:type="pct"/>
                  <w:noWrap w:val="0"/>
                  <w:vAlign w:val="center"/>
                </w:tcPr>
                <w:p w14:paraId="1E3AA3C6">
                  <w:pPr>
                    <w:adjustRightInd w:val="0"/>
                    <w:snapToGrid w:val="0"/>
                    <w:jc w:val="center"/>
                    <w:rPr>
                      <w:color w:val="FF0000"/>
                      <w:szCs w:val="21"/>
                      <w:highlight w:val="none"/>
                    </w:rPr>
                  </w:pPr>
                  <w:r>
                    <w:rPr>
                      <w:color w:val="FF0000"/>
                      <w:szCs w:val="21"/>
                      <w:highlight w:val="none"/>
                    </w:rPr>
                    <w:t>达标</w:t>
                  </w:r>
                </w:p>
              </w:tc>
            </w:tr>
            <w:tr w14:paraId="36FC5BA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99" w:hRule="atLeast"/>
                <w:jc w:val="center"/>
              </w:trPr>
              <w:tc>
                <w:tcPr>
                  <w:tcW w:w="695" w:type="pct"/>
                  <w:vMerge w:val="continue"/>
                  <w:noWrap w:val="0"/>
                  <w:vAlign w:val="center"/>
                </w:tcPr>
                <w:p w14:paraId="69E3A8DA">
                  <w:pPr>
                    <w:adjustRightInd w:val="0"/>
                    <w:snapToGrid w:val="0"/>
                    <w:jc w:val="center"/>
                    <w:rPr>
                      <w:color w:val="FF0000"/>
                      <w:szCs w:val="21"/>
                      <w:highlight w:val="none"/>
                    </w:rPr>
                  </w:pPr>
                </w:p>
              </w:tc>
              <w:tc>
                <w:tcPr>
                  <w:tcW w:w="639" w:type="pct"/>
                  <w:noWrap w:val="0"/>
                  <w:vAlign w:val="center"/>
                </w:tcPr>
                <w:p w14:paraId="3A27963E">
                  <w:pPr>
                    <w:adjustRightInd w:val="0"/>
                    <w:snapToGrid w:val="0"/>
                    <w:jc w:val="center"/>
                    <w:rPr>
                      <w:color w:val="FF0000"/>
                      <w:szCs w:val="21"/>
                      <w:highlight w:val="none"/>
                    </w:rPr>
                  </w:pPr>
                  <w:r>
                    <w:rPr>
                      <w:color w:val="FF0000"/>
                      <w:szCs w:val="21"/>
                      <w:highlight w:val="none"/>
                    </w:rPr>
                    <w:t>北厂界</w:t>
                  </w:r>
                </w:p>
              </w:tc>
              <w:tc>
                <w:tcPr>
                  <w:tcW w:w="678" w:type="pct"/>
                  <w:noWrap w:val="0"/>
                  <w:vAlign w:val="center"/>
                </w:tcPr>
                <w:p w14:paraId="25CDAB0E">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42</w:t>
                  </w:r>
                </w:p>
              </w:tc>
              <w:tc>
                <w:tcPr>
                  <w:tcW w:w="1130" w:type="pct"/>
                  <w:noWrap w:val="0"/>
                  <w:vAlign w:val="center"/>
                </w:tcPr>
                <w:p w14:paraId="1EB454FD">
                  <w:pPr>
                    <w:keepNext w:val="0"/>
                    <w:keepLines w:val="0"/>
                    <w:widowControl/>
                    <w:suppressLineNumbers w:val="0"/>
                    <w:jc w:val="center"/>
                    <w:textAlignment w:val="center"/>
                    <w:rPr>
                      <w:rFonts w:hint="default" w:ascii="Times New Roman" w:hAnsi="Times New Roman" w:eastAsia="宋体" w:cs="Times New Roman"/>
                      <w:color w:val="FF0000"/>
                      <w:kern w:val="0"/>
                      <w:sz w:val="21"/>
                      <w:szCs w:val="21"/>
                      <w:highlight w:val="none"/>
                      <w:lang w:val="en-US" w:eastAsia="zh-CN" w:bidi="ar-SA"/>
                    </w:rPr>
                  </w:pPr>
                  <w:r>
                    <w:rPr>
                      <w:rFonts w:hint="eastAsia" w:cs="Times New Roman"/>
                      <w:color w:val="FF0000"/>
                      <w:kern w:val="0"/>
                      <w:sz w:val="21"/>
                      <w:szCs w:val="21"/>
                      <w:highlight w:val="none"/>
                      <w:lang w:val="en-US" w:eastAsia="zh-CN" w:bidi="ar-SA"/>
                    </w:rPr>
                    <w:t>49</w:t>
                  </w:r>
                </w:p>
              </w:tc>
              <w:tc>
                <w:tcPr>
                  <w:tcW w:w="1049" w:type="dxa"/>
                  <w:noWrap w:val="0"/>
                  <w:vAlign w:val="center"/>
                </w:tcPr>
                <w:p w14:paraId="74C43657">
                  <w:pPr>
                    <w:pStyle w:val="16"/>
                    <w:widowControl w:val="0"/>
                    <w:autoSpaceDE w:val="0"/>
                    <w:autoSpaceDN w:val="0"/>
                    <w:adjustRightInd w:val="0"/>
                    <w:snapToGrid w:val="0"/>
                    <w:spacing w:before="0" w:beforeAutospacing="0" w:after="0" w:afterAutospacing="0"/>
                    <w:jc w:val="center"/>
                    <w:rPr>
                      <w:rFonts w:ascii="Times New Roman" w:hAnsi="Times New Roman"/>
                      <w:color w:val="FF0000"/>
                      <w:sz w:val="21"/>
                      <w:szCs w:val="21"/>
                      <w:highlight w:val="none"/>
                    </w:rPr>
                  </w:pPr>
                  <w:r>
                    <w:rPr>
                      <w:rFonts w:hint="eastAsia" w:ascii="Times New Roman" w:hAnsi="Times New Roman"/>
                      <w:color w:val="FF0000"/>
                      <w:sz w:val="21"/>
                      <w:szCs w:val="21"/>
                      <w:highlight w:val="none"/>
                      <w:lang w:val="en-US" w:eastAsia="zh-CN"/>
                    </w:rPr>
                    <w:t>60</w:t>
                  </w:r>
                </w:p>
              </w:tc>
              <w:tc>
                <w:tcPr>
                  <w:tcW w:w="1056" w:type="dxa"/>
                  <w:noWrap w:val="0"/>
                  <w:vAlign w:val="center"/>
                </w:tcPr>
                <w:p w14:paraId="5F42CEA1">
                  <w:pPr>
                    <w:adjustRightInd w:val="0"/>
                    <w:snapToGrid w:val="0"/>
                    <w:jc w:val="center"/>
                    <w:rPr>
                      <w:color w:val="FF0000"/>
                      <w:szCs w:val="21"/>
                      <w:highlight w:val="none"/>
                    </w:rPr>
                  </w:pPr>
                  <w:r>
                    <w:rPr>
                      <w:rFonts w:hint="eastAsia"/>
                      <w:color w:val="FF0000"/>
                      <w:szCs w:val="21"/>
                      <w:highlight w:val="none"/>
                      <w:lang w:val="en-US" w:eastAsia="zh-CN"/>
                    </w:rPr>
                    <w:t>50</w:t>
                  </w:r>
                </w:p>
              </w:tc>
              <w:tc>
                <w:tcPr>
                  <w:tcW w:w="569" w:type="pct"/>
                  <w:noWrap w:val="0"/>
                  <w:vAlign w:val="center"/>
                </w:tcPr>
                <w:p w14:paraId="107EADFC">
                  <w:pPr>
                    <w:adjustRightInd w:val="0"/>
                    <w:snapToGrid w:val="0"/>
                    <w:jc w:val="center"/>
                    <w:rPr>
                      <w:color w:val="FF0000"/>
                      <w:szCs w:val="21"/>
                      <w:highlight w:val="none"/>
                    </w:rPr>
                  </w:pPr>
                  <w:r>
                    <w:rPr>
                      <w:color w:val="FF0000"/>
                      <w:szCs w:val="21"/>
                      <w:highlight w:val="none"/>
                    </w:rPr>
                    <w:t>达标</w:t>
                  </w:r>
                </w:p>
              </w:tc>
            </w:tr>
          </w:tbl>
          <w:p w14:paraId="1EA0498F">
            <w:pPr>
              <w:widowControl/>
              <w:spacing w:before="120" w:beforeLines="50" w:line="360" w:lineRule="auto"/>
              <w:ind w:firstLine="480" w:firstLineChars="200"/>
              <w:jc w:val="left"/>
              <w:rPr>
                <w:color w:val="FF0000"/>
                <w:kern w:val="0"/>
                <w:sz w:val="24"/>
                <w:highlight w:val="none"/>
                <w:lang w:bidi="ar"/>
              </w:rPr>
            </w:pPr>
            <w:r>
              <w:rPr>
                <w:color w:val="FF0000"/>
                <w:sz w:val="24"/>
                <w:highlight w:val="none"/>
              </w:rPr>
              <w:t>根据预测结果，项目</w:t>
            </w:r>
            <w:r>
              <w:rPr>
                <w:rFonts w:hint="eastAsia"/>
                <w:color w:val="FF0000"/>
                <w:sz w:val="24"/>
                <w:highlight w:val="none"/>
              </w:rPr>
              <w:t>运营时段四厂界</w:t>
            </w:r>
            <w:r>
              <w:rPr>
                <w:color w:val="FF0000"/>
                <w:sz w:val="24"/>
                <w:highlight w:val="none"/>
              </w:rPr>
              <w:t>噪声</w:t>
            </w:r>
            <w:r>
              <w:rPr>
                <w:rFonts w:hint="eastAsia"/>
                <w:color w:val="FF0000"/>
                <w:sz w:val="24"/>
                <w:highlight w:val="none"/>
              </w:rPr>
              <w:t>均</w:t>
            </w:r>
            <w:r>
              <w:rPr>
                <w:color w:val="FF0000"/>
                <w:sz w:val="24"/>
                <w:highlight w:val="none"/>
              </w:rPr>
              <w:t>可以满足《工业企业厂界环境噪声排放标准》</w:t>
            </w:r>
            <w:r>
              <w:rPr>
                <w:rFonts w:hint="eastAsia"/>
                <w:color w:val="FF0000"/>
                <w:sz w:val="24"/>
                <w:highlight w:val="none"/>
              </w:rPr>
              <w:t>（</w:t>
            </w:r>
            <w:r>
              <w:rPr>
                <w:color w:val="FF0000"/>
                <w:sz w:val="24"/>
                <w:highlight w:val="none"/>
              </w:rPr>
              <w:t>GB12348-2008</w:t>
            </w:r>
            <w:r>
              <w:rPr>
                <w:rFonts w:hint="eastAsia"/>
                <w:color w:val="FF0000"/>
                <w:sz w:val="24"/>
                <w:highlight w:val="none"/>
              </w:rPr>
              <w:t>）</w:t>
            </w:r>
            <w:r>
              <w:rPr>
                <w:color w:val="FF0000"/>
                <w:sz w:val="24"/>
                <w:highlight w:val="none"/>
              </w:rPr>
              <w:t>中</w:t>
            </w:r>
            <w:r>
              <w:rPr>
                <w:rFonts w:hint="eastAsia"/>
                <w:color w:val="FF0000"/>
                <w:sz w:val="24"/>
                <w:highlight w:val="none"/>
                <w:lang w:val="en-US" w:eastAsia="zh-CN"/>
              </w:rPr>
              <w:t>2</w:t>
            </w:r>
            <w:r>
              <w:rPr>
                <w:color w:val="FF0000"/>
                <w:sz w:val="24"/>
                <w:highlight w:val="none"/>
              </w:rPr>
              <w:t>类标准</w:t>
            </w:r>
            <w:r>
              <w:rPr>
                <w:rFonts w:hint="eastAsia"/>
                <w:color w:val="FF0000"/>
                <w:sz w:val="24"/>
                <w:highlight w:val="none"/>
              </w:rPr>
              <w:t xml:space="preserve">（昼间 </w:t>
            </w:r>
            <w:r>
              <w:rPr>
                <w:rFonts w:hint="eastAsia"/>
                <w:color w:val="FF0000"/>
                <w:sz w:val="24"/>
                <w:highlight w:val="none"/>
                <w:lang w:val="en-US" w:eastAsia="zh-CN"/>
              </w:rPr>
              <w:t>60</w:t>
            </w:r>
            <w:r>
              <w:rPr>
                <w:rFonts w:hint="eastAsia"/>
                <w:color w:val="FF0000"/>
                <w:sz w:val="24"/>
                <w:highlight w:val="none"/>
              </w:rPr>
              <w:t>dB（A）），</w:t>
            </w:r>
            <w:r>
              <w:rPr>
                <w:color w:val="FF0000"/>
                <w:sz w:val="24"/>
                <w:highlight w:val="none"/>
              </w:rPr>
              <w:t>本项目采取的噪声防治措施可行，噪声可实现达标排放，</w:t>
            </w:r>
            <w:r>
              <w:rPr>
                <w:color w:val="FF0000"/>
                <w:kern w:val="0"/>
                <w:sz w:val="24"/>
                <w:highlight w:val="none"/>
                <w:lang w:bidi="ar"/>
              </w:rPr>
              <w:t>项目运营期噪声对周边声环境影响</w:t>
            </w:r>
            <w:r>
              <w:rPr>
                <w:rFonts w:hint="eastAsia"/>
                <w:color w:val="FF0000"/>
                <w:kern w:val="0"/>
                <w:sz w:val="24"/>
                <w:highlight w:val="none"/>
                <w:lang w:bidi="ar"/>
              </w:rPr>
              <w:t>较小</w:t>
            </w:r>
            <w:r>
              <w:rPr>
                <w:color w:val="FF0000"/>
                <w:sz w:val="24"/>
                <w:highlight w:val="none"/>
              </w:rPr>
              <w:t>。</w:t>
            </w:r>
          </w:p>
          <w:p w14:paraId="647F22BF">
            <w:pPr>
              <w:widowControl/>
              <w:spacing w:line="360" w:lineRule="auto"/>
              <w:ind w:firstLine="480" w:firstLineChars="200"/>
              <w:jc w:val="left"/>
              <w:rPr>
                <w:color w:val="auto"/>
                <w:kern w:val="0"/>
                <w:sz w:val="24"/>
                <w:highlight w:val="none"/>
                <w:lang w:bidi="ar"/>
              </w:rPr>
            </w:pPr>
            <w:r>
              <w:rPr>
                <w:color w:val="auto"/>
                <w:kern w:val="0"/>
                <w:sz w:val="24"/>
                <w:highlight w:val="none"/>
                <w:lang w:bidi="ar"/>
              </w:rPr>
              <w:t>3.</w:t>
            </w:r>
            <w:r>
              <w:rPr>
                <w:rFonts w:hint="eastAsia"/>
                <w:color w:val="auto"/>
                <w:kern w:val="0"/>
                <w:sz w:val="24"/>
                <w:highlight w:val="none"/>
                <w:lang w:bidi="ar"/>
              </w:rPr>
              <w:t>4</w:t>
            </w:r>
            <w:r>
              <w:rPr>
                <w:color w:val="auto"/>
                <w:kern w:val="0"/>
                <w:sz w:val="24"/>
                <w:highlight w:val="none"/>
                <w:lang w:bidi="ar"/>
              </w:rPr>
              <w:t xml:space="preserve"> 噪声监测</w:t>
            </w:r>
            <w:r>
              <w:rPr>
                <w:rFonts w:hint="eastAsia"/>
                <w:color w:val="auto"/>
                <w:kern w:val="0"/>
                <w:sz w:val="24"/>
                <w:highlight w:val="none"/>
                <w:lang w:bidi="ar"/>
              </w:rPr>
              <w:t>计划</w:t>
            </w:r>
          </w:p>
          <w:p w14:paraId="7FDA419F">
            <w:pPr>
              <w:widowControl/>
              <w:spacing w:line="360" w:lineRule="auto"/>
              <w:ind w:firstLine="480" w:firstLineChars="200"/>
              <w:jc w:val="left"/>
              <w:rPr>
                <w:color w:val="auto"/>
                <w:highlight w:val="none"/>
              </w:rPr>
            </w:pPr>
            <w:r>
              <w:rPr>
                <w:color w:val="auto"/>
                <w:kern w:val="0"/>
                <w:sz w:val="24"/>
                <w:highlight w:val="none"/>
                <w:lang w:bidi="ar"/>
              </w:rPr>
              <w:t>根据</w:t>
            </w:r>
            <w:r>
              <w:rPr>
                <w:rFonts w:hint="eastAsia"/>
                <w:color w:val="auto"/>
                <w:kern w:val="0"/>
                <w:sz w:val="24"/>
                <w:highlight w:val="none"/>
                <w:lang w:bidi="ar"/>
              </w:rPr>
              <w:t>《</w:t>
            </w:r>
            <w:r>
              <w:rPr>
                <w:color w:val="auto"/>
                <w:kern w:val="0"/>
                <w:sz w:val="24"/>
                <w:highlight w:val="none"/>
                <w:lang w:bidi="ar"/>
              </w:rPr>
              <w:t xml:space="preserve">排污单位自行监测技术指南 </w:t>
            </w:r>
            <w:r>
              <w:rPr>
                <w:rFonts w:hint="eastAsia"/>
                <w:color w:val="auto"/>
                <w:kern w:val="0"/>
                <w:sz w:val="24"/>
                <w:highlight w:val="none"/>
                <w:lang w:bidi="ar"/>
              </w:rPr>
              <w:t>总则</w:t>
            </w:r>
            <w:r>
              <w:rPr>
                <w:color w:val="auto"/>
                <w:kern w:val="0"/>
                <w:sz w:val="24"/>
                <w:highlight w:val="none"/>
                <w:lang w:bidi="ar"/>
              </w:rPr>
              <w:t xml:space="preserve">（HJ </w:t>
            </w:r>
            <w:r>
              <w:rPr>
                <w:rFonts w:hint="eastAsia"/>
                <w:color w:val="auto"/>
                <w:kern w:val="0"/>
                <w:sz w:val="24"/>
                <w:highlight w:val="none"/>
                <w:lang w:bidi="ar"/>
              </w:rPr>
              <w:t>819-</w:t>
            </w:r>
            <w:r>
              <w:rPr>
                <w:color w:val="auto"/>
                <w:kern w:val="0"/>
                <w:sz w:val="24"/>
                <w:highlight w:val="none"/>
                <w:lang w:bidi="ar"/>
              </w:rPr>
              <w:t>20</w:t>
            </w:r>
            <w:r>
              <w:rPr>
                <w:rFonts w:hint="eastAsia"/>
                <w:color w:val="auto"/>
                <w:kern w:val="0"/>
                <w:sz w:val="24"/>
                <w:highlight w:val="none"/>
                <w:lang w:bidi="ar"/>
              </w:rPr>
              <w:t>17</w:t>
            </w:r>
            <w:r>
              <w:rPr>
                <w:color w:val="auto"/>
                <w:kern w:val="0"/>
                <w:sz w:val="24"/>
                <w:highlight w:val="none"/>
                <w:lang w:bidi="ar"/>
              </w:rPr>
              <w:t>）</w:t>
            </w:r>
            <w:r>
              <w:rPr>
                <w:rFonts w:hint="eastAsia"/>
                <w:color w:val="auto"/>
                <w:kern w:val="0"/>
                <w:sz w:val="24"/>
                <w:highlight w:val="none"/>
                <w:lang w:bidi="ar"/>
              </w:rPr>
              <w:t>》</w:t>
            </w:r>
            <w:r>
              <w:rPr>
                <w:color w:val="auto"/>
                <w:kern w:val="0"/>
                <w:sz w:val="24"/>
                <w:highlight w:val="none"/>
                <w:lang w:bidi="ar"/>
              </w:rPr>
              <w:t>和《排污许可证申请与核发技术规范 陶瓷砖瓦工业》（HJ954</w:t>
            </w:r>
            <w:r>
              <w:rPr>
                <w:rFonts w:hint="eastAsia"/>
                <w:color w:val="auto"/>
                <w:kern w:val="0"/>
                <w:sz w:val="24"/>
                <w:highlight w:val="none"/>
                <w:lang w:bidi="ar"/>
              </w:rPr>
              <w:t>-</w:t>
            </w:r>
            <w:r>
              <w:rPr>
                <w:color w:val="auto"/>
                <w:kern w:val="0"/>
                <w:sz w:val="24"/>
                <w:highlight w:val="none"/>
                <w:lang w:bidi="ar"/>
              </w:rPr>
              <w:t>2018），制定环境噪声监测计划，监测计划见下表。</w:t>
            </w:r>
          </w:p>
          <w:p w14:paraId="4B9B9C32">
            <w:pPr>
              <w:widowControl/>
              <w:jc w:val="center"/>
              <w:rPr>
                <w:color w:val="auto"/>
                <w:szCs w:val="21"/>
                <w:highlight w:val="none"/>
              </w:rPr>
            </w:pPr>
            <w:r>
              <w:rPr>
                <w:b/>
                <w:bCs/>
                <w:color w:val="auto"/>
                <w:kern w:val="0"/>
                <w:szCs w:val="21"/>
                <w:highlight w:val="none"/>
                <w:lang w:bidi="ar"/>
              </w:rPr>
              <w:t>表4-</w:t>
            </w:r>
            <w:r>
              <w:rPr>
                <w:rFonts w:hint="eastAsia"/>
                <w:b/>
                <w:bCs/>
                <w:color w:val="auto"/>
                <w:kern w:val="0"/>
                <w:szCs w:val="21"/>
                <w:highlight w:val="none"/>
                <w:lang w:bidi="ar"/>
              </w:rPr>
              <w:t>1</w:t>
            </w:r>
            <w:r>
              <w:rPr>
                <w:rFonts w:hint="eastAsia"/>
                <w:b/>
                <w:bCs/>
                <w:color w:val="auto"/>
                <w:kern w:val="0"/>
                <w:szCs w:val="21"/>
                <w:highlight w:val="none"/>
                <w:lang w:val="en-US" w:eastAsia="zh-CN" w:bidi="ar"/>
              </w:rPr>
              <w:t>3</w:t>
            </w:r>
            <w:r>
              <w:rPr>
                <w:b/>
                <w:bCs/>
                <w:color w:val="auto"/>
                <w:kern w:val="0"/>
                <w:szCs w:val="21"/>
                <w:highlight w:val="none"/>
                <w:lang w:bidi="ar"/>
              </w:rPr>
              <w:t xml:space="preserve"> </w:t>
            </w:r>
            <w:r>
              <w:rPr>
                <w:rFonts w:hint="eastAsia" w:ascii="宋体" w:hAnsi="宋体" w:cs="宋体"/>
                <w:b/>
                <w:bCs/>
                <w:color w:val="auto"/>
                <w:kern w:val="0"/>
                <w:sz w:val="24"/>
                <w:highlight w:val="none"/>
                <w:lang w:bidi="ar"/>
              </w:rPr>
              <w:t>项目噪声监测计划一览表</w:t>
            </w:r>
          </w:p>
          <w:tbl>
            <w:tblPr>
              <w:tblStyle w:val="19"/>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90"/>
              <w:gridCol w:w="1322"/>
              <w:gridCol w:w="1206"/>
              <w:gridCol w:w="1184"/>
              <w:gridCol w:w="3587"/>
            </w:tblGrid>
            <w:tr w14:paraId="287944D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7" w:type="pct"/>
                  <w:tcBorders>
                    <w:tl2br w:val="nil"/>
                    <w:tr2bl w:val="nil"/>
                  </w:tcBorders>
                  <w:vAlign w:val="center"/>
                </w:tcPr>
                <w:p w14:paraId="1A8E8B45">
                  <w:pPr>
                    <w:pStyle w:val="11"/>
                    <w:spacing w:after="0" w:line="240" w:lineRule="auto"/>
                    <w:ind w:left="0" w:leftChars="0"/>
                    <w:jc w:val="center"/>
                    <w:rPr>
                      <w:b/>
                      <w:bCs/>
                      <w:color w:val="auto"/>
                      <w:szCs w:val="21"/>
                      <w:highlight w:val="none"/>
                    </w:rPr>
                  </w:pPr>
                  <w:r>
                    <w:rPr>
                      <w:b/>
                      <w:bCs/>
                      <w:color w:val="auto"/>
                      <w:szCs w:val="21"/>
                      <w:highlight w:val="none"/>
                    </w:rPr>
                    <w:t>名称</w:t>
                  </w:r>
                </w:p>
              </w:tc>
              <w:tc>
                <w:tcPr>
                  <w:tcW w:w="797" w:type="pct"/>
                  <w:tcBorders>
                    <w:tl2br w:val="nil"/>
                    <w:tr2bl w:val="nil"/>
                  </w:tcBorders>
                  <w:vAlign w:val="center"/>
                </w:tcPr>
                <w:p w14:paraId="35A8ACB0">
                  <w:pPr>
                    <w:pStyle w:val="11"/>
                    <w:spacing w:after="0" w:line="240" w:lineRule="auto"/>
                    <w:ind w:left="0" w:leftChars="0"/>
                    <w:jc w:val="center"/>
                    <w:rPr>
                      <w:b/>
                      <w:bCs/>
                      <w:color w:val="auto"/>
                      <w:szCs w:val="21"/>
                      <w:highlight w:val="none"/>
                    </w:rPr>
                  </w:pPr>
                  <w:r>
                    <w:rPr>
                      <w:b/>
                      <w:bCs/>
                      <w:color w:val="auto"/>
                      <w:szCs w:val="21"/>
                      <w:highlight w:val="none"/>
                    </w:rPr>
                    <w:t>点位</w:t>
                  </w:r>
                </w:p>
              </w:tc>
              <w:tc>
                <w:tcPr>
                  <w:tcW w:w="727" w:type="pct"/>
                  <w:tcBorders>
                    <w:tl2br w:val="nil"/>
                    <w:tr2bl w:val="nil"/>
                  </w:tcBorders>
                  <w:vAlign w:val="center"/>
                </w:tcPr>
                <w:p w14:paraId="5078844A">
                  <w:pPr>
                    <w:pStyle w:val="11"/>
                    <w:spacing w:after="0" w:line="240" w:lineRule="auto"/>
                    <w:ind w:left="0" w:leftChars="0"/>
                    <w:jc w:val="center"/>
                    <w:rPr>
                      <w:b/>
                      <w:bCs/>
                      <w:color w:val="auto"/>
                      <w:szCs w:val="21"/>
                      <w:highlight w:val="none"/>
                    </w:rPr>
                  </w:pPr>
                  <w:r>
                    <w:rPr>
                      <w:b/>
                      <w:bCs/>
                      <w:color w:val="auto"/>
                      <w:szCs w:val="21"/>
                      <w:highlight w:val="none"/>
                    </w:rPr>
                    <w:t>监测项目</w:t>
                  </w:r>
                </w:p>
              </w:tc>
              <w:tc>
                <w:tcPr>
                  <w:tcW w:w="714" w:type="pct"/>
                  <w:tcBorders>
                    <w:tl2br w:val="nil"/>
                    <w:tr2bl w:val="nil"/>
                  </w:tcBorders>
                  <w:vAlign w:val="center"/>
                </w:tcPr>
                <w:p w14:paraId="35BFA06E">
                  <w:pPr>
                    <w:pStyle w:val="11"/>
                    <w:spacing w:after="0" w:line="240" w:lineRule="auto"/>
                    <w:ind w:left="0" w:leftChars="0"/>
                    <w:jc w:val="center"/>
                    <w:rPr>
                      <w:b/>
                      <w:bCs/>
                      <w:color w:val="auto"/>
                      <w:szCs w:val="21"/>
                      <w:highlight w:val="none"/>
                    </w:rPr>
                  </w:pPr>
                  <w:r>
                    <w:rPr>
                      <w:b/>
                      <w:bCs/>
                      <w:color w:val="auto"/>
                      <w:szCs w:val="21"/>
                      <w:highlight w:val="none"/>
                    </w:rPr>
                    <w:t>监测频次</w:t>
                  </w:r>
                </w:p>
              </w:tc>
              <w:tc>
                <w:tcPr>
                  <w:tcW w:w="2163" w:type="pct"/>
                  <w:tcBorders>
                    <w:tl2br w:val="nil"/>
                    <w:tr2bl w:val="nil"/>
                  </w:tcBorders>
                  <w:vAlign w:val="center"/>
                </w:tcPr>
                <w:p w14:paraId="1A0060B8">
                  <w:pPr>
                    <w:pStyle w:val="11"/>
                    <w:spacing w:after="0" w:line="240" w:lineRule="auto"/>
                    <w:ind w:left="0" w:leftChars="0"/>
                    <w:jc w:val="center"/>
                    <w:rPr>
                      <w:b/>
                      <w:bCs/>
                      <w:color w:val="auto"/>
                      <w:szCs w:val="21"/>
                      <w:highlight w:val="none"/>
                    </w:rPr>
                  </w:pPr>
                  <w:r>
                    <w:rPr>
                      <w:b/>
                      <w:bCs/>
                      <w:color w:val="auto"/>
                      <w:szCs w:val="21"/>
                      <w:highlight w:val="none"/>
                    </w:rPr>
                    <w:t>排放标准</w:t>
                  </w:r>
                </w:p>
              </w:tc>
            </w:tr>
            <w:tr w14:paraId="2A2826A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597" w:type="pct"/>
                  <w:tcBorders>
                    <w:tl2br w:val="nil"/>
                    <w:tr2bl w:val="nil"/>
                  </w:tcBorders>
                  <w:vAlign w:val="center"/>
                </w:tcPr>
                <w:p w14:paraId="46C849BA">
                  <w:pPr>
                    <w:pStyle w:val="11"/>
                    <w:spacing w:after="0" w:line="240" w:lineRule="auto"/>
                    <w:ind w:left="0" w:leftChars="0"/>
                    <w:jc w:val="center"/>
                    <w:rPr>
                      <w:color w:val="auto"/>
                      <w:szCs w:val="21"/>
                      <w:highlight w:val="none"/>
                    </w:rPr>
                  </w:pPr>
                  <w:r>
                    <w:rPr>
                      <w:color w:val="auto"/>
                      <w:szCs w:val="21"/>
                      <w:highlight w:val="none"/>
                    </w:rPr>
                    <w:t>噪声</w:t>
                  </w:r>
                </w:p>
              </w:tc>
              <w:tc>
                <w:tcPr>
                  <w:tcW w:w="797" w:type="pct"/>
                  <w:tcBorders>
                    <w:tl2br w:val="nil"/>
                    <w:tr2bl w:val="nil"/>
                  </w:tcBorders>
                  <w:vAlign w:val="center"/>
                </w:tcPr>
                <w:p w14:paraId="4BF52A5C">
                  <w:pPr>
                    <w:pStyle w:val="11"/>
                    <w:spacing w:after="0" w:line="240" w:lineRule="auto"/>
                    <w:ind w:left="0" w:leftChars="0"/>
                    <w:jc w:val="center"/>
                    <w:rPr>
                      <w:color w:val="auto"/>
                      <w:szCs w:val="21"/>
                      <w:highlight w:val="none"/>
                    </w:rPr>
                  </w:pPr>
                  <w:r>
                    <w:rPr>
                      <w:color w:val="auto"/>
                      <w:szCs w:val="21"/>
                      <w:highlight w:val="none"/>
                    </w:rPr>
                    <w:t>厂界四周</w:t>
                  </w:r>
                </w:p>
              </w:tc>
              <w:tc>
                <w:tcPr>
                  <w:tcW w:w="727" w:type="pct"/>
                  <w:tcBorders>
                    <w:tl2br w:val="nil"/>
                    <w:tr2bl w:val="nil"/>
                  </w:tcBorders>
                  <w:vAlign w:val="center"/>
                </w:tcPr>
                <w:p w14:paraId="60EF70B2">
                  <w:pPr>
                    <w:widowControl/>
                    <w:jc w:val="left"/>
                    <w:rPr>
                      <w:color w:val="auto"/>
                      <w:szCs w:val="21"/>
                      <w:highlight w:val="none"/>
                    </w:rPr>
                  </w:pPr>
                  <w:r>
                    <w:rPr>
                      <w:color w:val="auto"/>
                      <w:szCs w:val="21"/>
                      <w:highlight w:val="none"/>
                    </w:rPr>
                    <w:t>Leq</w:t>
                  </w:r>
                  <w:r>
                    <w:rPr>
                      <w:rFonts w:hint="eastAsia" w:ascii="宋体" w:hAnsi="宋体" w:cs="宋体"/>
                      <w:color w:val="auto"/>
                      <w:kern w:val="0"/>
                      <w:sz w:val="20"/>
                      <w:szCs w:val="20"/>
                      <w:highlight w:val="none"/>
                      <w:lang w:bidi="ar"/>
                    </w:rPr>
                    <w:t>（</w:t>
                  </w:r>
                  <w:r>
                    <w:rPr>
                      <w:color w:val="auto"/>
                      <w:kern w:val="0"/>
                      <w:sz w:val="20"/>
                      <w:szCs w:val="20"/>
                      <w:highlight w:val="none"/>
                      <w:lang w:bidi="ar"/>
                    </w:rPr>
                    <w:t>A</w:t>
                  </w:r>
                  <w:r>
                    <w:rPr>
                      <w:rFonts w:hint="eastAsia" w:ascii="宋体" w:hAnsi="宋体" w:cs="宋体"/>
                      <w:color w:val="auto"/>
                      <w:kern w:val="0"/>
                      <w:sz w:val="20"/>
                      <w:szCs w:val="20"/>
                      <w:highlight w:val="none"/>
                      <w:lang w:bidi="ar"/>
                    </w:rPr>
                    <w:t>）</w:t>
                  </w:r>
                </w:p>
              </w:tc>
              <w:tc>
                <w:tcPr>
                  <w:tcW w:w="714" w:type="pct"/>
                  <w:tcBorders>
                    <w:tl2br w:val="nil"/>
                    <w:tr2bl w:val="nil"/>
                  </w:tcBorders>
                  <w:vAlign w:val="center"/>
                </w:tcPr>
                <w:p w14:paraId="40F1EC4C">
                  <w:pPr>
                    <w:pStyle w:val="11"/>
                    <w:spacing w:after="0" w:line="240" w:lineRule="auto"/>
                    <w:ind w:left="0" w:leftChars="0"/>
                    <w:jc w:val="center"/>
                    <w:rPr>
                      <w:color w:val="auto"/>
                      <w:szCs w:val="21"/>
                      <w:highlight w:val="none"/>
                    </w:rPr>
                  </w:pPr>
                  <w:r>
                    <w:rPr>
                      <w:color w:val="auto"/>
                      <w:szCs w:val="21"/>
                      <w:highlight w:val="none"/>
                    </w:rPr>
                    <w:t>1次/季度</w:t>
                  </w:r>
                </w:p>
              </w:tc>
              <w:tc>
                <w:tcPr>
                  <w:tcW w:w="2163" w:type="pct"/>
                  <w:tcBorders>
                    <w:tl2br w:val="nil"/>
                    <w:tr2bl w:val="nil"/>
                  </w:tcBorders>
                  <w:vAlign w:val="center"/>
                </w:tcPr>
                <w:p w14:paraId="29A94653">
                  <w:pPr>
                    <w:widowControl/>
                    <w:jc w:val="center"/>
                    <w:rPr>
                      <w:color w:val="auto"/>
                      <w:szCs w:val="21"/>
                      <w:highlight w:val="none"/>
                    </w:rPr>
                  </w:pPr>
                  <w:r>
                    <w:rPr>
                      <w:color w:val="auto"/>
                      <w:kern w:val="0"/>
                      <w:szCs w:val="21"/>
                      <w:highlight w:val="none"/>
                      <w:lang w:bidi="ar"/>
                    </w:rPr>
                    <w:t>《工业企业厂界环境噪声排放标准》（GB12348-2008）</w:t>
                  </w:r>
                  <w:r>
                    <w:rPr>
                      <w:rFonts w:hint="eastAsia"/>
                      <w:color w:val="auto"/>
                      <w:kern w:val="0"/>
                      <w:szCs w:val="21"/>
                      <w:highlight w:val="none"/>
                      <w:lang w:val="en-US" w:eastAsia="zh-CN" w:bidi="ar"/>
                    </w:rPr>
                    <w:t>2</w:t>
                  </w:r>
                  <w:r>
                    <w:rPr>
                      <w:color w:val="auto"/>
                      <w:kern w:val="0"/>
                      <w:szCs w:val="21"/>
                      <w:highlight w:val="none"/>
                      <w:lang w:bidi="ar"/>
                    </w:rPr>
                    <w:t>类标准</w:t>
                  </w:r>
                </w:p>
              </w:tc>
            </w:tr>
          </w:tbl>
          <w:p w14:paraId="28FDFFFC">
            <w:pPr>
              <w:keepNext w:val="0"/>
              <w:keepLines w:val="0"/>
              <w:pageBreakBefore w:val="0"/>
              <w:widowControl/>
              <w:kinsoku/>
              <w:wordWrap/>
              <w:overflowPunct/>
              <w:topLinePunct w:val="0"/>
              <w:autoSpaceDE/>
              <w:autoSpaceDN/>
              <w:bidi w:val="0"/>
              <w:adjustRightInd/>
              <w:snapToGrid/>
              <w:spacing w:before="157" w:beforeLines="50" w:line="360" w:lineRule="auto"/>
              <w:jc w:val="left"/>
              <w:textAlignment w:val="auto"/>
              <w:rPr>
                <w:b/>
                <w:bCs/>
                <w:color w:val="auto"/>
                <w:sz w:val="24"/>
                <w:highlight w:val="none"/>
              </w:rPr>
            </w:pPr>
            <w:r>
              <w:rPr>
                <w:b/>
                <w:bCs/>
                <w:color w:val="auto"/>
                <w:kern w:val="0"/>
                <w:sz w:val="24"/>
                <w:highlight w:val="none"/>
                <w:lang w:bidi="ar"/>
              </w:rPr>
              <w:t>4</w:t>
            </w:r>
            <w:r>
              <w:rPr>
                <w:rFonts w:hint="eastAsia" w:ascii="宋体" w:hAnsi="宋体" w:cs="宋体"/>
                <w:b/>
                <w:bCs/>
                <w:color w:val="auto"/>
                <w:kern w:val="0"/>
                <w:sz w:val="24"/>
                <w:highlight w:val="none"/>
                <w:lang w:bidi="ar"/>
              </w:rPr>
              <w:t>、固体废物</w:t>
            </w:r>
          </w:p>
          <w:p w14:paraId="24D6F1CF">
            <w:pPr>
              <w:widowControl/>
              <w:spacing w:line="360" w:lineRule="auto"/>
              <w:ind w:firstLine="480" w:firstLineChars="200"/>
              <w:jc w:val="left"/>
              <w:rPr>
                <w:color w:val="auto"/>
                <w:highlight w:val="none"/>
              </w:rPr>
            </w:pPr>
            <w:r>
              <w:rPr>
                <w:rFonts w:hint="eastAsia" w:ascii="宋体" w:hAnsi="宋体" w:cs="宋体"/>
                <w:color w:val="auto"/>
                <w:kern w:val="0"/>
                <w:sz w:val="24"/>
                <w:highlight w:val="none"/>
                <w:lang w:bidi="ar"/>
              </w:rPr>
              <w:t>本项目产生固体废物为一般工业固体废物、危险废物及生活垃圾。一般工业固体废物包括除尘器除尘灰、废布袋等；危险废物为废润滑油和废油桶。</w:t>
            </w:r>
          </w:p>
          <w:p w14:paraId="4DD4D770">
            <w:pPr>
              <w:widowControl/>
              <w:spacing w:line="360" w:lineRule="auto"/>
              <w:ind w:firstLine="480" w:firstLineChars="200"/>
              <w:jc w:val="left"/>
              <w:rPr>
                <w:color w:val="auto"/>
                <w:highlight w:val="none"/>
              </w:rPr>
            </w:pPr>
            <w:r>
              <w:rPr>
                <w:color w:val="auto"/>
                <w:kern w:val="0"/>
                <w:sz w:val="24"/>
                <w:highlight w:val="none"/>
                <w:lang w:bidi="ar"/>
              </w:rPr>
              <w:t>（1）一般工业固体废物</w:t>
            </w:r>
          </w:p>
          <w:p w14:paraId="414C5E17">
            <w:pPr>
              <w:widowControl/>
              <w:spacing w:line="360" w:lineRule="auto"/>
              <w:ind w:firstLine="480" w:firstLineChars="200"/>
              <w:jc w:val="left"/>
              <w:rPr>
                <w:color w:val="FF0000"/>
                <w:highlight w:val="none"/>
              </w:rPr>
            </w:pPr>
            <w:r>
              <w:rPr>
                <w:rFonts w:hint="eastAsia"/>
                <w:color w:val="FF0000"/>
                <w:kern w:val="0"/>
                <w:sz w:val="24"/>
                <w:highlight w:val="none"/>
                <w:lang w:bidi="ar"/>
              </w:rPr>
              <w:t>①</w:t>
            </w:r>
            <w:r>
              <w:rPr>
                <w:color w:val="FF0000"/>
                <w:kern w:val="0"/>
                <w:sz w:val="24"/>
                <w:highlight w:val="none"/>
                <w:lang w:bidi="ar"/>
              </w:rPr>
              <w:t>除尘灰（</w:t>
            </w:r>
            <w:r>
              <w:rPr>
                <w:rFonts w:hint="eastAsia"/>
                <w:color w:val="FF0000"/>
                <w:kern w:val="0"/>
                <w:sz w:val="24"/>
                <w:highlight w:val="none"/>
                <w:lang w:val="en-US" w:eastAsia="zh-CN" w:bidi="ar"/>
              </w:rPr>
              <w:t>900</w:t>
            </w:r>
            <w:r>
              <w:rPr>
                <w:color w:val="FF0000"/>
                <w:kern w:val="0"/>
                <w:sz w:val="24"/>
                <w:highlight w:val="none"/>
                <w:lang w:bidi="ar"/>
              </w:rPr>
              <w:t>-0</w:t>
            </w:r>
            <w:r>
              <w:rPr>
                <w:rFonts w:hint="eastAsia"/>
                <w:color w:val="FF0000"/>
                <w:kern w:val="0"/>
                <w:sz w:val="24"/>
                <w:highlight w:val="none"/>
                <w:lang w:val="en-US" w:eastAsia="zh-CN" w:bidi="ar"/>
              </w:rPr>
              <w:t>9</w:t>
            </w:r>
            <w:r>
              <w:rPr>
                <w:color w:val="FF0000"/>
                <w:kern w:val="0"/>
                <w:sz w:val="24"/>
                <w:highlight w:val="none"/>
                <w:lang w:bidi="ar"/>
              </w:rPr>
              <w:t>9-</w:t>
            </w:r>
            <w:r>
              <w:rPr>
                <w:rFonts w:hint="eastAsia"/>
                <w:color w:val="FF0000"/>
                <w:kern w:val="0"/>
                <w:sz w:val="24"/>
                <w:highlight w:val="none"/>
                <w:lang w:val="en-US" w:eastAsia="zh-CN" w:bidi="ar"/>
              </w:rPr>
              <w:t>S59</w:t>
            </w:r>
            <w:r>
              <w:rPr>
                <w:color w:val="FF0000"/>
                <w:kern w:val="0"/>
                <w:sz w:val="24"/>
                <w:highlight w:val="none"/>
                <w:lang w:bidi="ar"/>
              </w:rPr>
              <w:t>）</w:t>
            </w:r>
          </w:p>
          <w:p w14:paraId="7C80E77A">
            <w:pPr>
              <w:widowControl/>
              <w:spacing w:line="360" w:lineRule="auto"/>
              <w:ind w:firstLine="480" w:firstLineChars="200"/>
              <w:jc w:val="left"/>
              <w:rPr>
                <w:color w:val="FF0000"/>
                <w:highlight w:val="none"/>
              </w:rPr>
            </w:pPr>
            <w:r>
              <w:rPr>
                <w:color w:val="FF0000"/>
                <w:kern w:val="0"/>
                <w:sz w:val="24"/>
                <w:highlight w:val="none"/>
                <w:lang w:bidi="ar"/>
              </w:rPr>
              <w:t>本项目除尘器将会产生除尘灰，根据源强分析可知，本项目除尘灰产生量约为</w:t>
            </w:r>
            <w:r>
              <w:rPr>
                <w:rFonts w:hint="eastAsia"/>
                <w:color w:val="FF0000"/>
                <w:kern w:val="0"/>
                <w:sz w:val="24"/>
                <w:highlight w:val="none"/>
                <w:lang w:eastAsia="zh-CN" w:bidi="ar"/>
              </w:rPr>
              <w:t>442.4</w:t>
            </w:r>
            <w:r>
              <w:rPr>
                <w:rFonts w:hint="eastAsia"/>
                <w:color w:val="FF0000"/>
                <w:kern w:val="0"/>
                <w:sz w:val="24"/>
                <w:highlight w:val="none"/>
                <w:lang w:val="en-US" w:eastAsia="zh-CN" w:bidi="ar"/>
              </w:rPr>
              <w:t>79</w:t>
            </w:r>
            <w:r>
              <w:rPr>
                <w:color w:val="FF0000"/>
                <w:kern w:val="0"/>
                <w:sz w:val="24"/>
                <w:highlight w:val="none"/>
                <w:lang w:bidi="ar"/>
              </w:rPr>
              <w:t>t/a，</w:t>
            </w:r>
            <w:r>
              <w:rPr>
                <w:rFonts w:hint="eastAsia"/>
                <w:color w:val="FF0000"/>
                <w:sz w:val="24"/>
                <w:highlight w:val="none"/>
              </w:rPr>
              <w:t>统一收集到</w:t>
            </w:r>
            <w:r>
              <w:rPr>
                <w:rFonts w:hint="eastAsia"/>
                <w:color w:val="FF0000"/>
                <w:sz w:val="24"/>
                <w:highlight w:val="none"/>
                <w:lang w:val="en-US" w:eastAsia="zh-CN"/>
              </w:rPr>
              <w:t>成品库的</w:t>
            </w:r>
            <w:r>
              <w:rPr>
                <w:rFonts w:hint="eastAsia"/>
                <w:color w:val="FF0000"/>
                <w:sz w:val="24"/>
                <w:highlight w:val="none"/>
                <w:lang w:val="en-US" w:eastAsia="zh-CN"/>
              </w:rPr>
              <w:t>一般固废暂存区</w:t>
            </w:r>
            <w:r>
              <w:rPr>
                <w:rFonts w:hint="eastAsia"/>
                <w:color w:val="FF0000"/>
                <w:sz w:val="24"/>
                <w:highlight w:val="none"/>
                <w:lang w:val="en-US" w:eastAsia="zh-CN"/>
              </w:rPr>
              <w:t>，采用50kg袋装，随产品</w:t>
            </w:r>
            <w:r>
              <w:rPr>
                <w:rFonts w:hint="eastAsia"/>
                <w:color w:val="FF0000"/>
                <w:sz w:val="24"/>
                <w:highlight w:val="none"/>
              </w:rPr>
              <w:t>外售综合利用</w:t>
            </w:r>
            <w:r>
              <w:rPr>
                <w:color w:val="FF0000"/>
                <w:kern w:val="0"/>
                <w:sz w:val="24"/>
                <w:highlight w:val="none"/>
                <w:lang w:bidi="ar"/>
              </w:rPr>
              <w:t>。</w:t>
            </w:r>
          </w:p>
          <w:p w14:paraId="77C19026">
            <w:pPr>
              <w:widowControl/>
              <w:spacing w:line="360" w:lineRule="auto"/>
              <w:ind w:firstLine="480" w:firstLineChars="200"/>
              <w:jc w:val="left"/>
              <w:rPr>
                <w:color w:val="auto"/>
                <w:highlight w:val="none"/>
              </w:rPr>
            </w:pPr>
            <w:r>
              <w:rPr>
                <w:rFonts w:hint="eastAsia"/>
                <w:color w:val="auto"/>
                <w:kern w:val="0"/>
                <w:sz w:val="24"/>
                <w:highlight w:val="none"/>
                <w:lang w:bidi="ar"/>
              </w:rPr>
              <w:t>②</w:t>
            </w:r>
            <w:r>
              <w:rPr>
                <w:color w:val="auto"/>
                <w:kern w:val="0"/>
                <w:sz w:val="24"/>
                <w:highlight w:val="none"/>
                <w:lang w:bidi="ar"/>
              </w:rPr>
              <w:t>废</w:t>
            </w:r>
            <w:r>
              <w:rPr>
                <w:rFonts w:hint="eastAsia"/>
                <w:color w:val="auto"/>
                <w:kern w:val="0"/>
                <w:sz w:val="24"/>
                <w:highlight w:val="none"/>
                <w:lang w:bidi="ar"/>
              </w:rPr>
              <w:t>布袋</w:t>
            </w:r>
            <w:r>
              <w:rPr>
                <w:color w:val="auto"/>
                <w:kern w:val="0"/>
                <w:sz w:val="24"/>
                <w:highlight w:val="none"/>
                <w:lang w:bidi="ar"/>
              </w:rPr>
              <w:t>（</w:t>
            </w:r>
            <w:r>
              <w:rPr>
                <w:rFonts w:hint="eastAsia"/>
                <w:color w:val="auto"/>
                <w:kern w:val="0"/>
                <w:sz w:val="24"/>
                <w:highlight w:val="none"/>
                <w:lang w:val="en-US" w:eastAsia="zh-CN" w:bidi="ar"/>
              </w:rPr>
              <w:t>900</w:t>
            </w:r>
            <w:r>
              <w:rPr>
                <w:color w:val="auto"/>
                <w:kern w:val="0"/>
                <w:sz w:val="24"/>
                <w:highlight w:val="none"/>
                <w:lang w:bidi="ar"/>
              </w:rPr>
              <w:t>-009-</w:t>
            </w:r>
            <w:r>
              <w:rPr>
                <w:rFonts w:hint="eastAsia"/>
                <w:color w:val="auto"/>
                <w:kern w:val="0"/>
                <w:sz w:val="24"/>
                <w:highlight w:val="none"/>
                <w:lang w:val="en-US" w:eastAsia="zh-CN" w:bidi="ar"/>
              </w:rPr>
              <w:t>S59</w:t>
            </w:r>
            <w:r>
              <w:rPr>
                <w:color w:val="auto"/>
                <w:kern w:val="0"/>
                <w:sz w:val="24"/>
                <w:highlight w:val="none"/>
                <w:lang w:bidi="ar"/>
              </w:rPr>
              <w:t>）</w:t>
            </w:r>
          </w:p>
          <w:p w14:paraId="09F92695">
            <w:pPr>
              <w:widowControl/>
              <w:spacing w:line="360" w:lineRule="auto"/>
              <w:ind w:firstLine="480" w:firstLineChars="200"/>
              <w:jc w:val="left"/>
              <w:rPr>
                <w:color w:val="auto"/>
                <w:highlight w:val="none"/>
              </w:rPr>
            </w:pPr>
            <w:r>
              <w:rPr>
                <w:color w:val="auto"/>
                <w:kern w:val="0"/>
                <w:sz w:val="24"/>
                <w:highlight w:val="none"/>
                <w:lang w:bidi="ar"/>
              </w:rPr>
              <w:t>本项目除尘器需定期更换</w:t>
            </w:r>
            <w:r>
              <w:rPr>
                <w:rFonts w:hint="eastAsia"/>
                <w:color w:val="auto"/>
                <w:kern w:val="0"/>
                <w:sz w:val="24"/>
                <w:highlight w:val="none"/>
                <w:lang w:bidi="ar"/>
              </w:rPr>
              <w:t>布袋</w:t>
            </w:r>
            <w:r>
              <w:rPr>
                <w:color w:val="auto"/>
                <w:kern w:val="0"/>
                <w:sz w:val="24"/>
                <w:highlight w:val="none"/>
                <w:lang w:bidi="ar"/>
              </w:rPr>
              <w:t>，根据企业提供资料可知，废</w:t>
            </w:r>
            <w:r>
              <w:rPr>
                <w:rFonts w:hint="eastAsia"/>
                <w:color w:val="auto"/>
                <w:kern w:val="0"/>
                <w:sz w:val="24"/>
                <w:highlight w:val="none"/>
                <w:lang w:bidi="ar"/>
              </w:rPr>
              <w:t>布袋</w:t>
            </w:r>
            <w:r>
              <w:rPr>
                <w:color w:val="auto"/>
                <w:kern w:val="0"/>
                <w:sz w:val="24"/>
                <w:highlight w:val="none"/>
                <w:lang w:bidi="ar"/>
              </w:rPr>
              <w:t>的产生量约0.</w:t>
            </w:r>
            <w:r>
              <w:rPr>
                <w:rFonts w:hint="eastAsia"/>
                <w:color w:val="auto"/>
                <w:kern w:val="0"/>
                <w:sz w:val="24"/>
                <w:highlight w:val="none"/>
                <w:lang w:val="en-US" w:eastAsia="zh-CN" w:bidi="ar"/>
              </w:rPr>
              <w:t>3</w:t>
            </w:r>
            <w:r>
              <w:rPr>
                <w:color w:val="auto"/>
                <w:kern w:val="0"/>
                <w:sz w:val="24"/>
                <w:highlight w:val="none"/>
                <w:lang w:bidi="ar"/>
              </w:rPr>
              <w:t>t/a。</w:t>
            </w:r>
            <w:r>
              <w:rPr>
                <w:rFonts w:hint="eastAsia"/>
                <w:color w:val="auto"/>
                <w:kern w:val="0"/>
                <w:sz w:val="24"/>
                <w:highlight w:val="none"/>
                <w:lang w:bidi="ar"/>
              </w:rPr>
              <w:t>由厂家定期更换回收</w:t>
            </w:r>
            <w:r>
              <w:rPr>
                <w:color w:val="auto"/>
                <w:kern w:val="0"/>
                <w:sz w:val="24"/>
                <w:highlight w:val="none"/>
                <w:lang w:bidi="ar"/>
              </w:rPr>
              <w:t>。</w:t>
            </w:r>
          </w:p>
          <w:p w14:paraId="4683CAB0">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③</w:t>
            </w:r>
            <w:r>
              <w:rPr>
                <w:color w:val="auto"/>
                <w:kern w:val="0"/>
                <w:sz w:val="24"/>
                <w:highlight w:val="none"/>
                <w:lang w:bidi="ar"/>
              </w:rPr>
              <w:t>地面沉积灰（</w:t>
            </w:r>
            <w:r>
              <w:rPr>
                <w:rFonts w:hint="eastAsia"/>
                <w:color w:val="auto"/>
                <w:kern w:val="0"/>
                <w:sz w:val="24"/>
                <w:highlight w:val="none"/>
                <w:lang w:val="en-US" w:eastAsia="zh-CN" w:bidi="ar"/>
              </w:rPr>
              <w:t>900</w:t>
            </w:r>
            <w:r>
              <w:rPr>
                <w:color w:val="auto"/>
                <w:kern w:val="0"/>
                <w:sz w:val="24"/>
                <w:highlight w:val="none"/>
                <w:lang w:bidi="ar"/>
              </w:rPr>
              <w:t>-0</w:t>
            </w:r>
            <w:r>
              <w:rPr>
                <w:rFonts w:hint="eastAsia"/>
                <w:color w:val="auto"/>
                <w:kern w:val="0"/>
                <w:sz w:val="24"/>
                <w:highlight w:val="none"/>
                <w:lang w:val="en-US" w:eastAsia="zh-CN" w:bidi="ar"/>
              </w:rPr>
              <w:t>9</w:t>
            </w:r>
            <w:r>
              <w:rPr>
                <w:color w:val="auto"/>
                <w:kern w:val="0"/>
                <w:sz w:val="24"/>
                <w:highlight w:val="none"/>
                <w:lang w:bidi="ar"/>
              </w:rPr>
              <w:t>9-</w:t>
            </w:r>
            <w:r>
              <w:rPr>
                <w:rFonts w:hint="eastAsia"/>
                <w:color w:val="auto"/>
                <w:kern w:val="0"/>
                <w:sz w:val="24"/>
                <w:highlight w:val="none"/>
                <w:lang w:val="en-US" w:eastAsia="zh-CN" w:bidi="ar"/>
              </w:rPr>
              <w:t>S59</w:t>
            </w:r>
            <w:r>
              <w:rPr>
                <w:color w:val="auto"/>
                <w:kern w:val="0"/>
                <w:sz w:val="24"/>
                <w:highlight w:val="none"/>
                <w:lang w:bidi="ar"/>
              </w:rPr>
              <w:t>）</w:t>
            </w:r>
          </w:p>
          <w:p w14:paraId="041E42BC">
            <w:pPr>
              <w:widowControl/>
              <w:spacing w:line="360" w:lineRule="auto"/>
              <w:ind w:firstLine="480" w:firstLineChars="200"/>
              <w:jc w:val="left"/>
              <w:rPr>
                <w:color w:val="auto"/>
                <w:highlight w:val="none"/>
              </w:rPr>
            </w:pPr>
            <w:r>
              <w:rPr>
                <w:color w:val="auto"/>
                <w:kern w:val="0"/>
                <w:sz w:val="24"/>
                <w:highlight w:val="none"/>
                <w:lang w:bidi="ar"/>
              </w:rPr>
              <w:t>本项目生产车间生产过程要求门窗关闭，在</w:t>
            </w:r>
            <w:r>
              <w:rPr>
                <w:rFonts w:hint="eastAsia"/>
                <w:color w:val="auto"/>
                <w:kern w:val="0"/>
                <w:sz w:val="24"/>
                <w:highlight w:val="none"/>
                <w:lang w:val="en-US" w:eastAsia="zh-CN" w:bidi="ar"/>
              </w:rPr>
              <w:t>全</w:t>
            </w:r>
            <w:r>
              <w:rPr>
                <w:color w:val="auto"/>
                <w:kern w:val="0"/>
                <w:sz w:val="24"/>
                <w:highlight w:val="none"/>
                <w:lang w:bidi="ar"/>
              </w:rPr>
              <w:t>封闭车间内进行生产，由于粉尘物质密度较大，粉尘一段距离内即可沉降，并配置</w:t>
            </w:r>
            <w:r>
              <w:rPr>
                <w:rFonts w:hint="eastAsia"/>
                <w:color w:val="auto"/>
                <w:kern w:val="0"/>
                <w:sz w:val="24"/>
                <w:highlight w:val="none"/>
                <w:lang w:val="en-US" w:eastAsia="zh-CN" w:bidi="ar"/>
              </w:rPr>
              <w:t>雾炮机</w:t>
            </w:r>
            <w:r>
              <w:rPr>
                <w:color w:val="auto"/>
                <w:kern w:val="0"/>
                <w:sz w:val="24"/>
                <w:highlight w:val="none"/>
                <w:lang w:bidi="ar"/>
              </w:rPr>
              <w:t>在生产过程进行洒水抑尘</w:t>
            </w:r>
            <w:r>
              <w:rPr>
                <w:rFonts w:hint="eastAsia"/>
                <w:color w:val="auto"/>
                <w:kern w:val="0"/>
                <w:sz w:val="24"/>
                <w:highlight w:val="none"/>
                <w:lang w:bidi="ar"/>
              </w:rPr>
              <w:t>，此过程</w:t>
            </w:r>
            <w:r>
              <w:rPr>
                <w:color w:val="auto"/>
                <w:kern w:val="0"/>
                <w:sz w:val="24"/>
                <w:highlight w:val="none"/>
                <w:lang w:bidi="ar"/>
              </w:rPr>
              <w:t>产生地面沉积灰。根据</w:t>
            </w:r>
            <w:r>
              <w:rPr>
                <w:rFonts w:hint="eastAsia"/>
                <w:color w:val="auto"/>
                <w:kern w:val="0"/>
                <w:sz w:val="24"/>
                <w:highlight w:val="none"/>
                <w:lang w:bidi="ar"/>
              </w:rPr>
              <w:t>前文</w:t>
            </w:r>
            <w:r>
              <w:rPr>
                <w:color w:val="auto"/>
                <w:kern w:val="0"/>
                <w:sz w:val="24"/>
                <w:highlight w:val="none"/>
                <w:lang w:bidi="ar"/>
              </w:rPr>
              <w:t>源强核算可知，本项目的地面沉积灰为</w:t>
            </w:r>
            <w:r>
              <w:rPr>
                <w:rFonts w:hint="eastAsia"/>
                <w:color w:val="auto"/>
                <w:kern w:val="0"/>
                <w:sz w:val="24"/>
                <w:highlight w:val="none"/>
                <w:lang w:val="en-US" w:eastAsia="zh-CN" w:bidi="ar"/>
              </w:rPr>
              <w:t>54.936</w:t>
            </w:r>
            <w:r>
              <w:rPr>
                <w:color w:val="auto"/>
                <w:kern w:val="0"/>
                <w:sz w:val="24"/>
                <w:highlight w:val="none"/>
                <w:lang w:bidi="ar"/>
              </w:rPr>
              <w:t>t/a</w:t>
            </w:r>
            <w:r>
              <w:rPr>
                <w:rFonts w:hint="eastAsia"/>
                <w:color w:val="auto"/>
                <w:kern w:val="0"/>
                <w:sz w:val="24"/>
                <w:highlight w:val="none"/>
                <w:lang w:bidi="ar"/>
              </w:rPr>
              <w:t>，</w:t>
            </w:r>
            <w:r>
              <w:rPr>
                <w:rFonts w:hint="eastAsia"/>
                <w:color w:val="auto"/>
                <w:sz w:val="24"/>
                <w:highlight w:val="none"/>
              </w:rPr>
              <w:t>统一收集到</w:t>
            </w:r>
            <w:r>
              <w:rPr>
                <w:rFonts w:hint="eastAsia"/>
                <w:color w:val="auto"/>
                <w:sz w:val="24"/>
                <w:highlight w:val="none"/>
                <w:lang w:val="en-US" w:eastAsia="zh-CN"/>
              </w:rPr>
              <w:t>成品库的</w:t>
            </w:r>
            <w:r>
              <w:rPr>
                <w:rFonts w:hint="eastAsia"/>
                <w:color w:val="auto"/>
                <w:sz w:val="24"/>
                <w:highlight w:val="none"/>
                <w:lang w:val="en-US" w:eastAsia="zh-CN"/>
              </w:rPr>
              <w:t>一般固废暂存区</w:t>
            </w:r>
            <w:r>
              <w:rPr>
                <w:rFonts w:hint="eastAsia"/>
                <w:color w:val="auto"/>
                <w:sz w:val="24"/>
                <w:highlight w:val="none"/>
                <w:lang w:val="en-US" w:eastAsia="zh-CN"/>
              </w:rPr>
              <w:t>，随产品</w:t>
            </w:r>
            <w:r>
              <w:rPr>
                <w:rFonts w:hint="eastAsia"/>
                <w:color w:val="auto"/>
                <w:sz w:val="24"/>
                <w:highlight w:val="none"/>
              </w:rPr>
              <w:t>外售综合利用</w:t>
            </w:r>
            <w:r>
              <w:rPr>
                <w:rFonts w:hint="eastAsia"/>
                <w:color w:val="auto"/>
                <w:kern w:val="0"/>
                <w:sz w:val="24"/>
                <w:highlight w:val="none"/>
                <w:lang w:bidi="ar"/>
              </w:rPr>
              <w:t>。</w:t>
            </w:r>
          </w:p>
          <w:p w14:paraId="001A34CE">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rFonts w:hint="default" w:ascii="Times New Roman" w:hAnsi="Times New Roman" w:eastAsia="宋体" w:cs="Times New Roman"/>
                <w:color w:val="FF0000"/>
                <w:kern w:val="0"/>
                <w:sz w:val="24"/>
                <w:highlight w:val="none"/>
                <w:lang w:val="en-US" w:eastAsia="zh-CN" w:bidi="ar"/>
              </w:rPr>
            </w:pPr>
            <w:r>
              <w:rPr>
                <w:rFonts w:hint="default" w:ascii="Times New Roman" w:hAnsi="Times New Roman" w:eastAsia="宋体" w:cs="Times New Roman"/>
                <w:color w:val="FF0000"/>
                <w:kern w:val="0"/>
                <w:sz w:val="24"/>
                <w:highlight w:val="none"/>
                <w:lang w:bidi="ar"/>
              </w:rPr>
              <w:t>④</w:t>
            </w:r>
            <w:r>
              <w:rPr>
                <w:rFonts w:hint="default" w:ascii="Times New Roman" w:hAnsi="Times New Roman" w:eastAsia="宋体" w:cs="Times New Roman"/>
                <w:color w:val="FF0000"/>
                <w:kern w:val="0"/>
                <w:sz w:val="24"/>
                <w:highlight w:val="none"/>
                <w:lang w:val="en-US" w:eastAsia="zh-CN" w:bidi="ar"/>
              </w:rPr>
              <w:t>沉淀池泥渣（900-099-S59）</w:t>
            </w:r>
          </w:p>
          <w:p w14:paraId="3B3802BD">
            <w:pPr>
              <w:pStyle w:val="13"/>
              <w:keepNext w:val="0"/>
              <w:keepLines w:val="0"/>
              <w:pageBreakBefore w:val="0"/>
              <w:kinsoku/>
              <w:wordWrap/>
              <w:overflowPunct/>
              <w:topLinePunct w:val="0"/>
              <w:autoSpaceDE/>
              <w:autoSpaceDN/>
              <w:bidi w:val="0"/>
              <w:adjustRightInd/>
              <w:snapToGrid/>
              <w:spacing w:line="360" w:lineRule="auto"/>
              <w:ind w:firstLine="480" w:firstLineChars="200"/>
              <w:textAlignment w:val="auto"/>
              <w:rPr>
                <w:rFonts w:hint="default" w:ascii="Times New Roman" w:hAnsi="Times New Roman" w:cs="Times New Roman"/>
                <w:highlight w:val="none"/>
                <w:lang w:val="en-US" w:eastAsia="zh-CN"/>
              </w:rPr>
            </w:pPr>
            <w:r>
              <w:rPr>
                <w:rFonts w:hint="default" w:ascii="Times New Roman" w:hAnsi="Times New Roman" w:eastAsia="宋体" w:cs="Times New Roman"/>
                <w:color w:val="FF0000"/>
                <w:kern w:val="0"/>
                <w:sz w:val="24"/>
                <w:highlight w:val="none"/>
                <w:lang w:val="en-US" w:eastAsia="zh-CN" w:bidi="ar"/>
              </w:rPr>
              <w:t>本项目厂区出入口设置车辆清洗平台，清洗废水排入沉淀池内，沉淀后循环利用循环池内泥渣定期清掏</w:t>
            </w:r>
            <w:r>
              <w:rPr>
                <w:rFonts w:hint="eastAsia" w:cs="Times New Roman"/>
                <w:color w:val="FF0000"/>
                <w:kern w:val="0"/>
                <w:sz w:val="24"/>
                <w:highlight w:val="none"/>
                <w:lang w:val="en-US" w:eastAsia="zh-CN" w:bidi="ar"/>
              </w:rPr>
              <w:t>并在沥水筛上沥水</w:t>
            </w:r>
            <w:r>
              <w:rPr>
                <w:rFonts w:hint="default" w:ascii="Times New Roman" w:hAnsi="Times New Roman" w:eastAsia="宋体" w:cs="Times New Roman"/>
                <w:color w:val="FF0000"/>
                <w:kern w:val="0"/>
                <w:sz w:val="24"/>
                <w:highlight w:val="none"/>
                <w:lang w:val="en-US" w:eastAsia="zh-CN" w:bidi="ar"/>
              </w:rPr>
              <w:t>，泥渣量约为0.25t/a，</w:t>
            </w:r>
            <w:r>
              <w:rPr>
                <w:rFonts w:hint="eastAsia" w:cs="Times New Roman"/>
                <w:color w:val="FF0000"/>
                <w:sz w:val="24"/>
                <w:szCs w:val="24"/>
                <w:highlight w:val="none"/>
                <w:lang w:val="en-US" w:eastAsia="zh-CN"/>
              </w:rPr>
              <w:t>含水约90%，经沥水筛沥水后含水率约50%，则沥出水量约0.2t/a，泥渣量为0.025t/a，</w:t>
            </w:r>
            <w:r>
              <w:rPr>
                <w:rFonts w:hint="eastAsia" w:ascii="Times New Roman" w:hAnsi="Times New Roman" w:eastAsia="宋体" w:cs="Times New Roman"/>
                <w:color w:val="FF0000"/>
                <w:kern w:val="0"/>
                <w:sz w:val="24"/>
                <w:highlight w:val="none"/>
                <w:lang w:val="en-US" w:eastAsia="zh-CN" w:bidi="ar"/>
              </w:rPr>
              <w:t>存放于成品库房内，</w:t>
            </w:r>
            <w:r>
              <w:rPr>
                <w:rFonts w:hint="eastAsia"/>
                <w:color w:val="FF0000"/>
                <w:sz w:val="24"/>
                <w:highlight w:val="none"/>
                <w:lang w:val="en-US" w:eastAsia="zh-CN"/>
              </w:rPr>
              <w:t>采用50kg袋装，</w:t>
            </w:r>
            <w:r>
              <w:rPr>
                <w:rFonts w:hint="eastAsia" w:ascii="Times New Roman" w:hAnsi="Times New Roman" w:eastAsia="宋体" w:cs="Times New Roman"/>
                <w:color w:val="FF0000"/>
                <w:kern w:val="0"/>
                <w:sz w:val="24"/>
                <w:highlight w:val="none"/>
                <w:lang w:val="en-US" w:eastAsia="zh-CN" w:bidi="ar"/>
              </w:rPr>
              <w:t>定期外售。</w:t>
            </w:r>
          </w:p>
          <w:p w14:paraId="69D49F81">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color w:val="auto"/>
                <w:highlight w:val="none"/>
              </w:rPr>
            </w:pPr>
            <w:r>
              <w:rPr>
                <w:color w:val="auto"/>
                <w:kern w:val="0"/>
                <w:sz w:val="24"/>
                <w:highlight w:val="none"/>
                <w:lang w:bidi="ar"/>
              </w:rPr>
              <w:t>（2）危险废物</w:t>
            </w:r>
          </w:p>
          <w:p w14:paraId="3AB5A0D5">
            <w:pPr>
              <w:keepNext w:val="0"/>
              <w:keepLines w:val="0"/>
              <w:pageBreakBefore w:val="0"/>
              <w:widowControl/>
              <w:kinsoku/>
              <w:wordWrap/>
              <w:overflowPunct/>
              <w:topLinePunct w:val="0"/>
              <w:autoSpaceDE/>
              <w:autoSpaceDN/>
              <w:bidi w:val="0"/>
              <w:adjustRightInd/>
              <w:snapToGrid/>
              <w:spacing w:line="360" w:lineRule="auto"/>
              <w:ind w:firstLine="480" w:firstLineChars="200"/>
              <w:jc w:val="left"/>
              <w:textAlignment w:val="auto"/>
              <w:rPr>
                <w:color w:val="auto"/>
                <w:kern w:val="0"/>
                <w:sz w:val="24"/>
                <w:highlight w:val="none"/>
                <w:lang w:bidi="ar"/>
              </w:rPr>
            </w:pPr>
            <w:r>
              <w:rPr>
                <w:color w:val="auto"/>
                <w:kern w:val="0"/>
                <w:sz w:val="24"/>
                <w:highlight w:val="none"/>
                <w:lang w:bidi="ar"/>
              </w:rPr>
              <w:t>本项目设备运行、维修中会使用</w:t>
            </w:r>
            <w:r>
              <w:rPr>
                <w:rFonts w:hint="eastAsia"/>
                <w:color w:val="auto"/>
                <w:kern w:val="0"/>
                <w:sz w:val="24"/>
                <w:highlight w:val="none"/>
                <w:lang w:bidi="ar"/>
              </w:rPr>
              <w:t>润滑油</w:t>
            </w:r>
            <w:r>
              <w:rPr>
                <w:color w:val="auto"/>
                <w:kern w:val="0"/>
                <w:sz w:val="24"/>
                <w:highlight w:val="none"/>
                <w:lang w:bidi="ar"/>
              </w:rPr>
              <w:t>，会产生废</w:t>
            </w:r>
            <w:r>
              <w:rPr>
                <w:rFonts w:hint="eastAsia"/>
                <w:color w:val="auto"/>
                <w:kern w:val="0"/>
                <w:sz w:val="24"/>
                <w:highlight w:val="none"/>
                <w:lang w:bidi="ar"/>
              </w:rPr>
              <w:t>润滑油</w:t>
            </w:r>
            <w:r>
              <w:rPr>
                <w:color w:val="auto"/>
                <w:kern w:val="0"/>
                <w:sz w:val="24"/>
                <w:highlight w:val="none"/>
                <w:lang w:bidi="ar"/>
              </w:rPr>
              <w:t>及其废</w:t>
            </w:r>
            <w:r>
              <w:rPr>
                <w:rFonts w:hint="eastAsia"/>
                <w:color w:val="auto"/>
                <w:kern w:val="0"/>
                <w:sz w:val="24"/>
                <w:highlight w:val="none"/>
                <w:lang w:bidi="ar"/>
              </w:rPr>
              <w:t>油</w:t>
            </w:r>
            <w:r>
              <w:rPr>
                <w:color w:val="auto"/>
                <w:kern w:val="0"/>
                <w:sz w:val="24"/>
                <w:highlight w:val="none"/>
                <w:lang w:bidi="ar"/>
              </w:rPr>
              <w:t>桶，废</w:t>
            </w:r>
            <w:r>
              <w:rPr>
                <w:rFonts w:hint="eastAsia"/>
                <w:color w:val="auto"/>
                <w:kern w:val="0"/>
                <w:sz w:val="24"/>
                <w:highlight w:val="none"/>
                <w:lang w:bidi="ar"/>
              </w:rPr>
              <w:t>润滑油</w:t>
            </w:r>
            <w:r>
              <w:rPr>
                <w:color w:val="auto"/>
                <w:kern w:val="0"/>
                <w:sz w:val="24"/>
                <w:highlight w:val="none"/>
                <w:lang w:bidi="ar"/>
              </w:rPr>
              <w:t>属于“HW08”</w:t>
            </w:r>
            <w:r>
              <w:rPr>
                <w:rFonts w:hint="eastAsia"/>
                <w:color w:val="auto"/>
                <w:kern w:val="0"/>
                <w:sz w:val="24"/>
                <w:highlight w:val="none"/>
                <w:lang w:bidi="ar"/>
              </w:rPr>
              <w:t>，危险</w:t>
            </w:r>
            <w:r>
              <w:rPr>
                <w:color w:val="auto"/>
                <w:kern w:val="0"/>
                <w:sz w:val="24"/>
                <w:highlight w:val="none"/>
                <w:lang w:bidi="ar"/>
              </w:rPr>
              <w:t>废物代码为“900-21</w:t>
            </w:r>
            <w:r>
              <w:rPr>
                <w:rFonts w:hint="eastAsia"/>
                <w:color w:val="auto"/>
                <w:kern w:val="0"/>
                <w:sz w:val="24"/>
                <w:highlight w:val="none"/>
                <w:lang w:val="en-US" w:eastAsia="zh-CN" w:bidi="ar"/>
              </w:rPr>
              <w:t>4</w:t>
            </w:r>
            <w:r>
              <w:rPr>
                <w:color w:val="auto"/>
                <w:kern w:val="0"/>
                <w:sz w:val="24"/>
                <w:highlight w:val="none"/>
                <w:lang w:bidi="ar"/>
              </w:rPr>
              <w:t>-08”</w:t>
            </w:r>
            <w:r>
              <w:rPr>
                <w:rFonts w:hint="eastAsia"/>
                <w:color w:val="auto"/>
                <w:kern w:val="0"/>
                <w:sz w:val="24"/>
                <w:highlight w:val="none"/>
                <w:lang w:bidi="ar"/>
              </w:rPr>
              <w:t>；</w:t>
            </w:r>
            <w:r>
              <w:rPr>
                <w:color w:val="auto"/>
                <w:kern w:val="0"/>
                <w:sz w:val="24"/>
                <w:highlight w:val="none"/>
                <w:lang w:bidi="ar"/>
              </w:rPr>
              <w:t>废</w:t>
            </w:r>
            <w:r>
              <w:rPr>
                <w:rFonts w:hint="eastAsia"/>
                <w:color w:val="auto"/>
                <w:kern w:val="0"/>
                <w:sz w:val="24"/>
                <w:highlight w:val="none"/>
                <w:lang w:bidi="ar"/>
              </w:rPr>
              <w:t>油</w:t>
            </w:r>
            <w:r>
              <w:rPr>
                <w:color w:val="auto"/>
                <w:kern w:val="0"/>
                <w:sz w:val="24"/>
                <w:highlight w:val="none"/>
                <w:lang w:bidi="ar"/>
              </w:rPr>
              <w:t>桶属于“HW49”，</w:t>
            </w:r>
            <w:r>
              <w:rPr>
                <w:rFonts w:hint="eastAsia"/>
                <w:color w:val="auto"/>
                <w:kern w:val="0"/>
                <w:sz w:val="24"/>
                <w:highlight w:val="none"/>
                <w:lang w:bidi="ar"/>
              </w:rPr>
              <w:t>危险</w:t>
            </w:r>
            <w:r>
              <w:rPr>
                <w:color w:val="auto"/>
                <w:kern w:val="0"/>
                <w:sz w:val="24"/>
                <w:highlight w:val="none"/>
                <w:lang w:bidi="ar"/>
              </w:rPr>
              <w:t>废物代码为“900-041-49”。根据建设单位提供资料，预计废</w:t>
            </w:r>
            <w:r>
              <w:rPr>
                <w:rFonts w:hint="eastAsia"/>
                <w:color w:val="auto"/>
                <w:kern w:val="0"/>
                <w:sz w:val="24"/>
                <w:highlight w:val="none"/>
                <w:lang w:bidi="ar"/>
              </w:rPr>
              <w:t>润滑油</w:t>
            </w:r>
            <w:r>
              <w:rPr>
                <w:color w:val="auto"/>
                <w:kern w:val="0"/>
                <w:sz w:val="24"/>
                <w:highlight w:val="none"/>
                <w:lang w:bidi="ar"/>
              </w:rPr>
              <w:t>产生量为0.02t/a，</w:t>
            </w:r>
            <w:r>
              <w:rPr>
                <w:rFonts w:hint="eastAsia"/>
                <w:color w:val="auto"/>
                <w:kern w:val="0"/>
                <w:sz w:val="24"/>
                <w:highlight w:val="none"/>
                <w:lang w:bidi="ar"/>
              </w:rPr>
              <w:t>废油桶</w:t>
            </w:r>
            <w:r>
              <w:rPr>
                <w:color w:val="auto"/>
                <w:kern w:val="0"/>
                <w:sz w:val="24"/>
                <w:highlight w:val="none"/>
                <w:lang w:bidi="ar"/>
              </w:rPr>
              <w:t>0.1t/a，产生的废</w:t>
            </w:r>
            <w:r>
              <w:rPr>
                <w:rFonts w:hint="eastAsia"/>
                <w:color w:val="auto"/>
                <w:kern w:val="0"/>
                <w:sz w:val="24"/>
                <w:highlight w:val="none"/>
                <w:lang w:bidi="ar"/>
              </w:rPr>
              <w:t>润滑油</w:t>
            </w:r>
            <w:r>
              <w:rPr>
                <w:color w:val="auto"/>
                <w:kern w:val="0"/>
                <w:sz w:val="24"/>
                <w:highlight w:val="none"/>
                <w:lang w:bidi="ar"/>
              </w:rPr>
              <w:t>及其油桶暂存于新建</w:t>
            </w:r>
            <w:r>
              <w:rPr>
                <w:rFonts w:hint="eastAsia"/>
                <w:color w:val="auto"/>
                <w:kern w:val="0"/>
                <w:sz w:val="24"/>
                <w:highlight w:val="none"/>
                <w:lang w:bidi="ar"/>
              </w:rPr>
              <w:t>危废贮存点</w:t>
            </w:r>
            <w:r>
              <w:rPr>
                <w:color w:val="auto"/>
                <w:kern w:val="0"/>
                <w:sz w:val="24"/>
                <w:highlight w:val="none"/>
                <w:lang w:bidi="ar"/>
              </w:rPr>
              <w:t>，定期交由有资质的单位清运处置。</w:t>
            </w:r>
          </w:p>
          <w:p w14:paraId="6FD260E3">
            <w:pPr>
              <w:keepNext/>
              <w:keepLines/>
              <w:widowControl/>
              <w:autoSpaceDE w:val="0"/>
              <w:autoSpaceDN w:val="0"/>
              <w:jc w:val="center"/>
              <w:rPr>
                <w:b/>
                <w:bCs/>
                <w:color w:val="FF0000"/>
                <w:szCs w:val="21"/>
                <w:highlight w:val="none"/>
                <w:lang w:val="zh-CN" w:bidi="zh-CN"/>
              </w:rPr>
            </w:pPr>
            <w:r>
              <w:rPr>
                <w:b/>
                <w:bCs/>
                <w:color w:val="FF0000"/>
                <w:szCs w:val="21"/>
                <w:highlight w:val="none"/>
                <w:lang w:val="zh-CN" w:bidi="zh-CN"/>
              </w:rPr>
              <w:t>表</w:t>
            </w:r>
            <w:r>
              <w:rPr>
                <w:rFonts w:hint="eastAsia"/>
                <w:b/>
                <w:bCs/>
                <w:color w:val="FF0000"/>
                <w:szCs w:val="21"/>
                <w:highlight w:val="none"/>
                <w:lang w:bidi="zh-CN"/>
              </w:rPr>
              <w:t>4-1</w:t>
            </w:r>
            <w:r>
              <w:rPr>
                <w:rFonts w:hint="eastAsia"/>
                <w:b/>
                <w:bCs/>
                <w:color w:val="FF0000"/>
                <w:szCs w:val="21"/>
                <w:highlight w:val="none"/>
                <w:lang w:val="en-US" w:bidi="zh-CN"/>
              </w:rPr>
              <w:t>4</w:t>
            </w:r>
            <w:r>
              <w:rPr>
                <w:b/>
                <w:bCs/>
                <w:color w:val="FF0000"/>
                <w:szCs w:val="21"/>
                <w:highlight w:val="none"/>
                <w:lang w:val="zh-CN" w:bidi="zh-CN"/>
              </w:rPr>
              <w:t xml:space="preserve"> </w:t>
            </w:r>
            <w:r>
              <w:rPr>
                <w:rFonts w:hint="eastAsia"/>
                <w:b/>
                <w:bCs/>
                <w:color w:val="FF0000"/>
                <w:szCs w:val="21"/>
                <w:highlight w:val="none"/>
                <w:lang w:val="en-US" w:bidi="zh-CN"/>
              </w:rPr>
              <w:t>危险废物</w:t>
            </w:r>
            <w:r>
              <w:rPr>
                <w:b/>
                <w:bCs/>
                <w:color w:val="FF0000"/>
                <w:szCs w:val="21"/>
                <w:highlight w:val="none"/>
                <w:lang w:val="zh-CN" w:bidi="zh-CN"/>
              </w:rPr>
              <w:t>产生情况一览表</w:t>
            </w:r>
          </w:p>
          <w:tbl>
            <w:tblPr>
              <w:tblStyle w:val="18"/>
              <w:tblW w:w="8214" w:type="dxa"/>
              <w:jc w:val="center"/>
              <w:tblBorders>
                <w:top w:val="double" w:color="auto" w:sz="4"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6"/>
              <w:gridCol w:w="746"/>
              <w:gridCol w:w="746"/>
              <w:gridCol w:w="746"/>
              <w:gridCol w:w="746"/>
              <w:gridCol w:w="746"/>
              <w:gridCol w:w="746"/>
              <w:gridCol w:w="746"/>
              <w:gridCol w:w="746"/>
              <w:gridCol w:w="746"/>
              <w:gridCol w:w="754"/>
            </w:tblGrid>
            <w:tr w14:paraId="5F1E4881">
              <w:tblPrEx>
                <w:tblBorders>
                  <w:top w:val="doub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56" w:hRule="atLeast"/>
                <w:jc w:val="center"/>
              </w:trPr>
              <w:tc>
                <w:tcPr>
                  <w:tcW w:w="746" w:type="dxa"/>
                  <w:tcBorders>
                    <w:top w:val="single" w:color="auto" w:sz="12" w:space="0"/>
                  </w:tcBorders>
                  <w:noWrap w:val="0"/>
                  <w:vAlign w:val="center"/>
                </w:tcPr>
                <w:p w14:paraId="783AAE45">
                  <w:pPr>
                    <w:widowControl/>
                    <w:autoSpaceDE w:val="0"/>
                    <w:autoSpaceDN w:val="0"/>
                    <w:jc w:val="center"/>
                    <w:rPr>
                      <w:rFonts w:hint="default" w:ascii="Times New Roman" w:hAnsi="Times New Roman" w:eastAsia="宋体" w:cs="Times New Roman"/>
                      <w:b/>
                      <w:bCs/>
                      <w:color w:val="FF0000"/>
                      <w:sz w:val="21"/>
                      <w:szCs w:val="21"/>
                      <w:highlight w:val="none"/>
                      <w:lang w:val="zh-CN" w:bidi="zh-CN"/>
                    </w:rPr>
                  </w:pPr>
                  <w:r>
                    <w:rPr>
                      <w:rFonts w:hint="default" w:ascii="Times New Roman" w:hAnsi="Times New Roman" w:eastAsia="宋体" w:cs="Times New Roman"/>
                      <w:b/>
                      <w:bCs/>
                      <w:color w:val="FF0000"/>
                      <w:sz w:val="21"/>
                      <w:szCs w:val="21"/>
                      <w:highlight w:val="none"/>
                      <w:lang w:val="en-US" w:bidi="zh-CN"/>
                    </w:rPr>
                    <w:t>危险废物</w:t>
                  </w:r>
                  <w:r>
                    <w:rPr>
                      <w:rFonts w:hint="default" w:ascii="Times New Roman" w:hAnsi="Times New Roman" w:eastAsia="宋体" w:cs="Times New Roman"/>
                      <w:b/>
                      <w:bCs/>
                      <w:color w:val="FF0000"/>
                      <w:sz w:val="21"/>
                      <w:szCs w:val="21"/>
                      <w:highlight w:val="none"/>
                      <w:lang w:val="zh-CN" w:bidi="zh-CN"/>
                    </w:rPr>
                    <w:t>名称</w:t>
                  </w:r>
                </w:p>
              </w:tc>
              <w:tc>
                <w:tcPr>
                  <w:tcW w:w="746" w:type="dxa"/>
                  <w:tcBorders>
                    <w:top w:val="single" w:color="auto" w:sz="12" w:space="0"/>
                  </w:tcBorders>
                  <w:noWrap w:val="0"/>
                  <w:vAlign w:val="center"/>
                </w:tcPr>
                <w:p w14:paraId="2CED9D5D">
                  <w:pPr>
                    <w:widowControl/>
                    <w:autoSpaceDE w:val="0"/>
                    <w:autoSpaceDN w:val="0"/>
                    <w:jc w:val="center"/>
                    <w:rPr>
                      <w:rFonts w:hint="default" w:ascii="Times New Roman" w:hAnsi="Times New Roman" w:eastAsia="宋体" w:cs="Times New Roman"/>
                      <w:b/>
                      <w:bCs/>
                      <w:color w:val="FF0000"/>
                      <w:sz w:val="21"/>
                      <w:szCs w:val="21"/>
                      <w:highlight w:val="none"/>
                      <w:lang w:val="en-US" w:bidi="zh-CN"/>
                    </w:rPr>
                  </w:pPr>
                  <w:r>
                    <w:rPr>
                      <w:rFonts w:hint="default" w:ascii="Times New Roman" w:hAnsi="Times New Roman" w:eastAsia="宋体" w:cs="Times New Roman"/>
                      <w:b/>
                      <w:bCs/>
                      <w:color w:val="FF0000"/>
                      <w:sz w:val="21"/>
                      <w:szCs w:val="21"/>
                      <w:highlight w:val="none"/>
                      <w:lang w:val="en-US" w:bidi="zh-CN"/>
                    </w:rPr>
                    <w:t>危险废物类别</w:t>
                  </w:r>
                </w:p>
              </w:tc>
              <w:tc>
                <w:tcPr>
                  <w:tcW w:w="746" w:type="dxa"/>
                  <w:tcBorders>
                    <w:top w:val="single" w:color="auto" w:sz="12" w:space="0"/>
                  </w:tcBorders>
                  <w:noWrap w:val="0"/>
                  <w:vAlign w:val="center"/>
                </w:tcPr>
                <w:p w14:paraId="62B8FE45">
                  <w:pPr>
                    <w:widowControl/>
                    <w:autoSpaceDE w:val="0"/>
                    <w:autoSpaceDN w:val="0"/>
                    <w:jc w:val="center"/>
                    <w:rPr>
                      <w:rFonts w:hint="default" w:ascii="Times New Roman" w:hAnsi="Times New Roman" w:eastAsia="宋体" w:cs="Times New Roman"/>
                      <w:b/>
                      <w:bCs/>
                      <w:color w:val="FF0000"/>
                      <w:sz w:val="21"/>
                      <w:szCs w:val="21"/>
                      <w:highlight w:val="none"/>
                      <w:lang w:val="en-US" w:bidi="zh-CN"/>
                    </w:rPr>
                  </w:pPr>
                  <w:r>
                    <w:rPr>
                      <w:rFonts w:hint="default" w:ascii="Times New Roman" w:hAnsi="Times New Roman" w:eastAsia="宋体" w:cs="Times New Roman"/>
                      <w:b/>
                      <w:bCs/>
                      <w:color w:val="FF0000"/>
                      <w:sz w:val="21"/>
                      <w:szCs w:val="21"/>
                      <w:highlight w:val="none"/>
                      <w:lang w:val="en-US" w:bidi="zh-CN"/>
                    </w:rPr>
                    <w:t>危险废物代码</w:t>
                  </w:r>
                </w:p>
              </w:tc>
              <w:tc>
                <w:tcPr>
                  <w:tcW w:w="746" w:type="dxa"/>
                  <w:tcBorders>
                    <w:top w:val="single" w:color="auto" w:sz="12" w:space="0"/>
                  </w:tcBorders>
                  <w:noWrap w:val="0"/>
                  <w:vAlign w:val="center"/>
                </w:tcPr>
                <w:p w14:paraId="626E2DFB">
                  <w:pPr>
                    <w:widowControl/>
                    <w:autoSpaceDE w:val="0"/>
                    <w:autoSpaceDN w:val="0"/>
                    <w:jc w:val="center"/>
                    <w:rPr>
                      <w:rFonts w:hint="default" w:ascii="Times New Roman" w:hAnsi="Times New Roman" w:eastAsia="宋体" w:cs="Times New Roman"/>
                      <w:b/>
                      <w:bCs/>
                      <w:color w:val="FF0000"/>
                      <w:sz w:val="21"/>
                      <w:szCs w:val="21"/>
                      <w:highlight w:val="none"/>
                      <w:lang w:val="zh-CN" w:bidi="zh-CN"/>
                    </w:rPr>
                  </w:pPr>
                  <w:r>
                    <w:rPr>
                      <w:rFonts w:hint="default" w:ascii="Times New Roman" w:hAnsi="Times New Roman" w:eastAsia="宋体" w:cs="Times New Roman"/>
                      <w:b/>
                      <w:bCs/>
                      <w:color w:val="FF0000"/>
                      <w:sz w:val="21"/>
                      <w:szCs w:val="21"/>
                      <w:highlight w:val="none"/>
                      <w:lang w:val="zh-CN" w:bidi="zh-CN"/>
                    </w:rPr>
                    <w:t>产生量t/a</w:t>
                  </w:r>
                </w:p>
              </w:tc>
              <w:tc>
                <w:tcPr>
                  <w:tcW w:w="746" w:type="dxa"/>
                  <w:tcBorders>
                    <w:top w:val="single" w:color="auto" w:sz="12" w:space="0"/>
                  </w:tcBorders>
                  <w:noWrap w:val="0"/>
                  <w:vAlign w:val="center"/>
                </w:tcPr>
                <w:p w14:paraId="048346FD">
                  <w:pPr>
                    <w:widowControl/>
                    <w:autoSpaceDE w:val="0"/>
                    <w:autoSpaceDN w:val="0"/>
                    <w:jc w:val="center"/>
                    <w:rPr>
                      <w:rFonts w:hint="default" w:ascii="Times New Roman" w:hAnsi="Times New Roman" w:eastAsia="宋体" w:cs="Times New Roman"/>
                      <w:b/>
                      <w:bCs/>
                      <w:color w:val="FF0000"/>
                      <w:sz w:val="21"/>
                      <w:szCs w:val="21"/>
                      <w:highlight w:val="none"/>
                      <w:lang w:val="en-US" w:bidi="zh-CN"/>
                    </w:rPr>
                  </w:pPr>
                  <w:r>
                    <w:rPr>
                      <w:rFonts w:hint="default" w:ascii="Times New Roman" w:hAnsi="Times New Roman" w:eastAsia="宋体" w:cs="Times New Roman"/>
                      <w:b/>
                      <w:bCs/>
                      <w:color w:val="FF0000"/>
                      <w:sz w:val="21"/>
                      <w:szCs w:val="21"/>
                      <w:highlight w:val="none"/>
                      <w:lang w:val="en-US" w:bidi="zh-CN"/>
                    </w:rPr>
                    <w:t>产生工序</w:t>
                  </w:r>
                </w:p>
              </w:tc>
              <w:tc>
                <w:tcPr>
                  <w:tcW w:w="746" w:type="dxa"/>
                  <w:tcBorders>
                    <w:top w:val="single" w:color="auto" w:sz="12" w:space="0"/>
                  </w:tcBorders>
                  <w:noWrap w:val="0"/>
                  <w:vAlign w:val="center"/>
                </w:tcPr>
                <w:p w14:paraId="3252416E">
                  <w:pPr>
                    <w:widowControl/>
                    <w:autoSpaceDE w:val="0"/>
                    <w:autoSpaceDN w:val="0"/>
                    <w:jc w:val="center"/>
                    <w:rPr>
                      <w:rFonts w:hint="default" w:ascii="Times New Roman" w:hAnsi="Times New Roman" w:eastAsia="宋体" w:cs="Times New Roman"/>
                      <w:b/>
                      <w:bCs/>
                      <w:color w:val="FF0000"/>
                      <w:sz w:val="21"/>
                      <w:szCs w:val="21"/>
                      <w:highlight w:val="none"/>
                      <w:lang w:val="en-US" w:bidi="zh-CN"/>
                    </w:rPr>
                  </w:pPr>
                  <w:r>
                    <w:rPr>
                      <w:rFonts w:hint="default" w:ascii="Times New Roman" w:hAnsi="Times New Roman" w:eastAsia="宋体" w:cs="Times New Roman"/>
                      <w:b/>
                      <w:bCs/>
                      <w:color w:val="FF0000"/>
                      <w:sz w:val="21"/>
                      <w:szCs w:val="21"/>
                      <w:highlight w:val="none"/>
                      <w:lang w:val="en-US" w:bidi="zh-CN"/>
                    </w:rPr>
                    <w:t>形态</w:t>
                  </w:r>
                </w:p>
              </w:tc>
              <w:tc>
                <w:tcPr>
                  <w:tcW w:w="746" w:type="dxa"/>
                  <w:tcBorders>
                    <w:top w:val="single" w:color="auto" w:sz="12" w:space="0"/>
                  </w:tcBorders>
                  <w:noWrap w:val="0"/>
                  <w:vAlign w:val="center"/>
                </w:tcPr>
                <w:p w14:paraId="0606ACA7">
                  <w:pPr>
                    <w:widowControl/>
                    <w:autoSpaceDE w:val="0"/>
                    <w:autoSpaceDN w:val="0"/>
                    <w:jc w:val="center"/>
                    <w:rPr>
                      <w:rFonts w:hint="default" w:ascii="Times New Roman" w:hAnsi="Times New Roman" w:eastAsia="宋体" w:cs="Times New Roman"/>
                      <w:b/>
                      <w:bCs/>
                      <w:color w:val="FF0000"/>
                      <w:sz w:val="21"/>
                      <w:szCs w:val="21"/>
                      <w:highlight w:val="none"/>
                      <w:lang w:val="en-US" w:bidi="zh-CN"/>
                    </w:rPr>
                  </w:pPr>
                  <w:r>
                    <w:rPr>
                      <w:rFonts w:hint="default" w:ascii="Times New Roman" w:hAnsi="Times New Roman" w:eastAsia="宋体" w:cs="Times New Roman"/>
                      <w:b/>
                      <w:bCs/>
                      <w:color w:val="FF0000"/>
                      <w:sz w:val="21"/>
                      <w:szCs w:val="21"/>
                      <w:highlight w:val="none"/>
                      <w:lang w:val="en-US" w:bidi="zh-CN"/>
                    </w:rPr>
                    <w:t>主要成分</w:t>
                  </w:r>
                </w:p>
              </w:tc>
              <w:tc>
                <w:tcPr>
                  <w:tcW w:w="746" w:type="dxa"/>
                  <w:tcBorders>
                    <w:top w:val="single" w:color="auto" w:sz="12" w:space="0"/>
                  </w:tcBorders>
                  <w:noWrap w:val="0"/>
                  <w:vAlign w:val="center"/>
                </w:tcPr>
                <w:p w14:paraId="03B4C520">
                  <w:pPr>
                    <w:widowControl/>
                    <w:autoSpaceDE w:val="0"/>
                    <w:autoSpaceDN w:val="0"/>
                    <w:jc w:val="center"/>
                    <w:rPr>
                      <w:rFonts w:hint="default" w:ascii="Times New Roman" w:hAnsi="Times New Roman" w:eastAsia="宋体" w:cs="Times New Roman"/>
                      <w:b/>
                      <w:bCs/>
                      <w:color w:val="FF0000"/>
                      <w:sz w:val="21"/>
                      <w:szCs w:val="21"/>
                      <w:highlight w:val="none"/>
                      <w:lang w:val="en-US" w:bidi="zh-CN"/>
                    </w:rPr>
                  </w:pPr>
                  <w:r>
                    <w:rPr>
                      <w:rFonts w:hint="default" w:ascii="Times New Roman" w:hAnsi="Times New Roman" w:eastAsia="宋体" w:cs="Times New Roman"/>
                      <w:b/>
                      <w:bCs/>
                      <w:color w:val="FF0000"/>
                      <w:sz w:val="21"/>
                      <w:szCs w:val="21"/>
                      <w:highlight w:val="none"/>
                      <w:lang w:val="en-US" w:bidi="zh-CN"/>
                    </w:rPr>
                    <w:t>有害成分</w:t>
                  </w:r>
                </w:p>
              </w:tc>
              <w:tc>
                <w:tcPr>
                  <w:tcW w:w="746" w:type="dxa"/>
                  <w:tcBorders>
                    <w:top w:val="single" w:color="auto" w:sz="12" w:space="0"/>
                  </w:tcBorders>
                  <w:noWrap w:val="0"/>
                  <w:vAlign w:val="center"/>
                </w:tcPr>
                <w:p w14:paraId="4E0E0324">
                  <w:pPr>
                    <w:widowControl/>
                    <w:autoSpaceDE w:val="0"/>
                    <w:autoSpaceDN w:val="0"/>
                    <w:jc w:val="center"/>
                    <w:rPr>
                      <w:rFonts w:hint="default" w:ascii="Times New Roman" w:hAnsi="Times New Roman" w:eastAsia="宋体" w:cs="Times New Roman"/>
                      <w:b/>
                      <w:bCs/>
                      <w:color w:val="FF0000"/>
                      <w:sz w:val="21"/>
                      <w:szCs w:val="21"/>
                      <w:highlight w:val="none"/>
                      <w:lang w:val="en-US" w:bidi="zh-CN"/>
                    </w:rPr>
                  </w:pPr>
                  <w:r>
                    <w:rPr>
                      <w:rFonts w:hint="default" w:ascii="Times New Roman" w:hAnsi="Times New Roman" w:eastAsia="宋体" w:cs="Times New Roman"/>
                      <w:b/>
                      <w:bCs/>
                      <w:color w:val="FF0000"/>
                      <w:sz w:val="21"/>
                      <w:szCs w:val="21"/>
                      <w:highlight w:val="none"/>
                      <w:lang w:val="en-US" w:bidi="zh-CN"/>
                    </w:rPr>
                    <w:t>产废周期</w:t>
                  </w:r>
                </w:p>
              </w:tc>
              <w:tc>
                <w:tcPr>
                  <w:tcW w:w="746" w:type="dxa"/>
                  <w:tcBorders>
                    <w:top w:val="single" w:color="auto" w:sz="12" w:space="0"/>
                  </w:tcBorders>
                  <w:noWrap w:val="0"/>
                  <w:vAlign w:val="center"/>
                </w:tcPr>
                <w:p w14:paraId="24972912">
                  <w:pPr>
                    <w:widowControl/>
                    <w:autoSpaceDE w:val="0"/>
                    <w:autoSpaceDN w:val="0"/>
                    <w:jc w:val="center"/>
                    <w:rPr>
                      <w:rFonts w:hint="default" w:ascii="Times New Roman" w:hAnsi="Times New Roman" w:eastAsia="宋体" w:cs="Times New Roman"/>
                      <w:b/>
                      <w:bCs/>
                      <w:color w:val="FF0000"/>
                      <w:sz w:val="21"/>
                      <w:szCs w:val="21"/>
                      <w:highlight w:val="none"/>
                      <w:lang w:val="en-US" w:bidi="zh-CN"/>
                    </w:rPr>
                  </w:pPr>
                  <w:r>
                    <w:rPr>
                      <w:rFonts w:hint="default" w:ascii="Times New Roman" w:hAnsi="Times New Roman" w:eastAsia="宋体" w:cs="Times New Roman"/>
                      <w:b/>
                      <w:bCs/>
                      <w:color w:val="FF0000"/>
                      <w:sz w:val="21"/>
                      <w:szCs w:val="21"/>
                      <w:highlight w:val="none"/>
                      <w:lang w:val="en-US" w:bidi="zh-CN"/>
                    </w:rPr>
                    <w:t>危险特性</w:t>
                  </w:r>
                </w:p>
              </w:tc>
              <w:tc>
                <w:tcPr>
                  <w:tcW w:w="754" w:type="dxa"/>
                  <w:tcBorders>
                    <w:top w:val="single" w:color="auto" w:sz="12" w:space="0"/>
                  </w:tcBorders>
                  <w:noWrap w:val="0"/>
                  <w:vAlign w:val="center"/>
                </w:tcPr>
                <w:p w14:paraId="6E4861FA">
                  <w:pPr>
                    <w:widowControl/>
                    <w:autoSpaceDE w:val="0"/>
                    <w:autoSpaceDN w:val="0"/>
                    <w:jc w:val="center"/>
                    <w:rPr>
                      <w:rFonts w:hint="default" w:ascii="Times New Roman" w:hAnsi="Times New Roman" w:eastAsia="宋体" w:cs="Times New Roman"/>
                      <w:b/>
                      <w:bCs/>
                      <w:color w:val="FF0000"/>
                      <w:sz w:val="21"/>
                      <w:szCs w:val="21"/>
                      <w:highlight w:val="none"/>
                      <w:lang w:val="en-US" w:bidi="zh-CN"/>
                    </w:rPr>
                  </w:pPr>
                  <w:r>
                    <w:rPr>
                      <w:rFonts w:hint="default" w:ascii="Times New Roman" w:hAnsi="Times New Roman" w:eastAsia="宋体" w:cs="Times New Roman"/>
                      <w:b/>
                      <w:bCs/>
                      <w:color w:val="FF0000"/>
                      <w:sz w:val="21"/>
                      <w:szCs w:val="21"/>
                      <w:highlight w:val="none"/>
                      <w:lang w:val="en-US" w:bidi="zh-CN"/>
                    </w:rPr>
                    <w:t>污染防治措施</w:t>
                  </w:r>
                </w:p>
              </w:tc>
            </w:tr>
            <w:tr w14:paraId="57402671">
              <w:tblPrEx>
                <w:tblBorders>
                  <w:top w:val="doub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2" w:hRule="atLeast"/>
                <w:jc w:val="center"/>
              </w:trPr>
              <w:tc>
                <w:tcPr>
                  <w:tcW w:w="746" w:type="dxa"/>
                  <w:noWrap w:val="0"/>
                  <w:vAlign w:val="center"/>
                </w:tcPr>
                <w:p w14:paraId="56020CF7">
                  <w:pPr>
                    <w:widowControl/>
                    <w:autoSpaceDE w:val="0"/>
                    <w:autoSpaceDN w:val="0"/>
                    <w:jc w:val="center"/>
                    <w:rPr>
                      <w:rFonts w:hint="default" w:ascii="Times New Roman" w:hAnsi="Times New Roman" w:eastAsia="宋体" w:cs="Times New Roman"/>
                      <w:color w:val="FF0000"/>
                      <w:sz w:val="21"/>
                      <w:szCs w:val="21"/>
                      <w:highlight w:val="none"/>
                      <w:lang w:bidi="zh-CN"/>
                    </w:rPr>
                  </w:pPr>
                  <w:r>
                    <w:rPr>
                      <w:rFonts w:hint="default" w:ascii="Times New Roman" w:hAnsi="Times New Roman" w:eastAsia="宋体" w:cs="Times New Roman"/>
                      <w:color w:val="FF0000"/>
                      <w:sz w:val="21"/>
                      <w:szCs w:val="21"/>
                      <w:highlight w:val="none"/>
                      <w:lang w:bidi="zh-CN"/>
                    </w:rPr>
                    <w:t>废机油</w:t>
                  </w:r>
                </w:p>
              </w:tc>
              <w:tc>
                <w:tcPr>
                  <w:tcW w:w="746" w:type="dxa"/>
                  <w:tcBorders>
                    <w:top w:val="single" w:color="auto" w:sz="4" w:space="0"/>
                    <w:bottom w:val="single" w:color="auto" w:sz="4" w:space="0"/>
                  </w:tcBorders>
                  <w:noWrap w:val="0"/>
                  <w:vAlign w:val="center"/>
                </w:tcPr>
                <w:p w14:paraId="3A73F469">
                  <w:pPr>
                    <w:widowControl/>
                    <w:autoSpaceDE w:val="0"/>
                    <w:autoSpaceDN w:val="0"/>
                    <w:jc w:val="center"/>
                    <w:rPr>
                      <w:rFonts w:hint="default" w:ascii="Times New Roman" w:hAnsi="Times New Roman" w:eastAsia="宋体" w:cs="Times New Roman"/>
                      <w:color w:val="FF0000"/>
                      <w:sz w:val="21"/>
                      <w:szCs w:val="21"/>
                      <w:highlight w:val="none"/>
                      <w:lang w:bidi="zh-CN"/>
                    </w:rPr>
                  </w:pPr>
                  <w:r>
                    <w:rPr>
                      <w:rFonts w:hint="default" w:ascii="Times New Roman" w:hAnsi="Times New Roman" w:eastAsia="宋体" w:cs="Times New Roman"/>
                      <w:color w:val="FF0000"/>
                      <w:kern w:val="0"/>
                      <w:sz w:val="21"/>
                      <w:szCs w:val="21"/>
                      <w:highlight w:val="none"/>
                      <w:lang w:bidi="ar"/>
                    </w:rPr>
                    <w:t>HW08</w:t>
                  </w:r>
                </w:p>
              </w:tc>
              <w:tc>
                <w:tcPr>
                  <w:tcW w:w="746" w:type="dxa"/>
                  <w:tcBorders>
                    <w:top w:val="single" w:color="auto" w:sz="4" w:space="0"/>
                  </w:tcBorders>
                  <w:noWrap w:val="0"/>
                  <w:vAlign w:val="center"/>
                </w:tcPr>
                <w:p w14:paraId="6B181D9E">
                  <w:pPr>
                    <w:autoSpaceDE w:val="0"/>
                    <w:autoSpaceDN w:val="0"/>
                    <w:jc w:val="center"/>
                    <w:rPr>
                      <w:rFonts w:hint="default" w:ascii="Times New Roman" w:hAnsi="Times New Roman" w:eastAsia="宋体" w:cs="Times New Roman"/>
                      <w:color w:val="FF0000"/>
                      <w:kern w:val="0"/>
                      <w:sz w:val="21"/>
                      <w:szCs w:val="21"/>
                      <w:highlight w:val="none"/>
                      <w:lang w:bidi="zh-CN"/>
                    </w:rPr>
                  </w:pPr>
                  <w:r>
                    <w:rPr>
                      <w:rFonts w:hint="default" w:ascii="Times New Roman" w:hAnsi="Times New Roman" w:eastAsia="宋体" w:cs="Times New Roman"/>
                      <w:color w:val="FF0000"/>
                      <w:kern w:val="0"/>
                      <w:sz w:val="21"/>
                      <w:szCs w:val="21"/>
                      <w:highlight w:val="none"/>
                      <w:lang w:bidi="ar"/>
                    </w:rPr>
                    <w:t>900-21</w:t>
                  </w:r>
                  <w:r>
                    <w:rPr>
                      <w:rFonts w:hint="default" w:ascii="Times New Roman" w:hAnsi="Times New Roman" w:eastAsia="宋体" w:cs="Times New Roman"/>
                      <w:color w:val="FF0000"/>
                      <w:kern w:val="0"/>
                      <w:sz w:val="21"/>
                      <w:szCs w:val="21"/>
                      <w:highlight w:val="none"/>
                      <w:lang w:val="en-US" w:eastAsia="zh-CN" w:bidi="ar"/>
                    </w:rPr>
                    <w:t>4</w:t>
                  </w:r>
                  <w:r>
                    <w:rPr>
                      <w:rFonts w:hint="default" w:ascii="Times New Roman" w:hAnsi="Times New Roman" w:eastAsia="宋体" w:cs="Times New Roman"/>
                      <w:color w:val="FF0000"/>
                      <w:kern w:val="0"/>
                      <w:sz w:val="21"/>
                      <w:szCs w:val="21"/>
                      <w:highlight w:val="none"/>
                      <w:lang w:bidi="ar"/>
                    </w:rPr>
                    <w:t>-08</w:t>
                  </w:r>
                </w:p>
              </w:tc>
              <w:tc>
                <w:tcPr>
                  <w:tcW w:w="746" w:type="dxa"/>
                  <w:tcBorders>
                    <w:top w:val="single" w:color="auto" w:sz="4" w:space="0"/>
                    <w:bottom w:val="single" w:color="auto" w:sz="4" w:space="0"/>
                  </w:tcBorders>
                  <w:shd w:val="clear" w:color="auto" w:fill="auto"/>
                  <w:noWrap w:val="0"/>
                  <w:vAlign w:val="center"/>
                </w:tcPr>
                <w:p w14:paraId="219ED88E">
                  <w:pPr>
                    <w:widowControl/>
                    <w:autoSpaceDE w:val="0"/>
                    <w:autoSpaceDN w:val="0"/>
                    <w:jc w:val="center"/>
                    <w:rPr>
                      <w:rFonts w:hint="default" w:ascii="Times New Roman" w:hAnsi="Times New Roman" w:eastAsia="宋体" w:cs="Times New Roman"/>
                      <w:color w:val="FF0000"/>
                      <w:kern w:val="2"/>
                      <w:sz w:val="21"/>
                      <w:szCs w:val="21"/>
                      <w:highlight w:val="none"/>
                      <w:lang w:val="en-US" w:eastAsia="zh-CN" w:bidi="zh-CN"/>
                    </w:rPr>
                  </w:pPr>
                  <w:r>
                    <w:rPr>
                      <w:rFonts w:hint="default" w:ascii="Times New Roman" w:hAnsi="Times New Roman" w:eastAsia="宋体" w:cs="Times New Roman"/>
                      <w:color w:val="FF0000"/>
                      <w:sz w:val="21"/>
                      <w:szCs w:val="21"/>
                      <w:highlight w:val="none"/>
                      <w:lang w:bidi="zh-CN"/>
                    </w:rPr>
                    <w:t>0.1</w:t>
                  </w:r>
                </w:p>
              </w:tc>
              <w:tc>
                <w:tcPr>
                  <w:tcW w:w="746" w:type="dxa"/>
                  <w:noWrap w:val="0"/>
                  <w:vAlign w:val="center"/>
                </w:tcPr>
                <w:p w14:paraId="1DB6023B">
                  <w:pPr>
                    <w:widowControl/>
                    <w:autoSpaceDE w:val="0"/>
                    <w:autoSpaceDN w:val="0"/>
                    <w:jc w:val="center"/>
                    <w:rPr>
                      <w:rFonts w:hint="default" w:ascii="Times New Roman" w:hAnsi="Times New Roman" w:eastAsia="宋体" w:cs="Times New Roman"/>
                      <w:color w:val="FF0000"/>
                      <w:kern w:val="0"/>
                      <w:sz w:val="21"/>
                      <w:szCs w:val="21"/>
                      <w:highlight w:val="none"/>
                      <w:lang w:bidi="zh-CN"/>
                    </w:rPr>
                  </w:pPr>
                  <w:r>
                    <w:rPr>
                      <w:rFonts w:hint="default" w:ascii="Times New Roman" w:hAnsi="Times New Roman" w:eastAsia="宋体" w:cs="Times New Roman"/>
                      <w:color w:val="FF0000"/>
                      <w:sz w:val="21"/>
                      <w:szCs w:val="21"/>
                      <w:highlight w:val="none"/>
                      <w:lang w:bidi="zh-CN"/>
                    </w:rPr>
                    <w:t>设备保养</w:t>
                  </w:r>
                </w:p>
              </w:tc>
              <w:tc>
                <w:tcPr>
                  <w:tcW w:w="746" w:type="dxa"/>
                  <w:noWrap w:val="0"/>
                  <w:vAlign w:val="center"/>
                </w:tcPr>
                <w:p w14:paraId="77C7379F">
                  <w:pPr>
                    <w:autoSpaceDE w:val="0"/>
                    <w:autoSpaceDN w:val="0"/>
                    <w:jc w:val="center"/>
                    <w:rPr>
                      <w:rFonts w:hint="default" w:ascii="Times New Roman" w:hAnsi="Times New Roman" w:eastAsia="宋体" w:cs="Times New Roman"/>
                      <w:color w:val="FF0000"/>
                      <w:kern w:val="0"/>
                      <w:sz w:val="21"/>
                      <w:szCs w:val="21"/>
                      <w:highlight w:val="none"/>
                      <w:lang w:val="en-US" w:bidi="zh-CN"/>
                    </w:rPr>
                  </w:pPr>
                  <w:r>
                    <w:rPr>
                      <w:rFonts w:hint="default" w:ascii="Times New Roman" w:hAnsi="Times New Roman" w:eastAsia="宋体" w:cs="Times New Roman"/>
                      <w:color w:val="FF0000"/>
                      <w:kern w:val="0"/>
                      <w:sz w:val="21"/>
                      <w:szCs w:val="21"/>
                      <w:highlight w:val="none"/>
                      <w:lang w:val="en-US" w:bidi="zh-CN"/>
                    </w:rPr>
                    <w:t>液</w:t>
                  </w:r>
                </w:p>
              </w:tc>
              <w:tc>
                <w:tcPr>
                  <w:tcW w:w="746" w:type="dxa"/>
                  <w:shd w:val="clear" w:color="auto" w:fill="auto"/>
                  <w:noWrap w:val="0"/>
                  <w:vAlign w:val="center"/>
                </w:tcPr>
                <w:p w14:paraId="6949A5D5">
                  <w:pPr>
                    <w:widowControl/>
                    <w:autoSpaceDE w:val="0"/>
                    <w:autoSpaceDN w:val="0"/>
                    <w:jc w:val="center"/>
                    <w:rPr>
                      <w:rFonts w:hint="default" w:ascii="Times New Roman" w:hAnsi="Times New Roman" w:eastAsia="宋体" w:cs="Times New Roman"/>
                      <w:color w:val="FF0000"/>
                      <w:kern w:val="2"/>
                      <w:sz w:val="21"/>
                      <w:szCs w:val="21"/>
                      <w:highlight w:val="none"/>
                      <w:lang w:val="en-US" w:eastAsia="zh-CN" w:bidi="zh-CN"/>
                    </w:rPr>
                  </w:pPr>
                  <w:r>
                    <w:rPr>
                      <w:rFonts w:hint="default" w:ascii="Times New Roman" w:hAnsi="Times New Roman" w:eastAsia="宋体" w:cs="Times New Roman"/>
                      <w:color w:val="FF0000"/>
                      <w:sz w:val="21"/>
                      <w:szCs w:val="21"/>
                      <w:highlight w:val="none"/>
                      <w:lang w:val="en-US" w:bidi="zh-CN"/>
                    </w:rPr>
                    <w:t>机油</w:t>
                  </w:r>
                </w:p>
              </w:tc>
              <w:tc>
                <w:tcPr>
                  <w:tcW w:w="746" w:type="dxa"/>
                  <w:noWrap w:val="0"/>
                  <w:vAlign w:val="center"/>
                </w:tcPr>
                <w:p w14:paraId="4CDACE71">
                  <w:pPr>
                    <w:widowControl/>
                    <w:autoSpaceDE w:val="0"/>
                    <w:autoSpaceDN w:val="0"/>
                    <w:jc w:val="center"/>
                    <w:rPr>
                      <w:rFonts w:hint="default" w:ascii="Times New Roman" w:hAnsi="Times New Roman" w:eastAsia="宋体" w:cs="Times New Roman"/>
                      <w:color w:val="FF0000"/>
                      <w:sz w:val="21"/>
                      <w:szCs w:val="21"/>
                      <w:highlight w:val="none"/>
                      <w:lang w:val="en-US" w:bidi="zh-CN"/>
                    </w:rPr>
                  </w:pPr>
                  <w:r>
                    <w:rPr>
                      <w:rFonts w:hint="default" w:ascii="Times New Roman" w:hAnsi="Times New Roman" w:eastAsia="宋体" w:cs="Times New Roman"/>
                      <w:color w:val="FF0000"/>
                      <w:sz w:val="21"/>
                      <w:szCs w:val="21"/>
                      <w:highlight w:val="none"/>
                      <w:lang w:val="en-US" w:bidi="zh-CN"/>
                    </w:rPr>
                    <w:t>机油</w:t>
                  </w:r>
                </w:p>
              </w:tc>
              <w:tc>
                <w:tcPr>
                  <w:tcW w:w="746" w:type="dxa"/>
                  <w:noWrap w:val="0"/>
                  <w:vAlign w:val="center"/>
                </w:tcPr>
                <w:p w14:paraId="16FBE0CA">
                  <w:pPr>
                    <w:widowControl/>
                    <w:autoSpaceDE w:val="0"/>
                    <w:autoSpaceDN w:val="0"/>
                    <w:jc w:val="center"/>
                    <w:rPr>
                      <w:rFonts w:hint="default" w:ascii="Times New Roman" w:hAnsi="Times New Roman" w:eastAsia="宋体" w:cs="Times New Roman"/>
                      <w:color w:val="FF0000"/>
                      <w:sz w:val="21"/>
                      <w:szCs w:val="21"/>
                      <w:highlight w:val="none"/>
                      <w:lang w:val="en-US" w:bidi="zh-CN"/>
                    </w:rPr>
                  </w:pPr>
                  <w:r>
                    <w:rPr>
                      <w:rFonts w:hint="default" w:ascii="Times New Roman" w:hAnsi="Times New Roman" w:eastAsia="宋体" w:cs="Times New Roman"/>
                      <w:color w:val="FF0000"/>
                      <w:sz w:val="21"/>
                      <w:szCs w:val="21"/>
                      <w:highlight w:val="none"/>
                      <w:lang w:val="en-US" w:bidi="zh-CN"/>
                    </w:rPr>
                    <w:t>1年</w:t>
                  </w:r>
                </w:p>
              </w:tc>
              <w:tc>
                <w:tcPr>
                  <w:tcW w:w="746" w:type="dxa"/>
                  <w:shd w:val="clear" w:color="auto" w:fill="auto"/>
                  <w:noWrap w:val="0"/>
                  <w:vAlign w:val="center"/>
                </w:tcPr>
                <w:p w14:paraId="20CAEF92">
                  <w:pPr>
                    <w:autoSpaceDE w:val="0"/>
                    <w:autoSpaceDN w:val="0"/>
                    <w:jc w:val="center"/>
                    <w:rPr>
                      <w:rFonts w:hint="default" w:ascii="Times New Roman" w:hAnsi="Times New Roman" w:eastAsia="宋体" w:cs="Times New Roman"/>
                      <w:color w:val="FF0000"/>
                      <w:kern w:val="0"/>
                      <w:sz w:val="21"/>
                      <w:szCs w:val="21"/>
                      <w:highlight w:val="none"/>
                      <w:lang w:val="en-US" w:eastAsia="zh-CN" w:bidi="zh-CN"/>
                    </w:rPr>
                  </w:pPr>
                  <w:r>
                    <w:rPr>
                      <w:rFonts w:hint="default" w:ascii="Times New Roman" w:hAnsi="Times New Roman" w:eastAsia="宋体" w:cs="Times New Roman"/>
                      <w:color w:val="FF0000"/>
                      <w:kern w:val="0"/>
                      <w:sz w:val="21"/>
                      <w:szCs w:val="21"/>
                      <w:highlight w:val="none"/>
                      <w:lang w:bidi="zh-CN"/>
                    </w:rPr>
                    <w:t>T，I</w:t>
                  </w:r>
                </w:p>
              </w:tc>
              <w:tc>
                <w:tcPr>
                  <w:tcW w:w="754" w:type="dxa"/>
                  <w:vMerge w:val="restart"/>
                  <w:noWrap w:val="0"/>
                  <w:vAlign w:val="center"/>
                </w:tcPr>
                <w:p w14:paraId="44F94EBE">
                  <w:pPr>
                    <w:widowControl/>
                    <w:autoSpaceDE w:val="0"/>
                    <w:autoSpaceDN w:val="0"/>
                    <w:jc w:val="center"/>
                    <w:rPr>
                      <w:rFonts w:hint="default" w:ascii="Times New Roman" w:hAnsi="Times New Roman" w:eastAsia="宋体" w:cs="Times New Roman"/>
                      <w:color w:val="FF0000"/>
                      <w:sz w:val="21"/>
                      <w:szCs w:val="21"/>
                      <w:highlight w:val="none"/>
                      <w:lang w:val="en-US" w:bidi="zh-CN"/>
                    </w:rPr>
                  </w:pPr>
                  <w:r>
                    <w:rPr>
                      <w:rFonts w:hint="eastAsia" w:ascii="Times New Roman" w:hAnsi="Times New Roman" w:eastAsia="宋体" w:cs="Times New Roman"/>
                      <w:color w:val="FF0000"/>
                      <w:sz w:val="21"/>
                      <w:szCs w:val="21"/>
                      <w:highlight w:val="none"/>
                      <w:lang w:val="en-US" w:bidi="zh-CN"/>
                    </w:rPr>
                    <w:t>危险废物贮存点</w:t>
                  </w:r>
                </w:p>
              </w:tc>
            </w:tr>
            <w:tr w14:paraId="7B9E5B6F">
              <w:tblPrEx>
                <w:tblBorders>
                  <w:top w:val="double" w:color="auto" w:sz="4"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746" w:type="dxa"/>
                  <w:tcBorders>
                    <w:bottom w:val="single" w:color="auto" w:sz="12" w:space="0"/>
                  </w:tcBorders>
                  <w:noWrap w:val="0"/>
                  <w:vAlign w:val="center"/>
                </w:tcPr>
                <w:p w14:paraId="09458D1D">
                  <w:pPr>
                    <w:widowControl/>
                    <w:autoSpaceDE w:val="0"/>
                    <w:autoSpaceDN w:val="0"/>
                    <w:jc w:val="center"/>
                    <w:rPr>
                      <w:rFonts w:hint="default" w:ascii="Times New Roman" w:hAnsi="Times New Roman" w:eastAsia="宋体" w:cs="Times New Roman"/>
                      <w:color w:val="FF0000"/>
                      <w:sz w:val="21"/>
                      <w:szCs w:val="21"/>
                      <w:highlight w:val="none"/>
                      <w:lang w:bidi="zh-CN"/>
                    </w:rPr>
                  </w:pPr>
                  <w:r>
                    <w:rPr>
                      <w:rFonts w:hint="default" w:ascii="Times New Roman" w:hAnsi="Times New Roman" w:eastAsia="宋体" w:cs="Times New Roman"/>
                      <w:color w:val="FF0000"/>
                      <w:sz w:val="21"/>
                      <w:szCs w:val="21"/>
                      <w:highlight w:val="none"/>
                      <w:lang w:bidi="zh-CN"/>
                    </w:rPr>
                    <w:t>废机油桶</w:t>
                  </w:r>
                </w:p>
              </w:tc>
              <w:tc>
                <w:tcPr>
                  <w:tcW w:w="746" w:type="dxa"/>
                  <w:tcBorders>
                    <w:top w:val="single" w:color="auto" w:sz="4" w:space="0"/>
                    <w:bottom w:val="single" w:color="auto" w:sz="12" w:space="0"/>
                  </w:tcBorders>
                  <w:noWrap w:val="0"/>
                  <w:vAlign w:val="center"/>
                </w:tcPr>
                <w:p w14:paraId="5C241BCF">
                  <w:pPr>
                    <w:widowControl/>
                    <w:autoSpaceDE w:val="0"/>
                    <w:autoSpaceDN w:val="0"/>
                    <w:jc w:val="center"/>
                    <w:rPr>
                      <w:rFonts w:hint="default" w:ascii="Times New Roman" w:hAnsi="Times New Roman" w:eastAsia="宋体" w:cs="Times New Roman"/>
                      <w:color w:val="FF0000"/>
                      <w:sz w:val="21"/>
                      <w:szCs w:val="21"/>
                      <w:highlight w:val="none"/>
                      <w:lang w:bidi="zh-CN"/>
                    </w:rPr>
                  </w:pPr>
                  <w:r>
                    <w:rPr>
                      <w:rFonts w:hint="default" w:ascii="Times New Roman" w:hAnsi="Times New Roman" w:eastAsia="宋体" w:cs="Times New Roman"/>
                      <w:color w:val="FF0000"/>
                      <w:kern w:val="0"/>
                      <w:sz w:val="21"/>
                      <w:szCs w:val="21"/>
                      <w:highlight w:val="none"/>
                      <w:lang w:bidi="ar"/>
                    </w:rPr>
                    <w:t>HW49</w:t>
                  </w:r>
                </w:p>
              </w:tc>
              <w:tc>
                <w:tcPr>
                  <w:tcW w:w="746" w:type="dxa"/>
                  <w:tcBorders>
                    <w:bottom w:val="single" w:color="auto" w:sz="12" w:space="0"/>
                  </w:tcBorders>
                  <w:noWrap w:val="0"/>
                  <w:vAlign w:val="center"/>
                </w:tcPr>
                <w:p w14:paraId="2C552397">
                  <w:pPr>
                    <w:autoSpaceDE w:val="0"/>
                    <w:autoSpaceDN w:val="0"/>
                    <w:jc w:val="center"/>
                    <w:rPr>
                      <w:rFonts w:hint="default" w:ascii="Times New Roman" w:hAnsi="Times New Roman" w:eastAsia="宋体" w:cs="Times New Roman"/>
                      <w:color w:val="FF0000"/>
                      <w:kern w:val="0"/>
                      <w:sz w:val="21"/>
                      <w:szCs w:val="21"/>
                      <w:highlight w:val="none"/>
                      <w:lang w:bidi="zh-CN"/>
                    </w:rPr>
                  </w:pPr>
                  <w:r>
                    <w:rPr>
                      <w:rFonts w:hint="default" w:ascii="Times New Roman" w:hAnsi="Times New Roman" w:eastAsia="宋体" w:cs="Times New Roman"/>
                      <w:color w:val="FF0000"/>
                      <w:kern w:val="0"/>
                      <w:sz w:val="21"/>
                      <w:szCs w:val="21"/>
                      <w:highlight w:val="none"/>
                      <w:lang w:bidi="ar"/>
                    </w:rPr>
                    <w:t>900-041-49</w:t>
                  </w:r>
                </w:p>
              </w:tc>
              <w:tc>
                <w:tcPr>
                  <w:tcW w:w="746" w:type="dxa"/>
                  <w:tcBorders>
                    <w:top w:val="single" w:color="auto" w:sz="4" w:space="0"/>
                    <w:bottom w:val="single" w:color="auto" w:sz="12" w:space="0"/>
                  </w:tcBorders>
                  <w:shd w:val="clear" w:color="auto" w:fill="auto"/>
                  <w:noWrap w:val="0"/>
                  <w:vAlign w:val="center"/>
                </w:tcPr>
                <w:p w14:paraId="69904DD9">
                  <w:pPr>
                    <w:widowControl/>
                    <w:autoSpaceDE w:val="0"/>
                    <w:autoSpaceDN w:val="0"/>
                    <w:jc w:val="center"/>
                    <w:rPr>
                      <w:rFonts w:hint="default" w:ascii="Times New Roman" w:hAnsi="Times New Roman" w:eastAsia="宋体" w:cs="Times New Roman"/>
                      <w:color w:val="FF0000"/>
                      <w:kern w:val="2"/>
                      <w:sz w:val="21"/>
                      <w:szCs w:val="21"/>
                      <w:highlight w:val="none"/>
                      <w:lang w:val="en-US" w:eastAsia="zh-CN" w:bidi="zh-CN"/>
                    </w:rPr>
                  </w:pPr>
                  <w:r>
                    <w:rPr>
                      <w:rFonts w:hint="default" w:ascii="Times New Roman" w:hAnsi="Times New Roman" w:eastAsia="宋体" w:cs="Times New Roman"/>
                      <w:color w:val="FF0000"/>
                      <w:sz w:val="21"/>
                      <w:szCs w:val="21"/>
                      <w:highlight w:val="none"/>
                      <w:lang w:bidi="zh-CN"/>
                    </w:rPr>
                    <w:t>4个/a</w:t>
                  </w:r>
                </w:p>
              </w:tc>
              <w:tc>
                <w:tcPr>
                  <w:tcW w:w="746" w:type="dxa"/>
                  <w:tcBorders>
                    <w:bottom w:val="single" w:color="auto" w:sz="12" w:space="0"/>
                  </w:tcBorders>
                  <w:noWrap w:val="0"/>
                  <w:vAlign w:val="center"/>
                </w:tcPr>
                <w:p w14:paraId="1F402C53">
                  <w:pPr>
                    <w:widowControl/>
                    <w:autoSpaceDE w:val="0"/>
                    <w:autoSpaceDN w:val="0"/>
                    <w:jc w:val="center"/>
                    <w:rPr>
                      <w:rFonts w:hint="default" w:ascii="Times New Roman" w:hAnsi="Times New Roman" w:eastAsia="宋体" w:cs="Times New Roman"/>
                      <w:color w:val="FF0000"/>
                      <w:kern w:val="0"/>
                      <w:sz w:val="21"/>
                      <w:szCs w:val="21"/>
                      <w:highlight w:val="none"/>
                      <w:lang w:bidi="zh-CN"/>
                    </w:rPr>
                  </w:pPr>
                  <w:r>
                    <w:rPr>
                      <w:rFonts w:hint="default" w:ascii="Times New Roman" w:hAnsi="Times New Roman" w:eastAsia="宋体" w:cs="Times New Roman"/>
                      <w:color w:val="FF0000"/>
                      <w:sz w:val="21"/>
                      <w:szCs w:val="21"/>
                      <w:highlight w:val="none"/>
                      <w:lang w:bidi="zh-CN"/>
                    </w:rPr>
                    <w:t>设备保养</w:t>
                  </w:r>
                </w:p>
              </w:tc>
              <w:tc>
                <w:tcPr>
                  <w:tcW w:w="746" w:type="dxa"/>
                  <w:tcBorders>
                    <w:bottom w:val="single" w:color="auto" w:sz="12" w:space="0"/>
                  </w:tcBorders>
                  <w:noWrap w:val="0"/>
                  <w:vAlign w:val="center"/>
                </w:tcPr>
                <w:p w14:paraId="3BD8F251">
                  <w:pPr>
                    <w:autoSpaceDE w:val="0"/>
                    <w:autoSpaceDN w:val="0"/>
                    <w:jc w:val="center"/>
                    <w:rPr>
                      <w:rFonts w:hint="default" w:ascii="Times New Roman" w:hAnsi="Times New Roman" w:eastAsia="宋体" w:cs="Times New Roman"/>
                      <w:color w:val="FF0000"/>
                      <w:kern w:val="0"/>
                      <w:sz w:val="21"/>
                      <w:szCs w:val="21"/>
                      <w:highlight w:val="none"/>
                      <w:lang w:val="en-US" w:eastAsia="zh-CN" w:bidi="ar"/>
                    </w:rPr>
                  </w:pPr>
                  <w:r>
                    <w:rPr>
                      <w:rFonts w:hint="default" w:ascii="Times New Roman" w:hAnsi="Times New Roman" w:eastAsia="宋体" w:cs="Times New Roman"/>
                      <w:color w:val="FF0000"/>
                      <w:kern w:val="0"/>
                      <w:sz w:val="21"/>
                      <w:szCs w:val="21"/>
                      <w:highlight w:val="none"/>
                      <w:lang w:val="en-US" w:eastAsia="zh-CN" w:bidi="ar"/>
                    </w:rPr>
                    <w:t>固</w:t>
                  </w:r>
                </w:p>
              </w:tc>
              <w:tc>
                <w:tcPr>
                  <w:tcW w:w="746" w:type="dxa"/>
                  <w:tcBorders>
                    <w:bottom w:val="single" w:color="auto" w:sz="12" w:space="0"/>
                  </w:tcBorders>
                  <w:shd w:val="clear" w:color="auto" w:fill="auto"/>
                  <w:noWrap w:val="0"/>
                  <w:vAlign w:val="center"/>
                </w:tcPr>
                <w:p w14:paraId="7D8F7066">
                  <w:pPr>
                    <w:widowControl/>
                    <w:autoSpaceDE w:val="0"/>
                    <w:autoSpaceDN w:val="0"/>
                    <w:jc w:val="center"/>
                    <w:rPr>
                      <w:rFonts w:hint="default" w:ascii="Times New Roman" w:hAnsi="Times New Roman" w:eastAsia="宋体" w:cs="Times New Roman"/>
                      <w:color w:val="FF0000"/>
                      <w:kern w:val="2"/>
                      <w:sz w:val="21"/>
                      <w:szCs w:val="21"/>
                      <w:highlight w:val="none"/>
                      <w:lang w:val="en-US" w:eastAsia="zh-CN" w:bidi="zh-CN"/>
                    </w:rPr>
                  </w:pPr>
                  <w:r>
                    <w:rPr>
                      <w:rFonts w:hint="default" w:ascii="Times New Roman" w:hAnsi="Times New Roman" w:eastAsia="宋体" w:cs="Times New Roman"/>
                      <w:color w:val="FF0000"/>
                      <w:sz w:val="21"/>
                      <w:szCs w:val="21"/>
                      <w:highlight w:val="none"/>
                      <w:lang w:val="en-US" w:bidi="zh-CN"/>
                    </w:rPr>
                    <w:t>机油</w:t>
                  </w:r>
                </w:p>
              </w:tc>
              <w:tc>
                <w:tcPr>
                  <w:tcW w:w="746" w:type="dxa"/>
                  <w:tcBorders>
                    <w:bottom w:val="single" w:color="auto" w:sz="12" w:space="0"/>
                  </w:tcBorders>
                  <w:noWrap w:val="0"/>
                  <w:vAlign w:val="center"/>
                </w:tcPr>
                <w:p w14:paraId="2916F016">
                  <w:pPr>
                    <w:widowControl/>
                    <w:autoSpaceDE w:val="0"/>
                    <w:autoSpaceDN w:val="0"/>
                    <w:jc w:val="center"/>
                    <w:rPr>
                      <w:rFonts w:hint="default" w:ascii="Times New Roman" w:hAnsi="Times New Roman" w:eastAsia="宋体" w:cs="Times New Roman"/>
                      <w:color w:val="FF0000"/>
                      <w:sz w:val="21"/>
                      <w:szCs w:val="21"/>
                      <w:highlight w:val="none"/>
                      <w:lang w:val="en-US" w:bidi="zh-CN"/>
                    </w:rPr>
                  </w:pPr>
                  <w:r>
                    <w:rPr>
                      <w:rFonts w:hint="default" w:ascii="Times New Roman" w:hAnsi="Times New Roman" w:eastAsia="宋体" w:cs="Times New Roman"/>
                      <w:color w:val="FF0000"/>
                      <w:sz w:val="21"/>
                      <w:szCs w:val="21"/>
                      <w:highlight w:val="none"/>
                      <w:lang w:val="en-US" w:bidi="zh-CN"/>
                    </w:rPr>
                    <w:t>机油</w:t>
                  </w:r>
                </w:p>
              </w:tc>
              <w:tc>
                <w:tcPr>
                  <w:tcW w:w="746" w:type="dxa"/>
                  <w:tcBorders>
                    <w:bottom w:val="single" w:color="auto" w:sz="12" w:space="0"/>
                  </w:tcBorders>
                  <w:noWrap w:val="0"/>
                  <w:vAlign w:val="center"/>
                </w:tcPr>
                <w:p w14:paraId="4E4AFF46">
                  <w:pPr>
                    <w:widowControl/>
                    <w:autoSpaceDE w:val="0"/>
                    <w:autoSpaceDN w:val="0"/>
                    <w:jc w:val="center"/>
                    <w:rPr>
                      <w:rFonts w:hint="default" w:ascii="Times New Roman" w:hAnsi="Times New Roman" w:eastAsia="宋体" w:cs="Times New Roman"/>
                      <w:color w:val="FF0000"/>
                      <w:sz w:val="21"/>
                      <w:szCs w:val="21"/>
                      <w:highlight w:val="none"/>
                      <w:lang w:bidi="zh-CN"/>
                    </w:rPr>
                  </w:pPr>
                  <w:r>
                    <w:rPr>
                      <w:rFonts w:hint="default" w:ascii="Times New Roman" w:hAnsi="Times New Roman" w:eastAsia="宋体" w:cs="Times New Roman"/>
                      <w:color w:val="FF0000"/>
                      <w:sz w:val="21"/>
                      <w:szCs w:val="21"/>
                      <w:highlight w:val="none"/>
                      <w:lang w:val="en-US" w:bidi="zh-CN"/>
                    </w:rPr>
                    <w:t>1年</w:t>
                  </w:r>
                </w:p>
              </w:tc>
              <w:tc>
                <w:tcPr>
                  <w:tcW w:w="746" w:type="dxa"/>
                  <w:tcBorders>
                    <w:bottom w:val="single" w:color="auto" w:sz="12" w:space="0"/>
                  </w:tcBorders>
                  <w:shd w:val="clear" w:color="auto" w:fill="auto"/>
                  <w:noWrap w:val="0"/>
                  <w:vAlign w:val="center"/>
                </w:tcPr>
                <w:p w14:paraId="0378E54A">
                  <w:pPr>
                    <w:autoSpaceDE w:val="0"/>
                    <w:autoSpaceDN w:val="0"/>
                    <w:jc w:val="center"/>
                    <w:rPr>
                      <w:rFonts w:hint="default" w:ascii="Times New Roman" w:hAnsi="Times New Roman" w:eastAsia="宋体" w:cs="Times New Roman"/>
                      <w:color w:val="FF0000"/>
                      <w:kern w:val="0"/>
                      <w:sz w:val="21"/>
                      <w:szCs w:val="21"/>
                      <w:highlight w:val="none"/>
                      <w:lang w:val="en-US" w:eastAsia="zh-CN" w:bidi="ar"/>
                    </w:rPr>
                  </w:pPr>
                  <w:r>
                    <w:rPr>
                      <w:rFonts w:hint="default" w:ascii="Times New Roman" w:hAnsi="Times New Roman" w:eastAsia="宋体" w:cs="Times New Roman"/>
                      <w:color w:val="FF0000"/>
                      <w:kern w:val="0"/>
                      <w:sz w:val="21"/>
                      <w:szCs w:val="21"/>
                      <w:highlight w:val="none"/>
                      <w:lang w:bidi="zh-CN"/>
                    </w:rPr>
                    <w:t>T，I</w:t>
                  </w:r>
                </w:p>
              </w:tc>
              <w:tc>
                <w:tcPr>
                  <w:tcW w:w="754" w:type="dxa"/>
                  <w:vMerge w:val="continue"/>
                  <w:tcBorders>
                    <w:bottom w:val="single" w:color="auto" w:sz="12" w:space="0"/>
                  </w:tcBorders>
                  <w:noWrap w:val="0"/>
                  <w:vAlign w:val="center"/>
                </w:tcPr>
                <w:p w14:paraId="2C314BD0">
                  <w:pPr>
                    <w:widowControl/>
                    <w:autoSpaceDE w:val="0"/>
                    <w:autoSpaceDN w:val="0"/>
                    <w:jc w:val="center"/>
                    <w:rPr>
                      <w:rFonts w:hint="default" w:ascii="Times New Roman" w:hAnsi="Times New Roman" w:eastAsia="宋体" w:cs="Times New Roman"/>
                      <w:color w:val="FF0000"/>
                      <w:sz w:val="21"/>
                      <w:szCs w:val="21"/>
                      <w:highlight w:val="none"/>
                      <w:lang w:bidi="zh-CN"/>
                    </w:rPr>
                  </w:pPr>
                </w:p>
              </w:tc>
            </w:tr>
          </w:tbl>
          <w:p w14:paraId="60A7EC06">
            <w:pPr>
              <w:widowControl/>
              <w:spacing w:line="360" w:lineRule="auto"/>
              <w:ind w:firstLine="480" w:firstLineChars="200"/>
              <w:jc w:val="left"/>
              <w:rPr>
                <w:color w:val="auto"/>
                <w:highlight w:val="none"/>
              </w:rPr>
            </w:pPr>
            <w:r>
              <w:rPr>
                <w:color w:val="auto"/>
                <w:kern w:val="0"/>
                <w:sz w:val="24"/>
                <w:highlight w:val="none"/>
                <w:lang w:bidi="ar"/>
              </w:rPr>
              <w:t>（3）生活垃圾</w:t>
            </w:r>
          </w:p>
          <w:p w14:paraId="1D7D4C80">
            <w:pPr>
              <w:widowControl/>
              <w:spacing w:line="360" w:lineRule="auto"/>
              <w:ind w:firstLine="480" w:firstLineChars="200"/>
              <w:rPr>
                <w:color w:val="auto"/>
                <w:kern w:val="0"/>
                <w:sz w:val="24"/>
                <w:highlight w:val="none"/>
                <w:lang w:bidi="ar"/>
              </w:rPr>
            </w:pPr>
            <w:r>
              <w:rPr>
                <w:color w:val="auto"/>
                <w:kern w:val="0"/>
                <w:sz w:val="24"/>
                <w:highlight w:val="none"/>
                <w:lang w:bidi="ar"/>
              </w:rPr>
              <w:t>本项目员工定额为</w:t>
            </w:r>
            <w:r>
              <w:rPr>
                <w:rFonts w:hint="eastAsia"/>
                <w:color w:val="auto"/>
                <w:kern w:val="0"/>
                <w:sz w:val="24"/>
                <w:highlight w:val="none"/>
                <w:lang w:bidi="ar"/>
              </w:rPr>
              <w:t>6</w:t>
            </w:r>
            <w:r>
              <w:rPr>
                <w:color w:val="auto"/>
                <w:kern w:val="0"/>
                <w:sz w:val="24"/>
                <w:highlight w:val="none"/>
                <w:lang w:bidi="ar"/>
              </w:rPr>
              <w:t>人，生活垃圾按照0.5kg/人·d计算，</w:t>
            </w:r>
            <w:r>
              <w:rPr>
                <w:rFonts w:hint="eastAsia"/>
                <w:color w:val="auto"/>
                <w:kern w:val="0"/>
                <w:sz w:val="24"/>
                <w:highlight w:val="none"/>
                <w:lang w:val="en-US" w:eastAsia="zh-CN" w:bidi="ar"/>
              </w:rPr>
              <w:t>全年生产240天，</w:t>
            </w:r>
            <w:r>
              <w:rPr>
                <w:color w:val="auto"/>
                <w:kern w:val="0"/>
                <w:sz w:val="24"/>
                <w:highlight w:val="none"/>
                <w:lang w:bidi="ar"/>
              </w:rPr>
              <w:t>产生量为</w:t>
            </w:r>
            <w:r>
              <w:rPr>
                <w:rFonts w:hint="eastAsia"/>
                <w:color w:val="auto"/>
                <w:kern w:val="0"/>
                <w:sz w:val="24"/>
                <w:highlight w:val="none"/>
                <w:lang w:bidi="ar"/>
              </w:rPr>
              <w:t>3</w:t>
            </w:r>
            <w:r>
              <w:rPr>
                <w:color w:val="auto"/>
                <w:kern w:val="0"/>
                <w:sz w:val="24"/>
                <w:highlight w:val="none"/>
                <w:lang w:bidi="ar"/>
              </w:rPr>
              <w:t>kg/d</w:t>
            </w:r>
            <w:r>
              <w:rPr>
                <w:rFonts w:hint="eastAsia"/>
                <w:color w:val="auto"/>
                <w:kern w:val="0"/>
                <w:sz w:val="24"/>
                <w:highlight w:val="none"/>
                <w:lang w:eastAsia="zh-CN" w:bidi="ar"/>
              </w:rPr>
              <w:t>（</w:t>
            </w:r>
            <w:r>
              <w:rPr>
                <w:rFonts w:hint="eastAsia"/>
                <w:color w:val="auto"/>
                <w:kern w:val="0"/>
                <w:sz w:val="24"/>
                <w:highlight w:val="none"/>
                <w:lang w:bidi="ar"/>
              </w:rPr>
              <w:t>0.</w:t>
            </w:r>
            <w:r>
              <w:rPr>
                <w:rFonts w:hint="eastAsia"/>
                <w:color w:val="auto"/>
                <w:kern w:val="0"/>
                <w:sz w:val="24"/>
                <w:highlight w:val="none"/>
                <w:lang w:val="en-US" w:eastAsia="zh-CN" w:bidi="ar"/>
              </w:rPr>
              <w:t>72</w:t>
            </w:r>
            <w:r>
              <w:rPr>
                <w:color w:val="auto"/>
                <w:kern w:val="0"/>
                <w:sz w:val="24"/>
                <w:highlight w:val="none"/>
                <w:lang w:bidi="ar"/>
              </w:rPr>
              <w:t>t/a</w:t>
            </w:r>
            <w:r>
              <w:rPr>
                <w:rFonts w:hint="eastAsia"/>
                <w:color w:val="auto"/>
                <w:kern w:val="0"/>
                <w:sz w:val="24"/>
                <w:highlight w:val="none"/>
                <w:lang w:eastAsia="zh-CN" w:bidi="ar"/>
              </w:rPr>
              <w:t>）</w:t>
            </w:r>
            <w:r>
              <w:rPr>
                <w:color w:val="auto"/>
                <w:kern w:val="0"/>
                <w:sz w:val="24"/>
                <w:highlight w:val="none"/>
                <w:lang w:bidi="ar"/>
              </w:rPr>
              <w:t>，生活垃圾统一收集后交由环卫部门清运处理。</w:t>
            </w:r>
          </w:p>
          <w:p w14:paraId="587F2F05">
            <w:pPr>
              <w:widowControl/>
              <w:spacing w:line="360" w:lineRule="auto"/>
              <w:ind w:firstLine="480" w:firstLineChars="200"/>
              <w:jc w:val="left"/>
              <w:rPr>
                <w:color w:val="auto"/>
                <w:kern w:val="0"/>
                <w:sz w:val="24"/>
                <w:highlight w:val="none"/>
                <w:lang w:bidi="ar"/>
              </w:rPr>
            </w:pPr>
            <w:r>
              <w:rPr>
                <w:color w:val="auto"/>
                <w:kern w:val="0"/>
                <w:sz w:val="24"/>
                <w:highlight w:val="none"/>
                <w:lang w:bidi="ar"/>
              </w:rPr>
              <w:t>（4）固废产生及处置情况</w:t>
            </w:r>
          </w:p>
          <w:p w14:paraId="6A9705E0">
            <w:pPr>
              <w:widowControl/>
              <w:spacing w:line="360" w:lineRule="auto"/>
              <w:ind w:firstLine="480" w:firstLineChars="200"/>
              <w:jc w:val="left"/>
              <w:rPr>
                <w:color w:val="auto"/>
                <w:highlight w:val="none"/>
              </w:rPr>
            </w:pPr>
            <w:r>
              <w:rPr>
                <w:color w:val="auto"/>
                <w:kern w:val="0"/>
                <w:sz w:val="24"/>
                <w:highlight w:val="none"/>
                <w:lang w:bidi="ar"/>
              </w:rPr>
              <w:t>项目固体废物产生及处置情况见下表。</w:t>
            </w:r>
          </w:p>
          <w:p w14:paraId="4679C829">
            <w:pPr>
              <w:widowControl/>
              <w:jc w:val="center"/>
              <w:rPr>
                <w:color w:val="auto"/>
                <w:szCs w:val="21"/>
                <w:highlight w:val="none"/>
              </w:rPr>
            </w:pPr>
            <w:r>
              <w:rPr>
                <w:rFonts w:hint="eastAsia" w:ascii="宋体" w:hAnsi="宋体" w:cs="宋体"/>
                <w:b/>
                <w:bCs/>
                <w:color w:val="auto"/>
                <w:kern w:val="0"/>
                <w:szCs w:val="21"/>
                <w:highlight w:val="none"/>
                <w:lang w:bidi="ar"/>
              </w:rPr>
              <w:t>表</w:t>
            </w:r>
            <w:r>
              <w:rPr>
                <w:b/>
                <w:bCs/>
                <w:color w:val="auto"/>
                <w:kern w:val="0"/>
                <w:szCs w:val="21"/>
                <w:highlight w:val="none"/>
                <w:lang w:bidi="ar"/>
              </w:rPr>
              <w:t>4-</w:t>
            </w:r>
            <w:r>
              <w:rPr>
                <w:rFonts w:hint="eastAsia"/>
                <w:b/>
                <w:bCs/>
                <w:color w:val="auto"/>
                <w:kern w:val="0"/>
                <w:szCs w:val="21"/>
                <w:highlight w:val="none"/>
                <w:lang w:bidi="ar"/>
              </w:rPr>
              <w:t>1</w:t>
            </w:r>
            <w:r>
              <w:rPr>
                <w:rFonts w:hint="eastAsia"/>
                <w:b/>
                <w:bCs/>
                <w:color w:val="auto"/>
                <w:kern w:val="0"/>
                <w:szCs w:val="21"/>
                <w:highlight w:val="none"/>
                <w:lang w:val="en-US" w:eastAsia="zh-CN" w:bidi="ar"/>
              </w:rPr>
              <w:t>5</w:t>
            </w:r>
            <w:r>
              <w:rPr>
                <w:rFonts w:hint="eastAsia"/>
                <w:b/>
                <w:bCs/>
                <w:color w:val="auto"/>
                <w:kern w:val="0"/>
                <w:szCs w:val="21"/>
                <w:highlight w:val="none"/>
                <w:lang w:bidi="ar"/>
              </w:rPr>
              <w:t xml:space="preserve"> </w:t>
            </w:r>
            <w:r>
              <w:rPr>
                <w:b/>
                <w:bCs/>
                <w:color w:val="auto"/>
                <w:kern w:val="0"/>
                <w:szCs w:val="21"/>
                <w:highlight w:val="none"/>
                <w:lang w:bidi="ar"/>
              </w:rPr>
              <w:t xml:space="preserve"> </w:t>
            </w:r>
            <w:r>
              <w:rPr>
                <w:rFonts w:hint="eastAsia" w:ascii="宋体" w:hAnsi="宋体" w:cs="宋体"/>
                <w:b/>
                <w:bCs/>
                <w:color w:val="auto"/>
                <w:kern w:val="0"/>
                <w:szCs w:val="21"/>
                <w:highlight w:val="none"/>
                <w:lang w:bidi="ar"/>
              </w:rPr>
              <w:t>固体废物产生及处置情况一览表</w:t>
            </w:r>
          </w:p>
          <w:tbl>
            <w:tblPr>
              <w:tblStyle w:val="19"/>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70"/>
              <w:gridCol w:w="1108"/>
              <w:gridCol w:w="1476"/>
              <w:gridCol w:w="1108"/>
              <w:gridCol w:w="1058"/>
              <w:gridCol w:w="1926"/>
            </w:tblGrid>
            <w:tr w14:paraId="4919C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tcBorders>
                    <w:tl2br w:val="nil"/>
                    <w:tr2bl w:val="nil"/>
                  </w:tcBorders>
                  <w:vAlign w:val="center"/>
                </w:tcPr>
                <w:p w14:paraId="27DB1C5B">
                  <w:pPr>
                    <w:pStyle w:val="13"/>
                    <w:jc w:val="center"/>
                    <w:rPr>
                      <w:b/>
                      <w:bCs/>
                      <w:color w:val="auto"/>
                      <w:sz w:val="21"/>
                      <w:szCs w:val="21"/>
                      <w:highlight w:val="none"/>
                      <w:lang w:bidi="ar"/>
                    </w:rPr>
                  </w:pPr>
                  <w:r>
                    <w:rPr>
                      <w:b/>
                      <w:bCs/>
                      <w:color w:val="auto"/>
                      <w:sz w:val="21"/>
                      <w:szCs w:val="21"/>
                      <w:highlight w:val="none"/>
                      <w:lang w:bidi="ar"/>
                    </w:rPr>
                    <w:t>废物类别</w:t>
                  </w:r>
                </w:p>
              </w:tc>
              <w:tc>
                <w:tcPr>
                  <w:tcW w:w="1108" w:type="dxa"/>
                  <w:tcBorders>
                    <w:tl2br w:val="nil"/>
                    <w:tr2bl w:val="nil"/>
                  </w:tcBorders>
                  <w:vAlign w:val="center"/>
                </w:tcPr>
                <w:p w14:paraId="45B9026F">
                  <w:pPr>
                    <w:pStyle w:val="13"/>
                    <w:jc w:val="center"/>
                    <w:rPr>
                      <w:b/>
                      <w:bCs/>
                      <w:color w:val="auto"/>
                      <w:sz w:val="21"/>
                      <w:szCs w:val="21"/>
                      <w:highlight w:val="none"/>
                      <w:lang w:bidi="ar"/>
                    </w:rPr>
                  </w:pPr>
                  <w:r>
                    <w:rPr>
                      <w:b/>
                      <w:bCs/>
                      <w:color w:val="auto"/>
                      <w:sz w:val="21"/>
                      <w:szCs w:val="21"/>
                      <w:highlight w:val="none"/>
                      <w:lang w:bidi="ar"/>
                    </w:rPr>
                    <w:t>污染物</w:t>
                  </w:r>
                </w:p>
                <w:p w14:paraId="26B6DCE8">
                  <w:pPr>
                    <w:pStyle w:val="13"/>
                    <w:jc w:val="center"/>
                    <w:rPr>
                      <w:b/>
                      <w:bCs/>
                      <w:color w:val="auto"/>
                      <w:sz w:val="21"/>
                      <w:szCs w:val="21"/>
                      <w:highlight w:val="none"/>
                      <w:lang w:bidi="ar"/>
                    </w:rPr>
                  </w:pPr>
                  <w:r>
                    <w:rPr>
                      <w:b/>
                      <w:bCs/>
                      <w:color w:val="auto"/>
                      <w:sz w:val="21"/>
                      <w:szCs w:val="21"/>
                      <w:highlight w:val="none"/>
                      <w:lang w:bidi="ar"/>
                    </w:rPr>
                    <w:t>名称</w:t>
                  </w:r>
                </w:p>
              </w:tc>
              <w:tc>
                <w:tcPr>
                  <w:tcW w:w="1476" w:type="dxa"/>
                  <w:tcBorders>
                    <w:tl2br w:val="nil"/>
                    <w:tr2bl w:val="nil"/>
                  </w:tcBorders>
                  <w:vAlign w:val="center"/>
                </w:tcPr>
                <w:p w14:paraId="7A7CE7F1">
                  <w:pPr>
                    <w:pStyle w:val="13"/>
                    <w:jc w:val="center"/>
                    <w:rPr>
                      <w:b/>
                      <w:bCs/>
                      <w:color w:val="auto"/>
                      <w:sz w:val="21"/>
                      <w:szCs w:val="21"/>
                      <w:highlight w:val="none"/>
                      <w:lang w:bidi="ar"/>
                    </w:rPr>
                  </w:pPr>
                  <w:r>
                    <w:rPr>
                      <w:b/>
                      <w:bCs/>
                      <w:color w:val="auto"/>
                      <w:sz w:val="21"/>
                      <w:szCs w:val="21"/>
                      <w:highlight w:val="none"/>
                      <w:lang w:bidi="ar"/>
                    </w:rPr>
                    <w:t>废物代码</w:t>
                  </w:r>
                </w:p>
              </w:tc>
              <w:tc>
                <w:tcPr>
                  <w:tcW w:w="1108" w:type="dxa"/>
                  <w:tcBorders>
                    <w:tl2br w:val="nil"/>
                    <w:tr2bl w:val="nil"/>
                  </w:tcBorders>
                  <w:vAlign w:val="center"/>
                </w:tcPr>
                <w:p w14:paraId="5293F509">
                  <w:pPr>
                    <w:pStyle w:val="13"/>
                    <w:jc w:val="center"/>
                    <w:rPr>
                      <w:b/>
                      <w:bCs/>
                      <w:color w:val="auto"/>
                      <w:sz w:val="21"/>
                      <w:szCs w:val="21"/>
                      <w:highlight w:val="none"/>
                      <w:lang w:bidi="ar"/>
                    </w:rPr>
                  </w:pPr>
                  <w:r>
                    <w:rPr>
                      <w:b/>
                      <w:bCs/>
                      <w:color w:val="auto"/>
                      <w:sz w:val="21"/>
                      <w:szCs w:val="21"/>
                      <w:highlight w:val="none"/>
                      <w:lang w:bidi="ar"/>
                    </w:rPr>
                    <w:t>产生工序</w:t>
                  </w:r>
                </w:p>
              </w:tc>
              <w:tc>
                <w:tcPr>
                  <w:tcW w:w="1058" w:type="dxa"/>
                  <w:tcBorders>
                    <w:tl2br w:val="nil"/>
                    <w:tr2bl w:val="nil"/>
                  </w:tcBorders>
                  <w:vAlign w:val="center"/>
                </w:tcPr>
                <w:p w14:paraId="6CD543EF">
                  <w:pPr>
                    <w:pStyle w:val="13"/>
                    <w:jc w:val="center"/>
                    <w:rPr>
                      <w:b/>
                      <w:bCs/>
                      <w:color w:val="auto"/>
                      <w:sz w:val="21"/>
                      <w:szCs w:val="21"/>
                      <w:highlight w:val="none"/>
                      <w:lang w:bidi="ar"/>
                    </w:rPr>
                  </w:pPr>
                  <w:r>
                    <w:rPr>
                      <w:b/>
                      <w:bCs/>
                      <w:color w:val="auto"/>
                      <w:sz w:val="21"/>
                      <w:szCs w:val="21"/>
                      <w:highlight w:val="none"/>
                      <w:lang w:bidi="ar"/>
                    </w:rPr>
                    <w:t>产量（t/a）</w:t>
                  </w:r>
                </w:p>
              </w:tc>
              <w:tc>
                <w:tcPr>
                  <w:tcW w:w="1926" w:type="dxa"/>
                  <w:tcBorders>
                    <w:tl2br w:val="nil"/>
                    <w:tr2bl w:val="nil"/>
                  </w:tcBorders>
                  <w:vAlign w:val="center"/>
                </w:tcPr>
                <w:p w14:paraId="58E1D638">
                  <w:pPr>
                    <w:pStyle w:val="13"/>
                    <w:jc w:val="center"/>
                    <w:rPr>
                      <w:b/>
                      <w:bCs/>
                      <w:color w:val="auto"/>
                      <w:sz w:val="21"/>
                      <w:szCs w:val="21"/>
                      <w:highlight w:val="none"/>
                      <w:lang w:bidi="ar"/>
                    </w:rPr>
                  </w:pPr>
                  <w:r>
                    <w:rPr>
                      <w:b/>
                      <w:bCs/>
                      <w:color w:val="auto"/>
                      <w:sz w:val="21"/>
                      <w:szCs w:val="21"/>
                      <w:highlight w:val="none"/>
                      <w:lang w:bidi="ar"/>
                    </w:rPr>
                    <w:t>处置方式</w:t>
                  </w:r>
                </w:p>
              </w:tc>
            </w:tr>
            <w:tr w14:paraId="6AEB0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vMerge w:val="restart"/>
                  <w:tcBorders>
                    <w:tl2br w:val="nil"/>
                    <w:tr2bl w:val="nil"/>
                  </w:tcBorders>
                  <w:vAlign w:val="center"/>
                </w:tcPr>
                <w:p w14:paraId="6221758D">
                  <w:pPr>
                    <w:pStyle w:val="13"/>
                    <w:jc w:val="center"/>
                    <w:rPr>
                      <w:color w:val="auto"/>
                      <w:sz w:val="21"/>
                      <w:szCs w:val="21"/>
                      <w:highlight w:val="none"/>
                      <w:lang w:bidi="ar"/>
                    </w:rPr>
                  </w:pPr>
                  <w:r>
                    <w:rPr>
                      <w:color w:val="auto"/>
                      <w:sz w:val="21"/>
                      <w:szCs w:val="21"/>
                      <w:highlight w:val="none"/>
                      <w:lang w:bidi="ar"/>
                    </w:rPr>
                    <w:t>一般工业固废</w:t>
                  </w:r>
                </w:p>
              </w:tc>
              <w:tc>
                <w:tcPr>
                  <w:tcW w:w="1108" w:type="dxa"/>
                  <w:tcBorders>
                    <w:tl2br w:val="nil"/>
                    <w:tr2bl w:val="nil"/>
                  </w:tcBorders>
                  <w:vAlign w:val="center"/>
                </w:tcPr>
                <w:p w14:paraId="7CC6C761">
                  <w:pPr>
                    <w:widowControl/>
                    <w:jc w:val="center"/>
                    <w:rPr>
                      <w:color w:val="auto"/>
                      <w:kern w:val="0"/>
                      <w:szCs w:val="21"/>
                      <w:highlight w:val="none"/>
                      <w:lang w:bidi="ar"/>
                    </w:rPr>
                  </w:pPr>
                  <w:r>
                    <w:rPr>
                      <w:color w:val="auto"/>
                      <w:kern w:val="0"/>
                      <w:szCs w:val="21"/>
                      <w:highlight w:val="none"/>
                      <w:lang w:bidi="ar"/>
                    </w:rPr>
                    <w:t>除尘灰</w:t>
                  </w:r>
                </w:p>
              </w:tc>
              <w:tc>
                <w:tcPr>
                  <w:tcW w:w="1476" w:type="dxa"/>
                  <w:tcBorders>
                    <w:tl2br w:val="nil"/>
                    <w:tr2bl w:val="nil"/>
                  </w:tcBorders>
                  <w:vAlign w:val="center"/>
                </w:tcPr>
                <w:p w14:paraId="7CF738F9">
                  <w:pPr>
                    <w:widowControl/>
                    <w:jc w:val="center"/>
                    <w:rPr>
                      <w:rFonts w:hint="eastAsia"/>
                      <w:color w:val="auto"/>
                      <w:kern w:val="0"/>
                      <w:szCs w:val="21"/>
                      <w:highlight w:val="none"/>
                      <w:lang w:val="en-US" w:eastAsia="zh-CN" w:bidi="ar"/>
                    </w:rPr>
                  </w:pPr>
                  <w:r>
                    <w:rPr>
                      <w:rFonts w:hint="eastAsia"/>
                      <w:color w:val="auto"/>
                      <w:kern w:val="0"/>
                      <w:szCs w:val="21"/>
                      <w:highlight w:val="none"/>
                      <w:lang w:val="en-US" w:eastAsia="zh-CN" w:bidi="ar"/>
                    </w:rPr>
                    <w:t>SW59</w:t>
                  </w:r>
                </w:p>
                <w:p w14:paraId="7F7ACDF1">
                  <w:pPr>
                    <w:widowControl/>
                    <w:jc w:val="center"/>
                    <w:rPr>
                      <w:color w:val="auto"/>
                      <w:kern w:val="0"/>
                      <w:szCs w:val="21"/>
                      <w:highlight w:val="none"/>
                      <w:lang w:bidi="ar"/>
                    </w:rPr>
                  </w:pPr>
                  <w:r>
                    <w:rPr>
                      <w:rFonts w:hint="eastAsia"/>
                      <w:color w:val="auto"/>
                      <w:kern w:val="0"/>
                      <w:szCs w:val="21"/>
                      <w:highlight w:val="none"/>
                      <w:lang w:val="en-US" w:eastAsia="zh-CN" w:bidi="ar"/>
                    </w:rPr>
                    <w:t>900</w:t>
                  </w:r>
                  <w:r>
                    <w:rPr>
                      <w:color w:val="auto"/>
                      <w:kern w:val="0"/>
                      <w:szCs w:val="21"/>
                      <w:highlight w:val="none"/>
                      <w:lang w:bidi="ar"/>
                    </w:rPr>
                    <w:t>-0</w:t>
                  </w:r>
                  <w:r>
                    <w:rPr>
                      <w:rFonts w:hint="eastAsia"/>
                      <w:color w:val="auto"/>
                      <w:kern w:val="0"/>
                      <w:szCs w:val="21"/>
                      <w:highlight w:val="none"/>
                      <w:lang w:val="en-US" w:eastAsia="zh-CN" w:bidi="ar"/>
                    </w:rPr>
                    <w:t>9</w:t>
                  </w:r>
                  <w:r>
                    <w:rPr>
                      <w:color w:val="auto"/>
                      <w:kern w:val="0"/>
                      <w:szCs w:val="21"/>
                      <w:highlight w:val="none"/>
                      <w:lang w:bidi="ar"/>
                    </w:rPr>
                    <w:t>9-</w:t>
                  </w:r>
                  <w:r>
                    <w:rPr>
                      <w:rFonts w:hint="eastAsia"/>
                      <w:color w:val="auto"/>
                      <w:kern w:val="0"/>
                      <w:szCs w:val="21"/>
                      <w:highlight w:val="none"/>
                      <w:lang w:val="en-US" w:eastAsia="zh-CN" w:bidi="ar"/>
                    </w:rPr>
                    <w:t>S59</w:t>
                  </w:r>
                </w:p>
              </w:tc>
              <w:tc>
                <w:tcPr>
                  <w:tcW w:w="1108" w:type="dxa"/>
                  <w:tcBorders>
                    <w:tl2br w:val="nil"/>
                    <w:tr2bl w:val="nil"/>
                  </w:tcBorders>
                  <w:vAlign w:val="center"/>
                </w:tcPr>
                <w:p w14:paraId="62D93636">
                  <w:pPr>
                    <w:pStyle w:val="13"/>
                    <w:jc w:val="center"/>
                    <w:rPr>
                      <w:color w:val="auto"/>
                      <w:sz w:val="21"/>
                      <w:szCs w:val="21"/>
                      <w:highlight w:val="none"/>
                      <w:lang w:bidi="ar"/>
                    </w:rPr>
                  </w:pPr>
                  <w:r>
                    <w:rPr>
                      <w:rFonts w:hint="eastAsia"/>
                      <w:color w:val="auto"/>
                      <w:sz w:val="21"/>
                      <w:szCs w:val="21"/>
                      <w:highlight w:val="none"/>
                      <w:lang w:bidi="ar"/>
                    </w:rPr>
                    <w:t>袋式</w:t>
                  </w:r>
                  <w:r>
                    <w:rPr>
                      <w:color w:val="auto"/>
                      <w:sz w:val="21"/>
                      <w:szCs w:val="21"/>
                      <w:highlight w:val="none"/>
                      <w:lang w:bidi="ar"/>
                    </w:rPr>
                    <w:t>除尘器</w:t>
                  </w:r>
                </w:p>
              </w:tc>
              <w:tc>
                <w:tcPr>
                  <w:tcW w:w="1058" w:type="dxa"/>
                  <w:tcBorders>
                    <w:tl2br w:val="nil"/>
                    <w:tr2bl w:val="nil"/>
                  </w:tcBorders>
                  <w:vAlign w:val="center"/>
                </w:tcPr>
                <w:p w14:paraId="70194001">
                  <w:pPr>
                    <w:pStyle w:val="13"/>
                    <w:jc w:val="center"/>
                    <w:rPr>
                      <w:rFonts w:hint="default" w:eastAsia="宋体"/>
                      <w:color w:val="auto"/>
                      <w:sz w:val="21"/>
                      <w:szCs w:val="21"/>
                      <w:highlight w:val="none"/>
                      <w:lang w:val="en-US" w:eastAsia="zh-CN" w:bidi="ar"/>
                    </w:rPr>
                  </w:pPr>
                  <w:r>
                    <w:rPr>
                      <w:rFonts w:hint="eastAsia"/>
                      <w:color w:val="auto"/>
                      <w:sz w:val="21"/>
                      <w:szCs w:val="21"/>
                      <w:highlight w:val="none"/>
                      <w:lang w:eastAsia="zh-CN" w:bidi="ar"/>
                    </w:rPr>
                    <w:t>442.4</w:t>
                  </w:r>
                  <w:r>
                    <w:rPr>
                      <w:rFonts w:hint="eastAsia"/>
                      <w:color w:val="auto"/>
                      <w:sz w:val="21"/>
                      <w:szCs w:val="21"/>
                      <w:highlight w:val="none"/>
                      <w:lang w:val="en-US" w:eastAsia="zh-CN" w:bidi="ar"/>
                    </w:rPr>
                    <w:t>79</w:t>
                  </w:r>
                </w:p>
              </w:tc>
              <w:tc>
                <w:tcPr>
                  <w:tcW w:w="1926" w:type="dxa"/>
                  <w:tcBorders>
                    <w:tl2br w:val="nil"/>
                    <w:tr2bl w:val="nil"/>
                  </w:tcBorders>
                  <w:vAlign w:val="center"/>
                </w:tcPr>
                <w:p w14:paraId="7387E379">
                  <w:pPr>
                    <w:pStyle w:val="13"/>
                    <w:jc w:val="center"/>
                    <w:rPr>
                      <w:color w:val="auto"/>
                      <w:sz w:val="21"/>
                      <w:szCs w:val="21"/>
                      <w:highlight w:val="none"/>
                      <w:lang w:bidi="ar"/>
                    </w:rPr>
                  </w:pPr>
                  <w:r>
                    <w:rPr>
                      <w:rFonts w:hint="eastAsia"/>
                      <w:color w:val="auto"/>
                      <w:sz w:val="21"/>
                      <w:szCs w:val="21"/>
                      <w:highlight w:val="none"/>
                      <w:lang w:bidi="ar"/>
                    </w:rPr>
                    <w:t>统一收集到</w:t>
                  </w:r>
                  <w:r>
                    <w:rPr>
                      <w:rFonts w:hint="eastAsia"/>
                      <w:color w:val="auto"/>
                      <w:sz w:val="21"/>
                      <w:szCs w:val="21"/>
                      <w:highlight w:val="none"/>
                      <w:lang w:val="en-US" w:eastAsia="zh-CN" w:bidi="ar"/>
                    </w:rPr>
                    <w:t>成品库，随产品</w:t>
                  </w:r>
                  <w:r>
                    <w:rPr>
                      <w:rFonts w:hint="eastAsia"/>
                      <w:color w:val="auto"/>
                      <w:sz w:val="21"/>
                      <w:szCs w:val="21"/>
                      <w:highlight w:val="none"/>
                      <w:lang w:bidi="ar"/>
                    </w:rPr>
                    <w:t>外售综合利用</w:t>
                  </w:r>
                </w:p>
              </w:tc>
            </w:tr>
            <w:tr w14:paraId="38E69E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vMerge w:val="continue"/>
                  <w:tcBorders>
                    <w:tl2br w:val="nil"/>
                    <w:tr2bl w:val="nil"/>
                  </w:tcBorders>
                  <w:vAlign w:val="center"/>
                </w:tcPr>
                <w:p w14:paraId="46D82764">
                  <w:pPr>
                    <w:pStyle w:val="13"/>
                    <w:jc w:val="center"/>
                    <w:rPr>
                      <w:color w:val="auto"/>
                      <w:sz w:val="21"/>
                      <w:szCs w:val="21"/>
                      <w:highlight w:val="none"/>
                      <w:lang w:bidi="ar"/>
                    </w:rPr>
                  </w:pPr>
                </w:p>
              </w:tc>
              <w:tc>
                <w:tcPr>
                  <w:tcW w:w="1108" w:type="dxa"/>
                  <w:tcBorders>
                    <w:tl2br w:val="nil"/>
                    <w:tr2bl w:val="nil"/>
                  </w:tcBorders>
                  <w:vAlign w:val="center"/>
                </w:tcPr>
                <w:p w14:paraId="769C1D4F">
                  <w:pPr>
                    <w:widowControl/>
                    <w:jc w:val="center"/>
                    <w:rPr>
                      <w:color w:val="auto"/>
                      <w:kern w:val="0"/>
                      <w:szCs w:val="21"/>
                      <w:highlight w:val="none"/>
                      <w:lang w:bidi="ar"/>
                    </w:rPr>
                  </w:pPr>
                  <w:r>
                    <w:rPr>
                      <w:color w:val="auto"/>
                      <w:kern w:val="0"/>
                      <w:szCs w:val="21"/>
                      <w:highlight w:val="none"/>
                      <w:lang w:bidi="ar"/>
                    </w:rPr>
                    <w:t>废</w:t>
                  </w:r>
                  <w:r>
                    <w:rPr>
                      <w:rFonts w:hint="eastAsia"/>
                      <w:color w:val="auto"/>
                      <w:kern w:val="0"/>
                      <w:szCs w:val="21"/>
                      <w:highlight w:val="none"/>
                      <w:lang w:bidi="ar"/>
                    </w:rPr>
                    <w:t>布袋</w:t>
                  </w:r>
                </w:p>
              </w:tc>
              <w:tc>
                <w:tcPr>
                  <w:tcW w:w="1476" w:type="dxa"/>
                  <w:tcBorders>
                    <w:tl2br w:val="nil"/>
                    <w:tr2bl w:val="nil"/>
                  </w:tcBorders>
                  <w:vAlign w:val="center"/>
                </w:tcPr>
                <w:p w14:paraId="3CC7FB15">
                  <w:pPr>
                    <w:widowControl/>
                    <w:jc w:val="center"/>
                    <w:rPr>
                      <w:rFonts w:hint="eastAsia"/>
                      <w:color w:val="auto"/>
                      <w:kern w:val="0"/>
                      <w:szCs w:val="21"/>
                      <w:highlight w:val="none"/>
                      <w:lang w:val="en-US" w:eastAsia="zh-CN" w:bidi="ar"/>
                    </w:rPr>
                  </w:pPr>
                  <w:r>
                    <w:rPr>
                      <w:rFonts w:hint="eastAsia"/>
                      <w:color w:val="auto"/>
                      <w:kern w:val="0"/>
                      <w:szCs w:val="21"/>
                      <w:highlight w:val="none"/>
                      <w:lang w:val="en-US" w:eastAsia="zh-CN" w:bidi="ar"/>
                    </w:rPr>
                    <w:t>SW59</w:t>
                  </w:r>
                </w:p>
                <w:p w14:paraId="25F0D0FC">
                  <w:pPr>
                    <w:widowControl/>
                    <w:jc w:val="center"/>
                    <w:rPr>
                      <w:color w:val="auto"/>
                      <w:kern w:val="0"/>
                      <w:szCs w:val="21"/>
                      <w:highlight w:val="none"/>
                      <w:lang w:bidi="ar"/>
                    </w:rPr>
                  </w:pPr>
                  <w:r>
                    <w:rPr>
                      <w:rFonts w:hint="eastAsia"/>
                      <w:color w:val="auto"/>
                      <w:kern w:val="0"/>
                      <w:szCs w:val="21"/>
                      <w:highlight w:val="none"/>
                      <w:lang w:val="en-US" w:eastAsia="zh-CN" w:bidi="ar"/>
                    </w:rPr>
                    <w:t>900</w:t>
                  </w:r>
                  <w:r>
                    <w:rPr>
                      <w:color w:val="auto"/>
                      <w:kern w:val="0"/>
                      <w:szCs w:val="21"/>
                      <w:highlight w:val="none"/>
                      <w:lang w:bidi="ar"/>
                    </w:rPr>
                    <w:t>-009-</w:t>
                  </w:r>
                  <w:r>
                    <w:rPr>
                      <w:rFonts w:hint="eastAsia"/>
                      <w:color w:val="auto"/>
                      <w:kern w:val="0"/>
                      <w:szCs w:val="21"/>
                      <w:highlight w:val="none"/>
                      <w:lang w:val="en-US" w:eastAsia="zh-CN" w:bidi="ar"/>
                    </w:rPr>
                    <w:t>S59</w:t>
                  </w:r>
                </w:p>
              </w:tc>
              <w:tc>
                <w:tcPr>
                  <w:tcW w:w="1108" w:type="dxa"/>
                  <w:tcBorders>
                    <w:tl2br w:val="nil"/>
                    <w:tr2bl w:val="nil"/>
                  </w:tcBorders>
                  <w:vAlign w:val="center"/>
                </w:tcPr>
                <w:p w14:paraId="706877BC">
                  <w:pPr>
                    <w:pStyle w:val="13"/>
                    <w:jc w:val="center"/>
                    <w:rPr>
                      <w:color w:val="auto"/>
                      <w:sz w:val="21"/>
                      <w:szCs w:val="21"/>
                      <w:highlight w:val="none"/>
                      <w:lang w:bidi="ar"/>
                    </w:rPr>
                  </w:pPr>
                  <w:r>
                    <w:rPr>
                      <w:rFonts w:hint="eastAsia"/>
                      <w:color w:val="auto"/>
                      <w:sz w:val="21"/>
                      <w:szCs w:val="21"/>
                      <w:highlight w:val="none"/>
                      <w:lang w:bidi="ar"/>
                    </w:rPr>
                    <w:t>袋式</w:t>
                  </w:r>
                  <w:r>
                    <w:rPr>
                      <w:color w:val="auto"/>
                      <w:sz w:val="21"/>
                      <w:szCs w:val="21"/>
                      <w:highlight w:val="none"/>
                      <w:lang w:bidi="ar"/>
                    </w:rPr>
                    <w:t>除尘器</w:t>
                  </w:r>
                </w:p>
              </w:tc>
              <w:tc>
                <w:tcPr>
                  <w:tcW w:w="1058" w:type="dxa"/>
                  <w:tcBorders>
                    <w:tl2br w:val="nil"/>
                    <w:tr2bl w:val="nil"/>
                  </w:tcBorders>
                  <w:vAlign w:val="center"/>
                </w:tcPr>
                <w:p w14:paraId="323D3DD3">
                  <w:pPr>
                    <w:pStyle w:val="13"/>
                    <w:jc w:val="center"/>
                    <w:rPr>
                      <w:color w:val="auto"/>
                      <w:sz w:val="21"/>
                      <w:szCs w:val="21"/>
                      <w:highlight w:val="none"/>
                      <w:lang w:bidi="ar"/>
                    </w:rPr>
                  </w:pPr>
                  <w:r>
                    <w:rPr>
                      <w:color w:val="auto"/>
                      <w:sz w:val="21"/>
                      <w:szCs w:val="21"/>
                      <w:highlight w:val="none"/>
                      <w:lang w:bidi="ar"/>
                    </w:rPr>
                    <w:t>0.1</w:t>
                  </w:r>
                </w:p>
              </w:tc>
              <w:tc>
                <w:tcPr>
                  <w:tcW w:w="1926" w:type="dxa"/>
                  <w:tcBorders>
                    <w:tl2br w:val="nil"/>
                    <w:tr2bl w:val="nil"/>
                  </w:tcBorders>
                  <w:vAlign w:val="center"/>
                </w:tcPr>
                <w:p w14:paraId="41082C38">
                  <w:pPr>
                    <w:pStyle w:val="13"/>
                    <w:jc w:val="center"/>
                    <w:rPr>
                      <w:color w:val="auto"/>
                      <w:sz w:val="21"/>
                      <w:szCs w:val="21"/>
                      <w:highlight w:val="none"/>
                      <w:lang w:bidi="ar"/>
                    </w:rPr>
                  </w:pPr>
                  <w:r>
                    <w:rPr>
                      <w:color w:val="auto"/>
                      <w:sz w:val="21"/>
                      <w:szCs w:val="21"/>
                      <w:highlight w:val="none"/>
                      <w:lang w:bidi="ar"/>
                    </w:rPr>
                    <w:t>厂家定期更换回收</w:t>
                  </w:r>
                </w:p>
              </w:tc>
            </w:tr>
            <w:tr w14:paraId="0ABBCB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vMerge w:val="continue"/>
                  <w:tcBorders>
                    <w:tl2br w:val="nil"/>
                    <w:tr2bl w:val="nil"/>
                  </w:tcBorders>
                  <w:vAlign w:val="center"/>
                </w:tcPr>
                <w:p w14:paraId="15C520B9">
                  <w:pPr>
                    <w:pStyle w:val="13"/>
                    <w:jc w:val="center"/>
                    <w:rPr>
                      <w:color w:val="auto"/>
                      <w:sz w:val="21"/>
                      <w:szCs w:val="21"/>
                      <w:highlight w:val="none"/>
                      <w:lang w:bidi="ar"/>
                    </w:rPr>
                  </w:pPr>
                </w:p>
              </w:tc>
              <w:tc>
                <w:tcPr>
                  <w:tcW w:w="1108" w:type="dxa"/>
                  <w:tcBorders>
                    <w:tl2br w:val="nil"/>
                    <w:tr2bl w:val="nil"/>
                  </w:tcBorders>
                  <w:vAlign w:val="center"/>
                </w:tcPr>
                <w:p w14:paraId="6FD7E1D5">
                  <w:pPr>
                    <w:widowControl/>
                    <w:jc w:val="center"/>
                    <w:rPr>
                      <w:color w:val="auto"/>
                      <w:kern w:val="0"/>
                      <w:szCs w:val="21"/>
                      <w:highlight w:val="none"/>
                      <w:lang w:bidi="ar"/>
                    </w:rPr>
                  </w:pPr>
                  <w:r>
                    <w:rPr>
                      <w:color w:val="auto"/>
                      <w:kern w:val="0"/>
                      <w:szCs w:val="21"/>
                      <w:highlight w:val="none"/>
                      <w:lang w:bidi="ar"/>
                    </w:rPr>
                    <w:t>地面</w:t>
                  </w:r>
                </w:p>
                <w:p w14:paraId="04622D58">
                  <w:pPr>
                    <w:widowControl/>
                    <w:jc w:val="center"/>
                    <w:rPr>
                      <w:color w:val="auto"/>
                      <w:kern w:val="0"/>
                      <w:szCs w:val="21"/>
                      <w:highlight w:val="none"/>
                      <w:lang w:bidi="ar"/>
                    </w:rPr>
                  </w:pPr>
                  <w:r>
                    <w:rPr>
                      <w:color w:val="auto"/>
                      <w:kern w:val="0"/>
                      <w:szCs w:val="21"/>
                      <w:highlight w:val="none"/>
                      <w:lang w:bidi="ar"/>
                    </w:rPr>
                    <w:t>沉积灰</w:t>
                  </w:r>
                </w:p>
              </w:tc>
              <w:tc>
                <w:tcPr>
                  <w:tcW w:w="1476" w:type="dxa"/>
                  <w:tcBorders>
                    <w:tl2br w:val="nil"/>
                    <w:tr2bl w:val="nil"/>
                  </w:tcBorders>
                  <w:vAlign w:val="center"/>
                </w:tcPr>
                <w:p w14:paraId="61171C6D">
                  <w:pPr>
                    <w:widowControl/>
                    <w:jc w:val="center"/>
                    <w:rPr>
                      <w:rFonts w:hint="eastAsia"/>
                      <w:color w:val="auto"/>
                      <w:kern w:val="0"/>
                      <w:szCs w:val="21"/>
                      <w:highlight w:val="none"/>
                      <w:lang w:val="en-US" w:eastAsia="zh-CN" w:bidi="ar"/>
                    </w:rPr>
                  </w:pPr>
                  <w:r>
                    <w:rPr>
                      <w:rFonts w:hint="eastAsia"/>
                      <w:color w:val="auto"/>
                      <w:kern w:val="0"/>
                      <w:szCs w:val="21"/>
                      <w:highlight w:val="none"/>
                      <w:lang w:val="en-US" w:eastAsia="zh-CN" w:bidi="ar"/>
                    </w:rPr>
                    <w:t>SW59</w:t>
                  </w:r>
                </w:p>
                <w:p w14:paraId="58502797">
                  <w:pPr>
                    <w:widowControl/>
                    <w:jc w:val="center"/>
                    <w:rPr>
                      <w:color w:val="auto"/>
                      <w:kern w:val="0"/>
                      <w:szCs w:val="21"/>
                      <w:highlight w:val="none"/>
                      <w:lang w:bidi="ar"/>
                    </w:rPr>
                  </w:pPr>
                  <w:r>
                    <w:rPr>
                      <w:rFonts w:hint="eastAsia"/>
                      <w:color w:val="auto"/>
                      <w:kern w:val="0"/>
                      <w:szCs w:val="21"/>
                      <w:highlight w:val="none"/>
                      <w:lang w:val="en-US" w:eastAsia="zh-CN" w:bidi="ar"/>
                    </w:rPr>
                    <w:t>900</w:t>
                  </w:r>
                  <w:r>
                    <w:rPr>
                      <w:color w:val="auto"/>
                      <w:kern w:val="0"/>
                      <w:szCs w:val="21"/>
                      <w:highlight w:val="none"/>
                      <w:lang w:bidi="ar"/>
                    </w:rPr>
                    <w:t>-0</w:t>
                  </w:r>
                  <w:r>
                    <w:rPr>
                      <w:rFonts w:hint="eastAsia"/>
                      <w:color w:val="auto"/>
                      <w:kern w:val="0"/>
                      <w:szCs w:val="21"/>
                      <w:highlight w:val="none"/>
                      <w:lang w:val="en-US" w:eastAsia="zh-CN" w:bidi="ar"/>
                    </w:rPr>
                    <w:t>9</w:t>
                  </w:r>
                  <w:r>
                    <w:rPr>
                      <w:color w:val="auto"/>
                      <w:kern w:val="0"/>
                      <w:szCs w:val="21"/>
                      <w:highlight w:val="none"/>
                      <w:lang w:bidi="ar"/>
                    </w:rPr>
                    <w:t>9-</w:t>
                  </w:r>
                  <w:r>
                    <w:rPr>
                      <w:rFonts w:hint="eastAsia"/>
                      <w:color w:val="auto"/>
                      <w:kern w:val="0"/>
                      <w:szCs w:val="21"/>
                      <w:highlight w:val="none"/>
                      <w:lang w:val="en-US" w:eastAsia="zh-CN" w:bidi="ar"/>
                    </w:rPr>
                    <w:t>S59</w:t>
                  </w:r>
                </w:p>
              </w:tc>
              <w:tc>
                <w:tcPr>
                  <w:tcW w:w="1108" w:type="dxa"/>
                  <w:tcBorders>
                    <w:tl2br w:val="nil"/>
                    <w:tr2bl w:val="nil"/>
                  </w:tcBorders>
                  <w:vAlign w:val="center"/>
                </w:tcPr>
                <w:p w14:paraId="7FC0CC7D">
                  <w:pPr>
                    <w:pStyle w:val="13"/>
                    <w:jc w:val="center"/>
                    <w:rPr>
                      <w:color w:val="auto"/>
                      <w:sz w:val="21"/>
                      <w:szCs w:val="21"/>
                      <w:highlight w:val="none"/>
                      <w:lang w:bidi="ar"/>
                    </w:rPr>
                  </w:pPr>
                  <w:r>
                    <w:rPr>
                      <w:color w:val="auto"/>
                      <w:sz w:val="21"/>
                      <w:szCs w:val="21"/>
                      <w:highlight w:val="none"/>
                      <w:lang w:bidi="ar"/>
                    </w:rPr>
                    <w:t>粉尘沉降</w:t>
                  </w:r>
                </w:p>
              </w:tc>
              <w:tc>
                <w:tcPr>
                  <w:tcW w:w="1058" w:type="dxa"/>
                  <w:tcBorders>
                    <w:tl2br w:val="nil"/>
                    <w:tr2bl w:val="nil"/>
                  </w:tcBorders>
                  <w:vAlign w:val="center"/>
                </w:tcPr>
                <w:p w14:paraId="222EE375">
                  <w:pPr>
                    <w:pStyle w:val="13"/>
                    <w:jc w:val="center"/>
                    <w:rPr>
                      <w:rFonts w:hint="default" w:eastAsia="宋体"/>
                      <w:color w:val="auto"/>
                      <w:sz w:val="21"/>
                      <w:szCs w:val="21"/>
                      <w:highlight w:val="none"/>
                      <w:lang w:val="en-US" w:eastAsia="zh-CN" w:bidi="ar"/>
                    </w:rPr>
                  </w:pPr>
                  <w:r>
                    <w:rPr>
                      <w:rFonts w:hint="eastAsia"/>
                      <w:color w:val="auto"/>
                      <w:sz w:val="21"/>
                      <w:szCs w:val="21"/>
                      <w:highlight w:val="none"/>
                      <w:lang w:val="en-US" w:eastAsia="zh-CN" w:bidi="ar"/>
                    </w:rPr>
                    <w:t>54.536</w:t>
                  </w:r>
                </w:p>
              </w:tc>
              <w:tc>
                <w:tcPr>
                  <w:tcW w:w="1926" w:type="dxa"/>
                  <w:tcBorders>
                    <w:tl2br w:val="nil"/>
                    <w:tr2bl w:val="nil"/>
                  </w:tcBorders>
                  <w:vAlign w:val="center"/>
                </w:tcPr>
                <w:p w14:paraId="6D58C0A6">
                  <w:pPr>
                    <w:pStyle w:val="13"/>
                    <w:jc w:val="center"/>
                    <w:rPr>
                      <w:color w:val="auto"/>
                      <w:sz w:val="21"/>
                      <w:szCs w:val="21"/>
                      <w:highlight w:val="none"/>
                      <w:lang w:bidi="ar"/>
                    </w:rPr>
                  </w:pPr>
                  <w:r>
                    <w:rPr>
                      <w:rFonts w:hint="eastAsia"/>
                      <w:color w:val="auto"/>
                      <w:sz w:val="21"/>
                      <w:szCs w:val="21"/>
                      <w:highlight w:val="none"/>
                      <w:lang w:bidi="ar"/>
                    </w:rPr>
                    <w:t>统一收集到</w:t>
                  </w:r>
                  <w:r>
                    <w:rPr>
                      <w:rFonts w:hint="eastAsia"/>
                      <w:color w:val="auto"/>
                      <w:sz w:val="21"/>
                      <w:szCs w:val="21"/>
                      <w:highlight w:val="none"/>
                      <w:lang w:val="en-US" w:eastAsia="zh-CN" w:bidi="ar"/>
                    </w:rPr>
                    <w:t>成品库，随产品</w:t>
                  </w:r>
                  <w:r>
                    <w:rPr>
                      <w:rFonts w:hint="eastAsia"/>
                      <w:color w:val="auto"/>
                      <w:sz w:val="21"/>
                      <w:szCs w:val="21"/>
                      <w:highlight w:val="none"/>
                      <w:lang w:bidi="ar"/>
                    </w:rPr>
                    <w:t>外售综合利用</w:t>
                  </w:r>
                </w:p>
              </w:tc>
            </w:tr>
            <w:tr w14:paraId="58F6D4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vMerge w:val="continue"/>
                  <w:tcBorders>
                    <w:tl2br w:val="nil"/>
                    <w:tr2bl w:val="nil"/>
                  </w:tcBorders>
                  <w:vAlign w:val="center"/>
                </w:tcPr>
                <w:p w14:paraId="2243BD9F">
                  <w:pPr>
                    <w:pStyle w:val="13"/>
                    <w:jc w:val="center"/>
                    <w:rPr>
                      <w:color w:val="auto"/>
                      <w:sz w:val="21"/>
                      <w:szCs w:val="21"/>
                      <w:highlight w:val="none"/>
                      <w:lang w:bidi="ar"/>
                    </w:rPr>
                  </w:pPr>
                </w:p>
              </w:tc>
              <w:tc>
                <w:tcPr>
                  <w:tcW w:w="1108" w:type="dxa"/>
                  <w:tcBorders>
                    <w:tl2br w:val="nil"/>
                    <w:tr2bl w:val="nil"/>
                  </w:tcBorders>
                  <w:vAlign w:val="center"/>
                </w:tcPr>
                <w:p w14:paraId="2E88F36E">
                  <w:pPr>
                    <w:widowControl/>
                    <w:jc w:val="center"/>
                    <w:rPr>
                      <w:rFonts w:hint="default" w:eastAsia="宋体"/>
                      <w:color w:val="FF0000"/>
                      <w:kern w:val="0"/>
                      <w:szCs w:val="21"/>
                      <w:highlight w:val="none"/>
                      <w:lang w:val="en-US" w:eastAsia="zh-CN" w:bidi="ar"/>
                    </w:rPr>
                  </w:pPr>
                  <w:r>
                    <w:rPr>
                      <w:rFonts w:hint="eastAsia"/>
                      <w:color w:val="FF0000"/>
                      <w:kern w:val="0"/>
                      <w:szCs w:val="21"/>
                      <w:highlight w:val="none"/>
                      <w:lang w:val="en-US" w:eastAsia="zh-CN" w:bidi="ar"/>
                    </w:rPr>
                    <w:t>沉淀池泥渣</w:t>
                  </w:r>
                </w:p>
              </w:tc>
              <w:tc>
                <w:tcPr>
                  <w:tcW w:w="1476" w:type="dxa"/>
                  <w:tcBorders>
                    <w:tl2br w:val="nil"/>
                    <w:tr2bl w:val="nil"/>
                  </w:tcBorders>
                  <w:vAlign w:val="center"/>
                </w:tcPr>
                <w:p w14:paraId="571CE0DD">
                  <w:pPr>
                    <w:widowControl/>
                    <w:jc w:val="center"/>
                    <w:rPr>
                      <w:rFonts w:hint="eastAsia"/>
                      <w:color w:val="FF0000"/>
                      <w:kern w:val="0"/>
                      <w:szCs w:val="21"/>
                      <w:highlight w:val="none"/>
                      <w:lang w:val="en-US" w:eastAsia="zh-CN" w:bidi="ar"/>
                    </w:rPr>
                  </w:pPr>
                  <w:r>
                    <w:rPr>
                      <w:rFonts w:hint="eastAsia"/>
                      <w:color w:val="FF0000"/>
                      <w:kern w:val="0"/>
                      <w:szCs w:val="21"/>
                      <w:highlight w:val="none"/>
                      <w:lang w:val="en-US" w:eastAsia="zh-CN" w:bidi="ar"/>
                    </w:rPr>
                    <w:t>SW59</w:t>
                  </w:r>
                </w:p>
                <w:p w14:paraId="14FCF711">
                  <w:pPr>
                    <w:widowControl/>
                    <w:jc w:val="center"/>
                    <w:rPr>
                      <w:rFonts w:hint="eastAsia"/>
                      <w:color w:val="FF0000"/>
                      <w:kern w:val="0"/>
                      <w:szCs w:val="21"/>
                      <w:highlight w:val="none"/>
                      <w:lang w:val="en-US" w:eastAsia="zh-CN" w:bidi="ar"/>
                    </w:rPr>
                  </w:pPr>
                  <w:r>
                    <w:rPr>
                      <w:rFonts w:hint="eastAsia"/>
                      <w:color w:val="FF0000"/>
                      <w:kern w:val="0"/>
                      <w:szCs w:val="21"/>
                      <w:highlight w:val="none"/>
                      <w:lang w:val="en-US" w:eastAsia="zh-CN" w:bidi="ar"/>
                    </w:rPr>
                    <w:t>900</w:t>
                  </w:r>
                  <w:r>
                    <w:rPr>
                      <w:color w:val="FF0000"/>
                      <w:kern w:val="0"/>
                      <w:szCs w:val="21"/>
                      <w:highlight w:val="none"/>
                      <w:lang w:bidi="ar"/>
                    </w:rPr>
                    <w:t>-0</w:t>
                  </w:r>
                  <w:r>
                    <w:rPr>
                      <w:rFonts w:hint="eastAsia"/>
                      <w:color w:val="FF0000"/>
                      <w:kern w:val="0"/>
                      <w:szCs w:val="21"/>
                      <w:highlight w:val="none"/>
                      <w:lang w:val="en-US" w:eastAsia="zh-CN" w:bidi="ar"/>
                    </w:rPr>
                    <w:t>9</w:t>
                  </w:r>
                  <w:r>
                    <w:rPr>
                      <w:color w:val="FF0000"/>
                      <w:kern w:val="0"/>
                      <w:szCs w:val="21"/>
                      <w:highlight w:val="none"/>
                      <w:lang w:bidi="ar"/>
                    </w:rPr>
                    <w:t>9-</w:t>
                  </w:r>
                  <w:r>
                    <w:rPr>
                      <w:rFonts w:hint="eastAsia"/>
                      <w:color w:val="FF0000"/>
                      <w:kern w:val="0"/>
                      <w:szCs w:val="21"/>
                      <w:highlight w:val="none"/>
                      <w:lang w:val="en-US" w:eastAsia="zh-CN" w:bidi="ar"/>
                    </w:rPr>
                    <w:t>S59</w:t>
                  </w:r>
                </w:p>
              </w:tc>
              <w:tc>
                <w:tcPr>
                  <w:tcW w:w="1108" w:type="dxa"/>
                  <w:tcBorders>
                    <w:tl2br w:val="nil"/>
                    <w:tr2bl w:val="nil"/>
                  </w:tcBorders>
                  <w:vAlign w:val="center"/>
                </w:tcPr>
                <w:p w14:paraId="22CFBCF8">
                  <w:pPr>
                    <w:pStyle w:val="13"/>
                    <w:jc w:val="center"/>
                    <w:rPr>
                      <w:rFonts w:hint="default" w:eastAsia="宋体"/>
                      <w:color w:val="FF0000"/>
                      <w:sz w:val="21"/>
                      <w:szCs w:val="21"/>
                      <w:highlight w:val="none"/>
                      <w:lang w:val="en-US" w:eastAsia="zh-CN" w:bidi="ar"/>
                    </w:rPr>
                  </w:pPr>
                  <w:r>
                    <w:rPr>
                      <w:rFonts w:hint="eastAsia"/>
                      <w:color w:val="FF0000"/>
                      <w:sz w:val="21"/>
                      <w:szCs w:val="21"/>
                      <w:highlight w:val="none"/>
                      <w:lang w:val="en-US" w:eastAsia="zh-CN" w:bidi="ar"/>
                    </w:rPr>
                    <w:t>车辆清洗</w:t>
                  </w:r>
                </w:p>
              </w:tc>
              <w:tc>
                <w:tcPr>
                  <w:tcW w:w="1058" w:type="dxa"/>
                  <w:tcBorders>
                    <w:tl2br w:val="nil"/>
                    <w:tr2bl w:val="nil"/>
                  </w:tcBorders>
                  <w:vAlign w:val="center"/>
                </w:tcPr>
                <w:p w14:paraId="0BC2342F">
                  <w:pPr>
                    <w:pStyle w:val="13"/>
                    <w:jc w:val="center"/>
                    <w:rPr>
                      <w:rFonts w:hint="default"/>
                      <w:color w:val="FF0000"/>
                      <w:sz w:val="21"/>
                      <w:szCs w:val="21"/>
                      <w:highlight w:val="none"/>
                      <w:lang w:val="en-US" w:eastAsia="zh-CN" w:bidi="ar"/>
                    </w:rPr>
                  </w:pPr>
                  <w:r>
                    <w:rPr>
                      <w:rFonts w:hint="eastAsia"/>
                      <w:color w:val="FF0000"/>
                      <w:sz w:val="21"/>
                      <w:szCs w:val="21"/>
                      <w:highlight w:val="none"/>
                      <w:lang w:val="en-US" w:eastAsia="zh-CN" w:bidi="ar"/>
                    </w:rPr>
                    <w:t>0.025</w:t>
                  </w:r>
                </w:p>
              </w:tc>
              <w:tc>
                <w:tcPr>
                  <w:tcW w:w="1926" w:type="dxa"/>
                  <w:tcBorders>
                    <w:tl2br w:val="nil"/>
                    <w:tr2bl w:val="nil"/>
                  </w:tcBorders>
                  <w:vAlign w:val="center"/>
                </w:tcPr>
                <w:p w14:paraId="2EB24877">
                  <w:pPr>
                    <w:pStyle w:val="13"/>
                    <w:jc w:val="center"/>
                    <w:rPr>
                      <w:rFonts w:hint="eastAsia"/>
                      <w:color w:val="FF0000"/>
                      <w:sz w:val="21"/>
                      <w:szCs w:val="21"/>
                      <w:highlight w:val="none"/>
                      <w:lang w:bidi="ar"/>
                    </w:rPr>
                  </w:pPr>
                  <w:r>
                    <w:rPr>
                      <w:rFonts w:hint="eastAsia"/>
                      <w:color w:val="FF0000"/>
                      <w:sz w:val="21"/>
                      <w:szCs w:val="21"/>
                      <w:highlight w:val="none"/>
                      <w:lang w:val="en-US" w:eastAsia="zh-CN" w:bidi="ar"/>
                    </w:rPr>
                    <w:t>沥水后</w:t>
                  </w:r>
                  <w:r>
                    <w:rPr>
                      <w:rFonts w:hint="eastAsia"/>
                      <w:color w:val="FF0000"/>
                      <w:sz w:val="21"/>
                      <w:szCs w:val="21"/>
                      <w:highlight w:val="none"/>
                      <w:lang w:bidi="ar"/>
                    </w:rPr>
                    <w:t>统一收集到</w:t>
                  </w:r>
                  <w:r>
                    <w:rPr>
                      <w:rFonts w:hint="eastAsia"/>
                      <w:color w:val="FF0000"/>
                      <w:sz w:val="21"/>
                      <w:szCs w:val="21"/>
                      <w:highlight w:val="none"/>
                      <w:lang w:val="en-US" w:eastAsia="zh-CN" w:bidi="ar"/>
                    </w:rPr>
                    <w:t>成品库，随产品</w:t>
                  </w:r>
                  <w:r>
                    <w:rPr>
                      <w:rFonts w:hint="eastAsia"/>
                      <w:color w:val="FF0000"/>
                      <w:sz w:val="21"/>
                      <w:szCs w:val="21"/>
                      <w:highlight w:val="none"/>
                      <w:lang w:bidi="ar"/>
                    </w:rPr>
                    <w:t>外售综合利用</w:t>
                  </w:r>
                </w:p>
              </w:tc>
            </w:tr>
            <w:tr w14:paraId="03C63AB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vMerge w:val="restart"/>
                  <w:tcBorders>
                    <w:tl2br w:val="nil"/>
                    <w:tr2bl w:val="nil"/>
                  </w:tcBorders>
                  <w:vAlign w:val="center"/>
                </w:tcPr>
                <w:p w14:paraId="5004F535">
                  <w:pPr>
                    <w:pStyle w:val="13"/>
                    <w:jc w:val="center"/>
                    <w:rPr>
                      <w:color w:val="auto"/>
                      <w:sz w:val="21"/>
                      <w:szCs w:val="21"/>
                      <w:highlight w:val="none"/>
                      <w:lang w:bidi="ar"/>
                    </w:rPr>
                  </w:pPr>
                  <w:r>
                    <w:rPr>
                      <w:color w:val="auto"/>
                      <w:sz w:val="21"/>
                      <w:szCs w:val="21"/>
                      <w:highlight w:val="none"/>
                      <w:lang w:bidi="ar"/>
                    </w:rPr>
                    <w:t>危险废物</w:t>
                  </w:r>
                </w:p>
              </w:tc>
              <w:tc>
                <w:tcPr>
                  <w:tcW w:w="1108" w:type="dxa"/>
                  <w:tcBorders>
                    <w:tl2br w:val="nil"/>
                    <w:tr2bl w:val="nil"/>
                  </w:tcBorders>
                  <w:vAlign w:val="center"/>
                </w:tcPr>
                <w:p w14:paraId="5466CBA9">
                  <w:pPr>
                    <w:widowControl/>
                    <w:jc w:val="center"/>
                    <w:rPr>
                      <w:color w:val="auto"/>
                      <w:kern w:val="0"/>
                      <w:szCs w:val="21"/>
                      <w:highlight w:val="none"/>
                      <w:lang w:bidi="ar"/>
                    </w:rPr>
                  </w:pPr>
                  <w:r>
                    <w:rPr>
                      <w:color w:val="auto"/>
                      <w:kern w:val="0"/>
                      <w:szCs w:val="21"/>
                      <w:highlight w:val="none"/>
                      <w:lang w:bidi="ar"/>
                    </w:rPr>
                    <w:t>废</w:t>
                  </w:r>
                  <w:r>
                    <w:rPr>
                      <w:rFonts w:hint="eastAsia"/>
                      <w:color w:val="auto"/>
                      <w:kern w:val="0"/>
                      <w:szCs w:val="21"/>
                      <w:highlight w:val="none"/>
                      <w:lang w:bidi="ar"/>
                    </w:rPr>
                    <w:t>润滑油</w:t>
                  </w:r>
                </w:p>
              </w:tc>
              <w:tc>
                <w:tcPr>
                  <w:tcW w:w="1476" w:type="dxa"/>
                  <w:tcBorders>
                    <w:tl2br w:val="nil"/>
                    <w:tr2bl w:val="nil"/>
                  </w:tcBorders>
                  <w:vAlign w:val="center"/>
                </w:tcPr>
                <w:p w14:paraId="10D164A6">
                  <w:pPr>
                    <w:widowControl/>
                    <w:jc w:val="center"/>
                    <w:rPr>
                      <w:color w:val="auto"/>
                      <w:szCs w:val="21"/>
                      <w:highlight w:val="none"/>
                    </w:rPr>
                  </w:pPr>
                  <w:r>
                    <w:rPr>
                      <w:color w:val="auto"/>
                      <w:kern w:val="0"/>
                      <w:szCs w:val="21"/>
                      <w:highlight w:val="none"/>
                      <w:lang w:bidi="ar"/>
                    </w:rPr>
                    <w:t>HW08</w:t>
                  </w:r>
                </w:p>
                <w:p w14:paraId="4965FE52">
                  <w:pPr>
                    <w:widowControl/>
                    <w:jc w:val="center"/>
                    <w:rPr>
                      <w:color w:val="auto"/>
                      <w:kern w:val="0"/>
                      <w:szCs w:val="21"/>
                      <w:highlight w:val="none"/>
                      <w:lang w:bidi="ar"/>
                    </w:rPr>
                  </w:pPr>
                  <w:r>
                    <w:rPr>
                      <w:color w:val="auto"/>
                      <w:kern w:val="0"/>
                      <w:szCs w:val="21"/>
                      <w:highlight w:val="none"/>
                      <w:lang w:bidi="ar"/>
                    </w:rPr>
                    <w:t>900-21</w:t>
                  </w:r>
                  <w:r>
                    <w:rPr>
                      <w:rFonts w:hint="eastAsia"/>
                      <w:color w:val="auto"/>
                      <w:kern w:val="0"/>
                      <w:szCs w:val="21"/>
                      <w:highlight w:val="none"/>
                      <w:lang w:val="en-US" w:eastAsia="zh-CN" w:bidi="ar"/>
                    </w:rPr>
                    <w:t>4</w:t>
                  </w:r>
                  <w:r>
                    <w:rPr>
                      <w:color w:val="auto"/>
                      <w:kern w:val="0"/>
                      <w:szCs w:val="21"/>
                      <w:highlight w:val="none"/>
                      <w:lang w:bidi="ar"/>
                    </w:rPr>
                    <w:t>-08</w:t>
                  </w:r>
                </w:p>
              </w:tc>
              <w:tc>
                <w:tcPr>
                  <w:tcW w:w="1108" w:type="dxa"/>
                  <w:vMerge w:val="restart"/>
                  <w:tcBorders>
                    <w:tl2br w:val="nil"/>
                    <w:tr2bl w:val="nil"/>
                  </w:tcBorders>
                  <w:vAlign w:val="center"/>
                </w:tcPr>
                <w:p w14:paraId="1FED58EA">
                  <w:pPr>
                    <w:pStyle w:val="13"/>
                    <w:jc w:val="center"/>
                    <w:rPr>
                      <w:color w:val="auto"/>
                      <w:sz w:val="21"/>
                      <w:szCs w:val="21"/>
                      <w:highlight w:val="none"/>
                      <w:lang w:bidi="ar"/>
                    </w:rPr>
                  </w:pPr>
                  <w:r>
                    <w:rPr>
                      <w:color w:val="auto"/>
                      <w:sz w:val="21"/>
                      <w:szCs w:val="21"/>
                      <w:highlight w:val="none"/>
                      <w:lang w:bidi="ar"/>
                    </w:rPr>
                    <w:t>设备机修</w:t>
                  </w:r>
                </w:p>
              </w:tc>
              <w:tc>
                <w:tcPr>
                  <w:tcW w:w="1058" w:type="dxa"/>
                  <w:tcBorders>
                    <w:tl2br w:val="nil"/>
                    <w:tr2bl w:val="nil"/>
                  </w:tcBorders>
                  <w:shd w:val="clear" w:color="auto" w:fill="auto"/>
                  <w:vAlign w:val="center"/>
                </w:tcPr>
                <w:p w14:paraId="56E6DB82">
                  <w:pPr>
                    <w:widowControl/>
                    <w:autoSpaceDE w:val="0"/>
                    <w:autoSpaceDN w:val="0"/>
                    <w:jc w:val="center"/>
                    <w:rPr>
                      <w:rFonts w:hint="default" w:ascii="Times New Roman" w:hAnsi="Times New Roman" w:eastAsia="宋体" w:cs="Times New Roman"/>
                      <w:color w:val="FF0000"/>
                      <w:kern w:val="2"/>
                      <w:sz w:val="21"/>
                      <w:szCs w:val="21"/>
                      <w:highlight w:val="none"/>
                      <w:lang w:val="en-US" w:eastAsia="zh-CN" w:bidi="zh-CN"/>
                    </w:rPr>
                  </w:pPr>
                  <w:r>
                    <w:rPr>
                      <w:rFonts w:hint="default" w:ascii="Times New Roman" w:hAnsi="Times New Roman" w:eastAsia="宋体" w:cs="Times New Roman"/>
                      <w:color w:val="FF0000"/>
                      <w:sz w:val="21"/>
                      <w:szCs w:val="21"/>
                      <w:highlight w:val="none"/>
                      <w:lang w:bidi="zh-CN"/>
                    </w:rPr>
                    <w:t>0.1</w:t>
                  </w:r>
                </w:p>
              </w:tc>
              <w:tc>
                <w:tcPr>
                  <w:tcW w:w="1926" w:type="dxa"/>
                  <w:vMerge w:val="restart"/>
                  <w:tcBorders>
                    <w:tl2br w:val="nil"/>
                    <w:tr2bl w:val="nil"/>
                  </w:tcBorders>
                  <w:vAlign w:val="center"/>
                </w:tcPr>
                <w:p w14:paraId="6D2722FA">
                  <w:pPr>
                    <w:widowControl/>
                    <w:jc w:val="center"/>
                    <w:rPr>
                      <w:color w:val="auto"/>
                      <w:kern w:val="0"/>
                      <w:szCs w:val="21"/>
                      <w:highlight w:val="none"/>
                      <w:lang w:bidi="ar"/>
                    </w:rPr>
                  </w:pPr>
                  <w:r>
                    <w:rPr>
                      <w:color w:val="auto"/>
                      <w:kern w:val="0"/>
                      <w:szCs w:val="21"/>
                      <w:highlight w:val="none"/>
                      <w:lang w:bidi="ar"/>
                    </w:rPr>
                    <w:t>暂存于</w:t>
                  </w:r>
                  <w:r>
                    <w:rPr>
                      <w:rFonts w:hint="eastAsia"/>
                      <w:color w:val="auto"/>
                      <w:kern w:val="0"/>
                      <w:szCs w:val="21"/>
                      <w:highlight w:val="none"/>
                      <w:lang w:bidi="ar"/>
                    </w:rPr>
                    <w:t>危废贮存点</w:t>
                  </w:r>
                  <w:r>
                    <w:rPr>
                      <w:color w:val="auto"/>
                      <w:kern w:val="0"/>
                      <w:szCs w:val="21"/>
                      <w:highlight w:val="none"/>
                      <w:lang w:bidi="ar"/>
                    </w:rPr>
                    <w:t>，委托有资质单位进行清运处置</w:t>
                  </w:r>
                </w:p>
              </w:tc>
            </w:tr>
            <w:tr w14:paraId="3333D9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vMerge w:val="continue"/>
                  <w:tcBorders>
                    <w:tl2br w:val="nil"/>
                    <w:tr2bl w:val="nil"/>
                  </w:tcBorders>
                  <w:vAlign w:val="center"/>
                </w:tcPr>
                <w:p w14:paraId="5D40EEE8">
                  <w:pPr>
                    <w:pStyle w:val="13"/>
                    <w:jc w:val="center"/>
                    <w:rPr>
                      <w:color w:val="auto"/>
                      <w:szCs w:val="18"/>
                      <w:highlight w:val="none"/>
                      <w:lang w:bidi="ar"/>
                    </w:rPr>
                  </w:pPr>
                </w:p>
              </w:tc>
              <w:tc>
                <w:tcPr>
                  <w:tcW w:w="1108" w:type="dxa"/>
                  <w:tcBorders>
                    <w:tl2br w:val="nil"/>
                    <w:tr2bl w:val="nil"/>
                  </w:tcBorders>
                  <w:vAlign w:val="center"/>
                </w:tcPr>
                <w:p w14:paraId="04560BB2">
                  <w:pPr>
                    <w:widowControl/>
                    <w:jc w:val="center"/>
                    <w:rPr>
                      <w:color w:val="auto"/>
                      <w:kern w:val="0"/>
                      <w:szCs w:val="21"/>
                      <w:highlight w:val="none"/>
                      <w:lang w:bidi="ar"/>
                    </w:rPr>
                  </w:pPr>
                  <w:r>
                    <w:rPr>
                      <w:rFonts w:hint="eastAsia"/>
                      <w:color w:val="auto"/>
                      <w:kern w:val="0"/>
                      <w:szCs w:val="21"/>
                      <w:highlight w:val="none"/>
                      <w:lang w:bidi="ar"/>
                    </w:rPr>
                    <w:t>废油桶</w:t>
                  </w:r>
                </w:p>
              </w:tc>
              <w:tc>
                <w:tcPr>
                  <w:tcW w:w="1476" w:type="dxa"/>
                  <w:tcBorders>
                    <w:tl2br w:val="nil"/>
                    <w:tr2bl w:val="nil"/>
                  </w:tcBorders>
                  <w:vAlign w:val="center"/>
                </w:tcPr>
                <w:p w14:paraId="01051D1A">
                  <w:pPr>
                    <w:widowControl/>
                    <w:jc w:val="center"/>
                    <w:rPr>
                      <w:color w:val="auto"/>
                      <w:szCs w:val="21"/>
                      <w:highlight w:val="none"/>
                    </w:rPr>
                  </w:pPr>
                  <w:r>
                    <w:rPr>
                      <w:color w:val="auto"/>
                      <w:kern w:val="0"/>
                      <w:szCs w:val="21"/>
                      <w:highlight w:val="none"/>
                      <w:lang w:bidi="ar"/>
                    </w:rPr>
                    <w:t>HW49</w:t>
                  </w:r>
                </w:p>
                <w:p w14:paraId="32A4F6E7">
                  <w:pPr>
                    <w:widowControl/>
                    <w:jc w:val="center"/>
                    <w:rPr>
                      <w:color w:val="auto"/>
                      <w:kern w:val="0"/>
                      <w:szCs w:val="21"/>
                      <w:highlight w:val="none"/>
                      <w:lang w:bidi="ar"/>
                    </w:rPr>
                  </w:pPr>
                  <w:r>
                    <w:rPr>
                      <w:color w:val="auto"/>
                      <w:kern w:val="0"/>
                      <w:szCs w:val="21"/>
                      <w:highlight w:val="none"/>
                      <w:lang w:bidi="ar"/>
                    </w:rPr>
                    <w:t>900-041-49</w:t>
                  </w:r>
                </w:p>
              </w:tc>
              <w:tc>
                <w:tcPr>
                  <w:tcW w:w="1108" w:type="dxa"/>
                  <w:vMerge w:val="continue"/>
                  <w:tcBorders>
                    <w:tl2br w:val="nil"/>
                    <w:tr2bl w:val="nil"/>
                  </w:tcBorders>
                  <w:vAlign w:val="center"/>
                </w:tcPr>
                <w:p w14:paraId="717FA019">
                  <w:pPr>
                    <w:pStyle w:val="13"/>
                    <w:jc w:val="center"/>
                    <w:rPr>
                      <w:color w:val="auto"/>
                      <w:sz w:val="21"/>
                      <w:szCs w:val="21"/>
                      <w:highlight w:val="none"/>
                      <w:lang w:bidi="ar"/>
                    </w:rPr>
                  </w:pPr>
                </w:p>
              </w:tc>
              <w:tc>
                <w:tcPr>
                  <w:tcW w:w="1058" w:type="dxa"/>
                  <w:tcBorders>
                    <w:tl2br w:val="nil"/>
                    <w:tr2bl w:val="nil"/>
                  </w:tcBorders>
                  <w:shd w:val="clear" w:color="auto" w:fill="auto"/>
                  <w:vAlign w:val="center"/>
                </w:tcPr>
                <w:p w14:paraId="08B28279">
                  <w:pPr>
                    <w:widowControl/>
                    <w:autoSpaceDE w:val="0"/>
                    <w:autoSpaceDN w:val="0"/>
                    <w:jc w:val="center"/>
                    <w:rPr>
                      <w:rFonts w:hint="default" w:ascii="Times New Roman" w:hAnsi="Times New Roman" w:eastAsia="宋体" w:cs="Times New Roman"/>
                      <w:color w:val="FF0000"/>
                      <w:kern w:val="2"/>
                      <w:sz w:val="21"/>
                      <w:szCs w:val="21"/>
                      <w:highlight w:val="none"/>
                      <w:lang w:val="en-US" w:eastAsia="zh-CN" w:bidi="zh-CN"/>
                    </w:rPr>
                  </w:pPr>
                  <w:r>
                    <w:rPr>
                      <w:rFonts w:hint="default" w:ascii="Times New Roman" w:hAnsi="Times New Roman" w:eastAsia="宋体" w:cs="Times New Roman"/>
                      <w:color w:val="FF0000"/>
                      <w:sz w:val="21"/>
                      <w:szCs w:val="21"/>
                      <w:highlight w:val="none"/>
                      <w:lang w:bidi="zh-CN"/>
                    </w:rPr>
                    <w:t>4个/a</w:t>
                  </w:r>
                </w:p>
              </w:tc>
              <w:tc>
                <w:tcPr>
                  <w:tcW w:w="1926" w:type="dxa"/>
                  <w:vMerge w:val="continue"/>
                  <w:tcBorders>
                    <w:tl2br w:val="nil"/>
                    <w:tr2bl w:val="nil"/>
                  </w:tcBorders>
                  <w:vAlign w:val="center"/>
                </w:tcPr>
                <w:p w14:paraId="04343C9F">
                  <w:pPr>
                    <w:pStyle w:val="13"/>
                    <w:jc w:val="center"/>
                    <w:rPr>
                      <w:color w:val="auto"/>
                      <w:szCs w:val="18"/>
                      <w:highlight w:val="none"/>
                      <w:lang w:bidi="ar"/>
                    </w:rPr>
                  </w:pPr>
                </w:p>
              </w:tc>
            </w:tr>
            <w:tr w14:paraId="44239B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270" w:type="dxa"/>
                  <w:tcBorders>
                    <w:tl2br w:val="nil"/>
                    <w:tr2bl w:val="nil"/>
                  </w:tcBorders>
                  <w:vAlign w:val="center"/>
                </w:tcPr>
                <w:p w14:paraId="500A7CA4">
                  <w:pPr>
                    <w:pStyle w:val="13"/>
                    <w:jc w:val="center"/>
                    <w:rPr>
                      <w:color w:val="auto"/>
                      <w:sz w:val="21"/>
                      <w:szCs w:val="21"/>
                      <w:highlight w:val="none"/>
                      <w:lang w:bidi="ar"/>
                    </w:rPr>
                  </w:pPr>
                  <w:r>
                    <w:rPr>
                      <w:color w:val="auto"/>
                      <w:sz w:val="21"/>
                      <w:szCs w:val="21"/>
                      <w:highlight w:val="none"/>
                      <w:lang w:bidi="ar"/>
                    </w:rPr>
                    <w:t>生活垃圾</w:t>
                  </w:r>
                </w:p>
              </w:tc>
              <w:tc>
                <w:tcPr>
                  <w:tcW w:w="1108" w:type="dxa"/>
                  <w:tcBorders>
                    <w:tl2br w:val="nil"/>
                    <w:tr2bl w:val="nil"/>
                  </w:tcBorders>
                  <w:vAlign w:val="center"/>
                </w:tcPr>
                <w:p w14:paraId="0A209B63">
                  <w:pPr>
                    <w:widowControl/>
                    <w:jc w:val="center"/>
                    <w:rPr>
                      <w:color w:val="auto"/>
                      <w:kern w:val="0"/>
                      <w:szCs w:val="21"/>
                      <w:highlight w:val="none"/>
                      <w:lang w:bidi="ar"/>
                    </w:rPr>
                  </w:pPr>
                  <w:r>
                    <w:rPr>
                      <w:color w:val="auto"/>
                      <w:kern w:val="0"/>
                      <w:szCs w:val="21"/>
                      <w:highlight w:val="none"/>
                      <w:lang w:bidi="ar"/>
                    </w:rPr>
                    <w:t>生活垃圾</w:t>
                  </w:r>
                </w:p>
              </w:tc>
              <w:tc>
                <w:tcPr>
                  <w:tcW w:w="1476" w:type="dxa"/>
                  <w:tcBorders>
                    <w:tl2br w:val="nil"/>
                    <w:tr2bl w:val="nil"/>
                  </w:tcBorders>
                  <w:vAlign w:val="center"/>
                </w:tcPr>
                <w:p w14:paraId="55EC3996">
                  <w:pPr>
                    <w:pStyle w:val="13"/>
                    <w:jc w:val="center"/>
                    <w:rPr>
                      <w:color w:val="auto"/>
                      <w:sz w:val="21"/>
                      <w:szCs w:val="21"/>
                      <w:highlight w:val="none"/>
                      <w:lang w:bidi="ar"/>
                    </w:rPr>
                  </w:pPr>
                  <w:r>
                    <w:rPr>
                      <w:color w:val="auto"/>
                      <w:sz w:val="21"/>
                      <w:szCs w:val="21"/>
                      <w:highlight w:val="none"/>
                      <w:lang w:bidi="ar"/>
                    </w:rPr>
                    <w:t>/</w:t>
                  </w:r>
                </w:p>
              </w:tc>
              <w:tc>
                <w:tcPr>
                  <w:tcW w:w="1108" w:type="dxa"/>
                  <w:tcBorders>
                    <w:tl2br w:val="nil"/>
                    <w:tr2bl w:val="nil"/>
                  </w:tcBorders>
                  <w:vAlign w:val="center"/>
                </w:tcPr>
                <w:p w14:paraId="4B30C948">
                  <w:pPr>
                    <w:pStyle w:val="13"/>
                    <w:jc w:val="center"/>
                    <w:rPr>
                      <w:color w:val="auto"/>
                      <w:sz w:val="21"/>
                      <w:szCs w:val="21"/>
                      <w:highlight w:val="none"/>
                      <w:lang w:bidi="ar"/>
                    </w:rPr>
                  </w:pPr>
                  <w:r>
                    <w:rPr>
                      <w:color w:val="auto"/>
                      <w:sz w:val="21"/>
                      <w:szCs w:val="21"/>
                      <w:highlight w:val="none"/>
                      <w:lang w:bidi="ar"/>
                    </w:rPr>
                    <w:t>职工生活</w:t>
                  </w:r>
                </w:p>
              </w:tc>
              <w:tc>
                <w:tcPr>
                  <w:tcW w:w="1058" w:type="dxa"/>
                  <w:tcBorders>
                    <w:tl2br w:val="nil"/>
                    <w:tr2bl w:val="nil"/>
                  </w:tcBorders>
                  <w:vAlign w:val="center"/>
                </w:tcPr>
                <w:p w14:paraId="04569127">
                  <w:pPr>
                    <w:pStyle w:val="13"/>
                    <w:jc w:val="center"/>
                    <w:rPr>
                      <w:color w:val="auto"/>
                      <w:sz w:val="21"/>
                      <w:szCs w:val="21"/>
                      <w:highlight w:val="none"/>
                      <w:lang w:bidi="ar"/>
                    </w:rPr>
                  </w:pPr>
                  <w:r>
                    <w:rPr>
                      <w:rFonts w:hint="eastAsia"/>
                      <w:color w:val="auto"/>
                      <w:sz w:val="21"/>
                      <w:szCs w:val="21"/>
                      <w:highlight w:val="none"/>
                      <w:lang w:bidi="ar"/>
                    </w:rPr>
                    <w:t>0.96</w:t>
                  </w:r>
                </w:p>
              </w:tc>
              <w:tc>
                <w:tcPr>
                  <w:tcW w:w="1926" w:type="dxa"/>
                  <w:tcBorders>
                    <w:tl2br w:val="nil"/>
                    <w:tr2bl w:val="nil"/>
                  </w:tcBorders>
                  <w:vAlign w:val="center"/>
                </w:tcPr>
                <w:p w14:paraId="3979A6A7">
                  <w:pPr>
                    <w:widowControl/>
                    <w:jc w:val="center"/>
                    <w:rPr>
                      <w:color w:val="auto"/>
                      <w:kern w:val="0"/>
                      <w:szCs w:val="21"/>
                      <w:highlight w:val="none"/>
                      <w:lang w:bidi="ar"/>
                    </w:rPr>
                  </w:pPr>
                  <w:r>
                    <w:rPr>
                      <w:color w:val="auto"/>
                      <w:kern w:val="0"/>
                      <w:szCs w:val="21"/>
                      <w:highlight w:val="none"/>
                      <w:lang w:bidi="ar"/>
                    </w:rPr>
                    <w:t>集中收集至垃圾桶，由环卫部门统一清运处理</w:t>
                  </w:r>
                </w:p>
              </w:tc>
            </w:tr>
          </w:tbl>
          <w:p w14:paraId="4B4732FA">
            <w:pPr>
              <w:pStyle w:val="23"/>
              <w:keepNext w:val="0"/>
              <w:keepLines w:val="0"/>
              <w:pageBreakBefore w:val="0"/>
              <w:widowControl/>
              <w:kinsoku/>
              <w:wordWrap w:val="0"/>
              <w:overflowPunct/>
              <w:topLinePunct w:val="0"/>
              <w:autoSpaceDE/>
              <w:autoSpaceDN/>
              <w:bidi w:val="0"/>
              <w:adjustRightInd/>
              <w:snapToGrid/>
              <w:spacing w:before="157" w:beforeLines="50" w:line="360" w:lineRule="auto"/>
              <w:ind w:left="0" w:firstLine="480" w:firstLineChars="200"/>
              <w:textAlignment w:val="auto"/>
              <w:rPr>
                <w:rFonts w:ascii="Times New Roman" w:hAnsi="Times New Roman"/>
                <w:color w:val="auto"/>
                <w:sz w:val="24"/>
                <w:szCs w:val="24"/>
                <w:highlight w:val="none"/>
              </w:rPr>
            </w:pPr>
            <w:r>
              <w:rPr>
                <w:rFonts w:ascii="Times New Roman" w:hAnsi="Times New Roman"/>
                <w:color w:val="auto"/>
                <w:sz w:val="24"/>
                <w:szCs w:val="24"/>
                <w:highlight w:val="none"/>
              </w:rPr>
              <w:t>（5）固体废物环境管理要求</w:t>
            </w:r>
          </w:p>
          <w:p w14:paraId="334FB4FF">
            <w:pPr>
              <w:tabs>
                <w:tab w:val="left" w:pos="377"/>
              </w:tabs>
              <w:spacing w:line="360" w:lineRule="auto"/>
              <w:ind w:firstLine="480" w:firstLineChars="200"/>
              <w:rPr>
                <w:color w:val="FF0000"/>
                <w:sz w:val="24"/>
                <w:highlight w:val="none"/>
              </w:rPr>
            </w:pPr>
            <w:r>
              <w:rPr>
                <w:rFonts w:hint="eastAsia"/>
                <w:color w:val="FF0000"/>
                <w:sz w:val="24"/>
                <w:highlight w:val="none"/>
              </w:rPr>
              <w:t>①一般工业固体废物环境管理要求</w:t>
            </w:r>
          </w:p>
          <w:p w14:paraId="68403B70">
            <w:pPr>
              <w:widowControl/>
              <w:spacing w:line="360" w:lineRule="auto"/>
              <w:ind w:firstLine="480" w:firstLineChars="200"/>
              <w:rPr>
                <w:color w:val="auto"/>
                <w:sz w:val="24"/>
                <w:highlight w:val="none"/>
              </w:rPr>
            </w:pPr>
            <w:r>
              <w:rPr>
                <w:rFonts w:hint="eastAsia" w:ascii="宋体" w:hAnsi="宋体" w:cs="宋体"/>
                <w:color w:val="FF0000"/>
                <w:kern w:val="0"/>
                <w:sz w:val="24"/>
                <w:highlight w:val="none"/>
                <w:lang w:bidi="ar"/>
              </w:rPr>
              <w:t>本项目产生的一般工业固体废物执行《一般工业固体废物贮存和填埋污染控制标准》（</w:t>
            </w:r>
            <w:r>
              <w:rPr>
                <w:color w:val="FF0000"/>
                <w:kern w:val="0"/>
                <w:sz w:val="24"/>
                <w:highlight w:val="none"/>
                <w:lang w:bidi="ar"/>
              </w:rPr>
              <w:t>GB 18599-2020</w:t>
            </w:r>
            <w:r>
              <w:rPr>
                <w:rFonts w:hint="eastAsia" w:ascii="宋体" w:hAnsi="宋体" w:cs="宋体"/>
                <w:color w:val="FF0000"/>
                <w:kern w:val="0"/>
                <w:sz w:val="24"/>
                <w:highlight w:val="none"/>
                <w:lang w:bidi="ar"/>
              </w:rPr>
              <w:t>）</w:t>
            </w:r>
            <w:r>
              <w:rPr>
                <w:rFonts w:hint="eastAsia" w:ascii="宋体" w:hAnsi="宋体" w:eastAsia="宋体" w:cs="宋体"/>
                <w:color w:val="FF0000"/>
                <w:kern w:val="0"/>
                <w:sz w:val="24"/>
                <w:szCs w:val="24"/>
                <w:highlight w:val="none"/>
                <w:lang w:val="en-US" w:eastAsia="zh-CN" w:bidi="ar"/>
              </w:rPr>
              <w:t>中关于贮存过程应满足相应防渗漏、防雨淋、防扬尘等环境保护的要求。</w:t>
            </w:r>
            <w:r>
              <w:rPr>
                <w:rFonts w:hint="eastAsia" w:ascii="宋体" w:hAnsi="宋体" w:cs="宋体"/>
                <w:color w:val="FF0000"/>
                <w:kern w:val="0"/>
                <w:sz w:val="24"/>
                <w:szCs w:val="24"/>
                <w:highlight w:val="none"/>
                <w:lang w:val="en-US" w:eastAsia="zh-CN" w:bidi="ar"/>
              </w:rPr>
              <w:t>本项目新建一般固废暂存区位于全封闭成品库房内，符合</w:t>
            </w:r>
            <w:r>
              <w:rPr>
                <w:rFonts w:hint="eastAsia" w:ascii="宋体" w:hAnsi="宋体" w:eastAsia="宋体" w:cs="宋体"/>
                <w:color w:val="FF0000"/>
                <w:kern w:val="0"/>
                <w:sz w:val="24"/>
                <w:szCs w:val="24"/>
                <w:highlight w:val="none"/>
                <w:lang w:val="en-US" w:eastAsia="zh-CN" w:bidi="ar"/>
              </w:rPr>
              <w:t>防渗漏、防雨淋、防扬尘</w:t>
            </w:r>
            <w:r>
              <w:rPr>
                <w:rFonts w:hint="eastAsia" w:ascii="宋体" w:hAnsi="宋体" w:cs="宋体"/>
                <w:color w:val="FF0000"/>
                <w:kern w:val="0"/>
                <w:sz w:val="24"/>
                <w:szCs w:val="24"/>
                <w:highlight w:val="none"/>
                <w:lang w:val="en-US" w:eastAsia="zh-CN" w:bidi="ar"/>
              </w:rPr>
              <w:t>等相关要求，</w:t>
            </w:r>
            <w:r>
              <w:rPr>
                <w:rFonts w:hint="eastAsia"/>
                <w:color w:val="FF0000"/>
                <w:sz w:val="24"/>
                <w:highlight w:val="none"/>
              </w:rPr>
              <w:t>项目生产过程中产生的一般工业</w:t>
            </w:r>
            <w:r>
              <w:rPr>
                <w:rFonts w:hint="eastAsia" w:ascii="宋体" w:hAnsi="宋体" w:cs="宋体"/>
                <w:color w:val="FF0000"/>
                <w:kern w:val="0"/>
                <w:sz w:val="24"/>
                <w:highlight w:val="none"/>
                <w:lang w:bidi="ar"/>
              </w:rPr>
              <w:t>固体</w:t>
            </w:r>
            <w:r>
              <w:rPr>
                <w:rFonts w:hint="eastAsia" w:ascii="宋体" w:hAnsi="宋体" w:cs="宋体"/>
                <w:color w:val="FF0000"/>
                <w:kern w:val="0"/>
                <w:sz w:val="24"/>
                <w:highlight w:val="none"/>
                <w:lang w:val="en-US" w:eastAsia="zh-CN" w:bidi="ar"/>
              </w:rPr>
              <w:t>废物</w:t>
            </w:r>
            <w:r>
              <w:rPr>
                <w:rFonts w:hint="eastAsia" w:ascii="宋体" w:hAnsi="宋体" w:cs="宋体"/>
                <w:color w:val="FF0000"/>
                <w:kern w:val="0"/>
                <w:sz w:val="24"/>
                <w:highlight w:val="none"/>
                <w:lang w:bidi="ar"/>
              </w:rPr>
              <w:t>得到妥善的处理和处置，不会对周围环境造成较大影响。</w:t>
            </w:r>
            <w:r>
              <w:rPr>
                <w:rFonts w:hint="eastAsia"/>
                <w:color w:val="auto"/>
                <w:sz w:val="24"/>
                <w:highlight w:val="none"/>
              </w:rPr>
              <w:t>一般工业</w:t>
            </w:r>
            <w:r>
              <w:rPr>
                <w:rFonts w:hint="eastAsia" w:ascii="宋体" w:hAnsi="宋体" w:cs="宋体"/>
                <w:color w:val="auto"/>
                <w:kern w:val="0"/>
                <w:sz w:val="24"/>
                <w:highlight w:val="none"/>
                <w:lang w:bidi="ar"/>
              </w:rPr>
              <w:t>固体</w:t>
            </w:r>
            <w:r>
              <w:rPr>
                <w:rFonts w:hint="eastAsia" w:ascii="宋体" w:hAnsi="宋体" w:cs="宋体"/>
                <w:color w:val="auto"/>
                <w:kern w:val="0"/>
                <w:sz w:val="24"/>
                <w:highlight w:val="none"/>
                <w:lang w:val="en-US" w:eastAsia="zh-CN" w:bidi="ar"/>
              </w:rPr>
              <w:t>废物的</w:t>
            </w:r>
            <w:r>
              <w:rPr>
                <w:rFonts w:hint="eastAsia" w:ascii="宋体" w:hAnsi="宋体" w:cs="宋体"/>
                <w:color w:val="auto"/>
                <w:kern w:val="0"/>
                <w:sz w:val="24"/>
                <w:highlight w:val="none"/>
                <w:lang w:bidi="ar"/>
              </w:rPr>
              <w:t>申报管理应认真落实《中华人民共和国固体废物污染环境防治法》第三十二条：国家实行工业固体废物申报登记制度。产生工业固体废物的单位必须按照国务院环境保护行政主管部门的</w:t>
            </w:r>
            <w:r>
              <w:rPr>
                <w:rFonts w:hint="eastAsia"/>
                <w:color w:val="auto"/>
                <w:sz w:val="24"/>
                <w:highlight w:val="none"/>
              </w:rPr>
              <w:t>规定，向所在地县级以上人民政府环境保护行政主管部门提供工业固体废物的种类、产生量、流向、贮存、处置等有关资料。</w:t>
            </w:r>
          </w:p>
          <w:p w14:paraId="006D3BC1">
            <w:pPr>
              <w:widowControl/>
              <w:spacing w:line="360" w:lineRule="auto"/>
              <w:ind w:firstLine="480" w:firstLineChars="200"/>
              <w:rPr>
                <w:color w:val="auto"/>
                <w:sz w:val="24"/>
                <w:highlight w:val="none"/>
              </w:rPr>
            </w:pPr>
            <w:r>
              <w:rPr>
                <w:color w:val="auto"/>
                <w:sz w:val="24"/>
                <w:highlight w:val="none"/>
              </w:rPr>
              <w:t>根据《一般工业固体废物管理台账制定指南》中的要求，一般工业固体废物管理台账实施分级管理，一般工业固体废物产生清单，一般工业固体废物流向汇总表，一般工业固体废物出入厂环节记录表主要用于记录固体废物的基础信息及流向信息，一般工业固体废物产生清单按年填写，应当结合环境影响评价、排污许可等材料，根据实际生产运营情况记录固体废物产生信息，生产工艺发生重大变动等原因导致固体废物产生种类等发生变化的，应当及时另行填写一般工业固体废物产生清单；一般工业固体废物流向汇总表按月填写，记录固体废物的产生、贮存、利用、处置数量和利用、处置方式等信息；一般工业固体废物出入厂环节记录表按批次填写，每一批次固体废物的出厂以及转移信息均应当如实记录。鼓励建设单位采用国家建立的一般工业固体废物管理电子台账，简化数据填写、台账管理等工作。如企业自行开发的电子台账要实现与国家系统对接。如建设单位采用电子台账，可不再记录纸质台账。记录台账的负责人对记录信息的真实性、完整性和规范性负责。产废单位应当设立专人负责台账的管理与归档，一般工业固体废物管理台账保存期限不少于</w:t>
            </w:r>
            <w:r>
              <w:rPr>
                <w:rFonts w:hint="eastAsia"/>
                <w:color w:val="auto"/>
                <w:sz w:val="24"/>
                <w:highlight w:val="none"/>
              </w:rPr>
              <w:t>五</w:t>
            </w:r>
            <w:r>
              <w:rPr>
                <w:color w:val="auto"/>
                <w:sz w:val="24"/>
                <w:highlight w:val="none"/>
              </w:rPr>
              <w:t>年。</w:t>
            </w:r>
          </w:p>
          <w:p w14:paraId="78A998AE">
            <w:pPr>
              <w:widowControl/>
              <w:spacing w:line="360" w:lineRule="auto"/>
              <w:ind w:firstLine="480" w:firstLineChars="200"/>
              <w:jc w:val="left"/>
              <w:rPr>
                <w:color w:val="auto"/>
                <w:sz w:val="24"/>
                <w:highlight w:val="none"/>
              </w:rPr>
            </w:pPr>
            <w:r>
              <w:rPr>
                <w:rFonts w:hint="eastAsia"/>
                <w:color w:val="auto"/>
                <w:sz w:val="24"/>
                <w:highlight w:val="none"/>
              </w:rPr>
              <w:t>②危险废物环境管理要求</w:t>
            </w:r>
          </w:p>
          <w:p w14:paraId="40D1C31D">
            <w:pPr>
              <w:widowControl/>
              <w:spacing w:line="360" w:lineRule="auto"/>
              <w:ind w:firstLine="480" w:firstLineChars="200"/>
              <w:jc w:val="left"/>
              <w:rPr>
                <w:rFonts w:hint="eastAsia" w:eastAsia="宋体"/>
                <w:color w:val="FF0000"/>
                <w:sz w:val="24"/>
                <w:highlight w:val="none"/>
                <w:lang w:val="en-US" w:eastAsia="zh-CN"/>
              </w:rPr>
            </w:pPr>
            <w:r>
              <w:rPr>
                <w:rFonts w:hint="eastAsia"/>
                <w:bCs/>
                <w:color w:val="FF0000"/>
                <w:sz w:val="24"/>
                <w:highlight w:val="none"/>
              </w:rPr>
              <w:t>根据《危险废物管理计划和管理台账制定技术导则》（HJ1259-2022）分类管理要求：本项目危险废物年产生量小10t且未纳入危险废物环境重点监管单位的单位，属于危险废物</w:t>
            </w:r>
            <w:r>
              <w:rPr>
                <w:rFonts w:hint="eastAsia"/>
                <w:bCs/>
                <w:color w:val="FF0000"/>
                <w:sz w:val="24"/>
                <w:highlight w:val="none"/>
                <w:lang w:val="en-US" w:eastAsia="zh-CN"/>
              </w:rPr>
              <w:t>登记</w:t>
            </w:r>
            <w:r>
              <w:rPr>
                <w:rFonts w:hint="eastAsia"/>
                <w:bCs/>
                <w:color w:val="FF0000"/>
                <w:sz w:val="24"/>
                <w:highlight w:val="none"/>
              </w:rPr>
              <w:t>管理的单位，应设置</w:t>
            </w:r>
            <w:r>
              <w:rPr>
                <w:rFonts w:hint="eastAsia"/>
                <w:b/>
                <w:color w:val="FF0000"/>
                <w:sz w:val="24"/>
                <w:highlight w:val="none"/>
              </w:rPr>
              <w:t>危险废物贮存点</w:t>
            </w:r>
            <w:r>
              <w:rPr>
                <w:rFonts w:hint="eastAsia"/>
                <w:bCs/>
                <w:color w:val="FF0000"/>
                <w:sz w:val="24"/>
                <w:highlight w:val="none"/>
              </w:rPr>
              <w:t>，并应严格按照《危险废物贮存污染控制标准》（GB18597-2023）中贮存点的要求建设</w:t>
            </w:r>
            <w:r>
              <w:rPr>
                <w:rFonts w:hint="eastAsia"/>
                <w:bCs/>
                <w:color w:val="FF0000"/>
                <w:sz w:val="24"/>
                <w:highlight w:val="none"/>
                <w:lang w:eastAsia="zh-CN"/>
              </w:rPr>
              <w:t>。</w:t>
            </w:r>
          </w:p>
          <w:p w14:paraId="48AF2F48">
            <w:pPr>
              <w:widowControl/>
              <w:spacing w:line="360" w:lineRule="auto"/>
              <w:ind w:firstLine="480" w:firstLineChars="200"/>
              <w:rPr>
                <w:color w:val="auto"/>
                <w:sz w:val="24"/>
                <w:highlight w:val="none"/>
              </w:rPr>
            </w:pPr>
            <w:r>
              <w:rPr>
                <w:rFonts w:hint="eastAsia"/>
                <w:color w:val="auto"/>
                <w:sz w:val="24"/>
                <w:highlight w:val="none"/>
              </w:rPr>
              <w:t>本项目参考《建设项目危险废物环境影响评价指南》、《危险废物贮存污染控制标准》（GB18597-2023）、《危险废物收集、贮存、运输技术规范》（HJ2025-2012）等相关要求，对危废的收集、贮存过程等方面进行环境影响分析，对本项目的危险废物暂存设施的建设、危废台账的设置等提出要求。</w:t>
            </w:r>
          </w:p>
          <w:p w14:paraId="4C1128B2">
            <w:pPr>
              <w:widowControl/>
              <w:spacing w:line="360" w:lineRule="auto"/>
              <w:ind w:firstLine="480" w:firstLineChars="200"/>
              <w:jc w:val="left"/>
              <w:rPr>
                <w:color w:val="auto"/>
                <w:sz w:val="24"/>
                <w:highlight w:val="none"/>
              </w:rPr>
            </w:pPr>
            <w:r>
              <w:rPr>
                <w:color w:val="auto"/>
                <w:sz w:val="24"/>
                <w:highlight w:val="none"/>
              </w:rPr>
              <w:t>A.危险废物收集过程环境影响分析</w:t>
            </w:r>
          </w:p>
          <w:p w14:paraId="6D406DCA">
            <w:pPr>
              <w:widowControl/>
              <w:spacing w:line="360" w:lineRule="auto"/>
              <w:ind w:firstLine="480" w:firstLineChars="200"/>
              <w:jc w:val="left"/>
              <w:rPr>
                <w:color w:val="auto"/>
                <w:sz w:val="24"/>
                <w:highlight w:val="none"/>
              </w:rPr>
            </w:pPr>
            <w:r>
              <w:rPr>
                <w:color w:val="auto"/>
                <w:sz w:val="24"/>
                <w:highlight w:val="none"/>
              </w:rPr>
              <w:t>本项目对各类危险废物按相关要求进行分类收集，根据各类危险废物的相容性、反应性以及包装材料的相容性，选择合适的包装材料进行分类收集，避免危险废物与一般工业固体废物、生活垃圾等混合，从而避免收集过程二次污染。</w:t>
            </w:r>
          </w:p>
          <w:p w14:paraId="15E7FE15">
            <w:pPr>
              <w:widowControl/>
              <w:spacing w:line="360" w:lineRule="auto"/>
              <w:ind w:firstLine="480" w:firstLineChars="200"/>
              <w:jc w:val="left"/>
              <w:rPr>
                <w:color w:val="auto"/>
                <w:sz w:val="24"/>
                <w:highlight w:val="none"/>
              </w:rPr>
            </w:pPr>
            <w:r>
              <w:rPr>
                <w:rFonts w:hint="eastAsia"/>
                <w:color w:val="auto"/>
                <w:sz w:val="24"/>
                <w:highlight w:val="none"/>
              </w:rPr>
              <w:t>B.危险废物贮存过程环境影响分析</w:t>
            </w:r>
          </w:p>
          <w:p w14:paraId="3EC05BCF">
            <w:pPr>
              <w:widowControl/>
              <w:spacing w:line="360" w:lineRule="auto"/>
              <w:ind w:firstLine="480" w:firstLineChars="200"/>
              <w:jc w:val="left"/>
              <w:rPr>
                <w:color w:val="auto"/>
                <w:sz w:val="24"/>
                <w:highlight w:val="none"/>
              </w:rPr>
            </w:pPr>
            <w:r>
              <w:rPr>
                <w:rFonts w:hint="eastAsia"/>
                <w:color w:val="auto"/>
                <w:sz w:val="24"/>
                <w:highlight w:val="none"/>
              </w:rPr>
              <w:t>厂区内设危险废物主要为废润滑油及其废油桶。危废贮存点严格按照《危险废物贮存污染控制标准》（</w:t>
            </w:r>
            <w:r>
              <w:rPr>
                <w:color w:val="auto"/>
                <w:sz w:val="24"/>
                <w:highlight w:val="none"/>
              </w:rPr>
              <w:t>GB18597-2023</w:t>
            </w:r>
            <w:r>
              <w:rPr>
                <w:rFonts w:hint="eastAsia"/>
                <w:color w:val="auto"/>
                <w:sz w:val="24"/>
                <w:highlight w:val="none"/>
              </w:rPr>
              <w:t>）及危险废物的其他相关规定进行设计建设，具体要求如下：</w:t>
            </w:r>
          </w:p>
          <w:p w14:paraId="0A4AD63D">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贮存点应具有固定的区域边界，并应采取与其他区域进行隔离的措施。</w:t>
            </w:r>
          </w:p>
          <w:p w14:paraId="71A03642">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贮存点应采取防风、防雨、防晒和防止危险废物流失、扬散等措施。</w:t>
            </w:r>
          </w:p>
          <w:p w14:paraId="5A663F84">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贮存点贮存的危险废物应置于容器或包装物中，不应直接散堆。</w:t>
            </w:r>
          </w:p>
          <w:p w14:paraId="747B2B81">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贮存点应根据危险废物的形态、物理化学性质、包装形式等，采取防渗、防漏等污染防治措施或采用具有相应功能的装置。</w:t>
            </w:r>
          </w:p>
          <w:p w14:paraId="38854778">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贮存点应及时清运贮存的危险废物，实时贮存量不应超过</w:t>
            </w:r>
            <w:r>
              <w:rPr>
                <w:color w:val="auto"/>
                <w:sz w:val="24"/>
                <w:highlight w:val="none"/>
              </w:rPr>
              <w:t>3</w:t>
            </w:r>
            <w:r>
              <w:rPr>
                <w:rFonts w:hint="eastAsia"/>
                <w:color w:val="auto"/>
                <w:sz w:val="24"/>
                <w:highlight w:val="none"/>
              </w:rPr>
              <w:t>吨。</w:t>
            </w:r>
          </w:p>
          <w:p w14:paraId="1E7B2ED1">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危险废物存入贮存设施前应对危险废物类别和特性与危险废物标签等危险废物识别标志的一致性进行核验，不一致的或类别、特性不明的不应存入。</w:t>
            </w:r>
          </w:p>
          <w:p w14:paraId="2ECB9273">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应定期检查危险废物的贮存状况，及时清理贮存设施地面，更换破损泄漏的危险废物贮存容器和包装物，保证堆存危险废物的防雨、防风、防扬尘等设施功能完好。</w:t>
            </w:r>
          </w:p>
          <w:p w14:paraId="44F4B259">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贮存设施运行期间，应按国家有关标准和规定建立危险废物管理台账并保存。</w:t>
            </w:r>
          </w:p>
          <w:p w14:paraId="37157448">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贮存设施所有者或运营者应建立贮存设施环境管理制度、管理人员岗位职责制度、设施运行操作制度、人员岗位培训制度等。</w:t>
            </w:r>
          </w:p>
          <w:p w14:paraId="23E42ED1">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 xml:space="preserve">贮存设施所有者或运营者应依据国家土壤和地下水污染防治的有关规定，结合贮存设施特点建立土壤和地下水污染隐患排查制度，并定期开展隐患排查；发现隐患应及时采取措施消除隐患，并建立档案。 </w:t>
            </w:r>
          </w:p>
          <w:p w14:paraId="515DBE72">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贮存设施所有者或运营者应建立贮存设施全部档案，包括设计、施工、验收、运行、监测和环境应急等，应按国家有关档案管理的法律法规进行整理和归档。</w:t>
            </w:r>
          </w:p>
          <w:p w14:paraId="2A2D8970">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容器和包装物材质、内衬应与盛装的危险废物相容。</w:t>
            </w:r>
          </w:p>
          <w:p w14:paraId="18811262">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针对不同类别、形态、物理化学性质的危险废物，其容器和包装物应满足相应的防渗、防漏、防腐和强度等要求。</w:t>
            </w:r>
          </w:p>
          <w:p w14:paraId="76F70B57">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硬质容器和包装物及其支护结构堆叠码放时不应有明显变形，无破损泄漏。</w:t>
            </w:r>
          </w:p>
          <w:p w14:paraId="029984DB">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柔性容器和包装物堆叠码放时应封口严密，无破损泄漏。</w:t>
            </w:r>
          </w:p>
          <w:p w14:paraId="27B426E0">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 xml:space="preserve">使用容器盛装液态、半固态危险废物时，容器内部应留有适当的空间，以适应因温度变化等可能引发的收缩和膨胀，防止其导致容器渗漏或永久变形。 </w:t>
            </w:r>
          </w:p>
          <w:p w14:paraId="5AC0EECF">
            <w:pPr>
              <w:widowControl/>
              <w:spacing w:line="360" w:lineRule="auto"/>
              <w:ind w:firstLine="420" w:firstLineChars="200"/>
              <w:jc w:val="left"/>
              <w:rPr>
                <w:color w:val="auto"/>
                <w:sz w:val="24"/>
                <w:highlight w:val="none"/>
              </w:rPr>
            </w:pPr>
            <w:r>
              <w:rPr>
                <w:color w:val="auto"/>
                <w:highlight w:val="none"/>
              </w:rPr>
              <w:t>•</w:t>
            </w:r>
            <w:r>
              <w:rPr>
                <w:rFonts w:hint="eastAsia"/>
                <w:color w:val="auto"/>
                <w:highlight w:val="none"/>
              </w:rPr>
              <w:t xml:space="preserve"> </w:t>
            </w:r>
            <w:r>
              <w:rPr>
                <w:rFonts w:hint="eastAsia"/>
                <w:color w:val="auto"/>
                <w:sz w:val="24"/>
                <w:highlight w:val="none"/>
              </w:rPr>
              <w:t>容器和包装物外表面应保持清洁。</w:t>
            </w:r>
          </w:p>
          <w:p w14:paraId="6C9F2054">
            <w:pPr>
              <w:widowControl/>
              <w:spacing w:line="360" w:lineRule="auto"/>
              <w:ind w:firstLine="480" w:firstLineChars="200"/>
              <w:jc w:val="left"/>
              <w:rPr>
                <w:color w:val="auto"/>
                <w:sz w:val="24"/>
                <w:highlight w:val="none"/>
              </w:rPr>
            </w:pPr>
            <w:r>
              <w:rPr>
                <w:rFonts w:hint="eastAsia"/>
                <w:color w:val="auto"/>
                <w:sz w:val="24"/>
                <w:highlight w:val="none"/>
              </w:rPr>
              <w:t>C</w:t>
            </w:r>
            <w:r>
              <w:rPr>
                <w:color w:val="auto"/>
                <w:sz w:val="24"/>
                <w:highlight w:val="none"/>
              </w:rPr>
              <w:t>.危险废物贮存场所分析</w:t>
            </w:r>
          </w:p>
          <w:p w14:paraId="06A1E064">
            <w:pPr>
              <w:widowControl/>
              <w:spacing w:line="360" w:lineRule="auto"/>
              <w:ind w:firstLine="480" w:firstLineChars="200"/>
              <w:jc w:val="left"/>
              <w:rPr>
                <w:color w:val="auto"/>
                <w:sz w:val="24"/>
                <w:highlight w:val="none"/>
              </w:rPr>
            </w:pPr>
            <w:r>
              <w:rPr>
                <w:color w:val="auto"/>
                <w:sz w:val="24"/>
                <w:highlight w:val="none"/>
              </w:rPr>
              <w:t>本项目</w:t>
            </w:r>
            <w:r>
              <w:rPr>
                <w:rFonts w:hint="eastAsia"/>
                <w:color w:val="auto"/>
                <w:sz w:val="24"/>
                <w:highlight w:val="none"/>
              </w:rPr>
              <w:t>厂内设置一座危废贮存点，位于厂区南侧</w:t>
            </w:r>
            <w:r>
              <w:rPr>
                <w:rFonts w:hint="eastAsia"/>
                <w:color w:val="auto"/>
                <w:szCs w:val="21"/>
                <w:highlight w:val="none"/>
              </w:rPr>
              <w:t>，</w:t>
            </w:r>
            <w:r>
              <w:rPr>
                <w:color w:val="auto"/>
                <w:sz w:val="24"/>
                <w:highlight w:val="none"/>
              </w:rPr>
              <w:t>占地面积5m</w:t>
            </w:r>
            <w:r>
              <w:rPr>
                <w:color w:val="auto"/>
                <w:sz w:val="24"/>
                <w:highlight w:val="none"/>
                <w:vertAlign w:val="superscript"/>
              </w:rPr>
              <w:t>2</w:t>
            </w:r>
            <w:r>
              <w:rPr>
                <w:rFonts w:hint="eastAsia"/>
                <w:color w:val="auto"/>
                <w:sz w:val="24"/>
                <w:highlight w:val="none"/>
              </w:rPr>
              <w:t>，贮存能力约为3t</w:t>
            </w:r>
            <w:r>
              <w:rPr>
                <w:color w:val="auto"/>
                <w:sz w:val="24"/>
                <w:highlight w:val="none"/>
              </w:rPr>
              <w:t>，主要用于</w:t>
            </w:r>
            <w:r>
              <w:rPr>
                <w:rFonts w:hint="eastAsia"/>
                <w:color w:val="auto"/>
                <w:sz w:val="24"/>
                <w:highlight w:val="none"/>
              </w:rPr>
              <w:t>废润滑油</w:t>
            </w:r>
            <w:r>
              <w:rPr>
                <w:color w:val="auto"/>
                <w:kern w:val="0"/>
                <w:sz w:val="24"/>
                <w:highlight w:val="none"/>
                <w:lang w:bidi="ar"/>
              </w:rPr>
              <w:t>桶和废</w:t>
            </w:r>
            <w:r>
              <w:rPr>
                <w:rFonts w:hint="eastAsia"/>
                <w:color w:val="auto"/>
                <w:kern w:val="0"/>
                <w:sz w:val="24"/>
                <w:highlight w:val="none"/>
                <w:lang w:bidi="ar"/>
              </w:rPr>
              <w:t>油桶的暂存</w:t>
            </w:r>
            <w:r>
              <w:rPr>
                <w:color w:val="auto"/>
                <w:sz w:val="24"/>
                <w:highlight w:val="none"/>
              </w:rPr>
              <w:t>。</w:t>
            </w:r>
            <w:r>
              <w:rPr>
                <w:rFonts w:hint="eastAsia"/>
                <w:color w:val="auto"/>
                <w:sz w:val="24"/>
                <w:highlight w:val="none"/>
              </w:rPr>
              <w:t>项目运营过程中产生的危险废物主要为废润滑油及其废油桶，产量为</w:t>
            </w:r>
            <w:r>
              <w:rPr>
                <w:color w:val="auto"/>
                <w:sz w:val="24"/>
                <w:highlight w:val="none"/>
              </w:rPr>
              <w:t>0.</w:t>
            </w:r>
            <w:r>
              <w:rPr>
                <w:rFonts w:hint="eastAsia"/>
                <w:color w:val="auto"/>
                <w:sz w:val="24"/>
                <w:highlight w:val="none"/>
              </w:rPr>
              <w:t>1</w:t>
            </w:r>
            <w:r>
              <w:rPr>
                <w:color w:val="auto"/>
                <w:sz w:val="24"/>
                <w:highlight w:val="none"/>
              </w:rPr>
              <w:t>2t/a</w:t>
            </w:r>
            <w:r>
              <w:rPr>
                <w:rFonts w:hint="eastAsia"/>
                <w:color w:val="auto"/>
                <w:sz w:val="24"/>
                <w:highlight w:val="none"/>
              </w:rPr>
              <w:t>，项目危废产量远小于危废贮存点的最大贮存能力，其容积满足本项目</w:t>
            </w:r>
            <w:r>
              <w:rPr>
                <w:rFonts w:hint="eastAsia" w:ascii="宋体" w:hAnsi="宋体" w:cs="宋体"/>
                <w:color w:val="auto"/>
                <w:kern w:val="0"/>
                <w:sz w:val="24"/>
                <w:highlight w:val="none"/>
                <w:lang w:bidi="ar"/>
              </w:rPr>
              <w:t>危险废物的暂存需求</w:t>
            </w:r>
            <w:r>
              <w:rPr>
                <w:rFonts w:hint="eastAsia"/>
                <w:color w:val="auto"/>
                <w:sz w:val="24"/>
                <w:highlight w:val="none"/>
              </w:rPr>
              <w:t>。</w:t>
            </w:r>
            <w:r>
              <w:rPr>
                <w:color w:val="auto"/>
                <w:sz w:val="24"/>
                <w:highlight w:val="none"/>
              </w:rPr>
              <w:t>危废贮存场所按照《危险废物贮存污染控制标准》（GB18597-2023）等要求建设，满足防风、防雨、防晒、防火、防雷、防扬散、防流失、防渗漏等要求，并设置环境保护图形标志</w:t>
            </w:r>
            <w:r>
              <w:rPr>
                <w:rFonts w:hint="eastAsia"/>
                <w:color w:val="auto"/>
                <w:sz w:val="24"/>
                <w:highlight w:val="none"/>
              </w:rPr>
              <w:t>，基础防渗层为1m后粘土层（渗透系数≤10</w:t>
            </w:r>
            <w:r>
              <w:rPr>
                <w:rFonts w:hint="eastAsia"/>
                <w:color w:val="auto"/>
                <w:sz w:val="24"/>
                <w:highlight w:val="none"/>
                <w:vertAlign w:val="superscript"/>
              </w:rPr>
              <w:t>-7</w:t>
            </w:r>
            <w:r>
              <w:rPr>
                <w:rFonts w:hint="eastAsia"/>
                <w:color w:val="auto"/>
                <w:sz w:val="24"/>
                <w:highlight w:val="none"/>
              </w:rPr>
              <w:t>cm/s）或2mm后高密度聚乙烯或至少2mm厚的其他人工材料（渗透系数≤10</w:t>
            </w:r>
            <w:r>
              <w:rPr>
                <w:rFonts w:hint="eastAsia"/>
                <w:color w:val="auto"/>
                <w:sz w:val="24"/>
                <w:highlight w:val="none"/>
                <w:vertAlign w:val="superscript"/>
              </w:rPr>
              <w:t>-10</w:t>
            </w:r>
            <w:r>
              <w:rPr>
                <w:rFonts w:hint="eastAsia"/>
                <w:color w:val="auto"/>
                <w:sz w:val="24"/>
                <w:highlight w:val="none"/>
              </w:rPr>
              <w:t>cm/s）</w:t>
            </w:r>
            <w:r>
              <w:rPr>
                <w:color w:val="auto"/>
                <w:sz w:val="24"/>
                <w:highlight w:val="none"/>
              </w:rPr>
              <w:t>，并设置环境保护图形标志</w:t>
            </w:r>
            <w:r>
              <w:rPr>
                <w:rFonts w:hint="eastAsia"/>
                <w:color w:val="auto"/>
                <w:sz w:val="24"/>
                <w:highlight w:val="none"/>
              </w:rPr>
              <w:t>。危险废物应尽快委托有资质单位处理，不宜存放过长时间。</w:t>
            </w:r>
          </w:p>
          <w:p w14:paraId="3913052D">
            <w:pPr>
              <w:widowControl/>
              <w:spacing w:line="360" w:lineRule="auto"/>
              <w:ind w:firstLine="480" w:firstLineChars="200"/>
              <w:rPr>
                <w:color w:val="auto"/>
                <w:sz w:val="24"/>
                <w:highlight w:val="none"/>
              </w:rPr>
            </w:pPr>
            <w:r>
              <w:rPr>
                <w:color w:val="auto"/>
                <w:sz w:val="24"/>
                <w:highlight w:val="none"/>
              </w:rPr>
              <w:t>根据《建设项目危险废物环境影响评价指南》（环境保护部公告2017年第43号）要求，危险废物贮存场所的名称、位置、占地面积、贮存方式、贮存容积、贮存周期等情况详见下表。</w:t>
            </w:r>
          </w:p>
          <w:p w14:paraId="7E8770A8">
            <w:pPr>
              <w:pStyle w:val="4"/>
              <w:ind w:firstLine="0" w:firstLineChars="0"/>
              <w:jc w:val="center"/>
              <w:rPr>
                <w:color w:val="auto"/>
                <w:highlight w:val="none"/>
              </w:rPr>
            </w:pPr>
            <w:r>
              <w:rPr>
                <w:rFonts w:hint="eastAsia"/>
                <w:b/>
                <w:bCs/>
                <w:color w:val="auto"/>
                <w:highlight w:val="none"/>
              </w:rPr>
              <w:t>表4-1</w:t>
            </w:r>
            <w:r>
              <w:rPr>
                <w:rFonts w:hint="eastAsia"/>
                <w:b/>
                <w:bCs/>
                <w:color w:val="auto"/>
                <w:highlight w:val="none"/>
                <w:lang w:val="en-US" w:eastAsia="zh-CN"/>
              </w:rPr>
              <w:t>5</w:t>
            </w:r>
            <w:r>
              <w:rPr>
                <w:rFonts w:hint="eastAsia"/>
                <w:b/>
                <w:bCs/>
                <w:color w:val="auto"/>
                <w:highlight w:val="none"/>
              </w:rPr>
              <w:t xml:space="preserve">  本项目危险废物贮存场所（设施）基本情况表</w:t>
            </w:r>
          </w:p>
          <w:tbl>
            <w:tblPr>
              <w:tblStyle w:val="19"/>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901"/>
              <w:gridCol w:w="1143"/>
              <w:gridCol w:w="1121"/>
              <w:gridCol w:w="1401"/>
              <w:gridCol w:w="741"/>
              <w:gridCol w:w="731"/>
              <w:gridCol w:w="779"/>
              <w:gridCol w:w="756"/>
              <w:gridCol w:w="712"/>
            </w:tblGrid>
            <w:tr w14:paraId="1319754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2" w:hRule="atLeast"/>
              </w:trPr>
              <w:tc>
                <w:tcPr>
                  <w:tcW w:w="543" w:type="pct"/>
                  <w:tcBorders>
                    <w:tl2br w:val="nil"/>
                    <w:tr2bl w:val="nil"/>
                  </w:tcBorders>
                  <w:vAlign w:val="center"/>
                </w:tcPr>
                <w:p w14:paraId="708D6CAA">
                  <w:pPr>
                    <w:pStyle w:val="13"/>
                    <w:jc w:val="center"/>
                    <w:rPr>
                      <w:b/>
                      <w:bCs/>
                      <w:color w:val="auto"/>
                      <w:sz w:val="21"/>
                      <w:szCs w:val="21"/>
                      <w:highlight w:val="none"/>
                    </w:rPr>
                  </w:pPr>
                  <w:r>
                    <w:rPr>
                      <w:b/>
                      <w:bCs/>
                      <w:color w:val="auto"/>
                      <w:sz w:val="21"/>
                      <w:szCs w:val="21"/>
                      <w:highlight w:val="none"/>
                    </w:rPr>
                    <w:t>贮存场所名称</w:t>
                  </w:r>
                </w:p>
              </w:tc>
              <w:tc>
                <w:tcPr>
                  <w:tcW w:w="689" w:type="pct"/>
                  <w:tcBorders>
                    <w:tl2br w:val="nil"/>
                    <w:tr2bl w:val="nil"/>
                  </w:tcBorders>
                  <w:vAlign w:val="center"/>
                </w:tcPr>
                <w:p w14:paraId="0A672AFF">
                  <w:pPr>
                    <w:pStyle w:val="13"/>
                    <w:jc w:val="center"/>
                    <w:rPr>
                      <w:b/>
                      <w:bCs/>
                      <w:color w:val="auto"/>
                      <w:sz w:val="21"/>
                      <w:szCs w:val="21"/>
                      <w:highlight w:val="none"/>
                    </w:rPr>
                  </w:pPr>
                  <w:r>
                    <w:rPr>
                      <w:b/>
                      <w:bCs/>
                      <w:color w:val="auto"/>
                      <w:sz w:val="21"/>
                      <w:szCs w:val="21"/>
                      <w:highlight w:val="none"/>
                    </w:rPr>
                    <w:t>危废名称</w:t>
                  </w:r>
                </w:p>
              </w:tc>
              <w:tc>
                <w:tcPr>
                  <w:tcW w:w="676" w:type="pct"/>
                  <w:tcBorders>
                    <w:tl2br w:val="nil"/>
                    <w:tr2bl w:val="nil"/>
                  </w:tcBorders>
                  <w:vAlign w:val="center"/>
                </w:tcPr>
                <w:p w14:paraId="3E00DEBB">
                  <w:pPr>
                    <w:pStyle w:val="13"/>
                    <w:jc w:val="center"/>
                    <w:rPr>
                      <w:color w:val="auto"/>
                      <w:highlight w:val="none"/>
                    </w:rPr>
                  </w:pPr>
                  <w:r>
                    <w:rPr>
                      <w:b/>
                      <w:bCs/>
                      <w:color w:val="auto"/>
                      <w:sz w:val="21"/>
                      <w:szCs w:val="21"/>
                      <w:highlight w:val="none"/>
                    </w:rPr>
                    <w:t>危废类别</w:t>
                  </w:r>
                </w:p>
              </w:tc>
              <w:tc>
                <w:tcPr>
                  <w:tcW w:w="845" w:type="pct"/>
                  <w:tcBorders>
                    <w:tl2br w:val="nil"/>
                    <w:tr2bl w:val="nil"/>
                  </w:tcBorders>
                  <w:vAlign w:val="center"/>
                </w:tcPr>
                <w:p w14:paraId="7BFF2F76">
                  <w:pPr>
                    <w:pStyle w:val="13"/>
                    <w:jc w:val="center"/>
                    <w:rPr>
                      <w:b/>
                      <w:bCs/>
                      <w:color w:val="auto"/>
                      <w:sz w:val="21"/>
                      <w:szCs w:val="21"/>
                      <w:highlight w:val="none"/>
                    </w:rPr>
                  </w:pPr>
                  <w:r>
                    <w:rPr>
                      <w:b/>
                      <w:bCs/>
                      <w:color w:val="auto"/>
                      <w:sz w:val="21"/>
                      <w:szCs w:val="21"/>
                      <w:highlight w:val="none"/>
                    </w:rPr>
                    <w:t>危废代码</w:t>
                  </w:r>
                </w:p>
              </w:tc>
              <w:tc>
                <w:tcPr>
                  <w:tcW w:w="447" w:type="pct"/>
                  <w:tcBorders>
                    <w:tl2br w:val="nil"/>
                    <w:tr2bl w:val="nil"/>
                  </w:tcBorders>
                  <w:vAlign w:val="center"/>
                </w:tcPr>
                <w:p w14:paraId="773B4556">
                  <w:pPr>
                    <w:pStyle w:val="13"/>
                    <w:jc w:val="center"/>
                    <w:rPr>
                      <w:b/>
                      <w:bCs/>
                      <w:color w:val="auto"/>
                      <w:sz w:val="21"/>
                      <w:szCs w:val="21"/>
                      <w:highlight w:val="none"/>
                    </w:rPr>
                  </w:pPr>
                  <w:r>
                    <w:rPr>
                      <w:rFonts w:hint="eastAsia"/>
                      <w:b/>
                      <w:bCs/>
                      <w:color w:val="auto"/>
                      <w:sz w:val="21"/>
                      <w:szCs w:val="21"/>
                      <w:highlight w:val="none"/>
                    </w:rPr>
                    <w:t>位置</w:t>
                  </w:r>
                </w:p>
              </w:tc>
              <w:tc>
                <w:tcPr>
                  <w:tcW w:w="441" w:type="pct"/>
                  <w:tcBorders>
                    <w:tl2br w:val="nil"/>
                    <w:tr2bl w:val="nil"/>
                  </w:tcBorders>
                  <w:vAlign w:val="center"/>
                </w:tcPr>
                <w:p w14:paraId="40732391">
                  <w:pPr>
                    <w:pStyle w:val="13"/>
                    <w:jc w:val="center"/>
                    <w:rPr>
                      <w:b/>
                      <w:bCs/>
                      <w:color w:val="auto"/>
                      <w:sz w:val="21"/>
                      <w:szCs w:val="21"/>
                      <w:highlight w:val="none"/>
                    </w:rPr>
                  </w:pPr>
                  <w:r>
                    <w:rPr>
                      <w:b/>
                      <w:bCs/>
                      <w:color w:val="auto"/>
                      <w:sz w:val="21"/>
                      <w:szCs w:val="21"/>
                      <w:highlight w:val="none"/>
                    </w:rPr>
                    <w:t>占地面积</w:t>
                  </w:r>
                </w:p>
              </w:tc>
              <w:tc>
                <w:tcPr>
                  <w:tcW w:w="470" w:type="pct"/>
                  <w:tcBorders>
                    <w:tl2br w:val="nil"/>
                    <w:tr2bl w:val="nil"/>
                  </w:tcBorders>
                  <w:vAlign w:val="center"/>
                </w:tcPr>
                <w:p w14:paraId="741C3095">
                  <w:pPr>
                    <w:pStyle w:val="13"/>
                    <w:jc w:val="center"/>
                    <w:rPr>
                      <w:b/>
                      <w:bCs/>
                      <w:color w:val="auto"/>
                      <w:sz w:val="21"/>
                      <w:szCs w:val="21"/>
                      <w:highlight w:val="none"/>
                    </w:rPr>
                  </w:pPr>
                  <w:r>
                    <w:rPr>
                      <w:rFonts w:hint="eastAsia"/>
                      <w:b/>
                      <w:bCs/>
                      <w:color w:val="auto"/>
                      <w:sz w:val="21"/>
                      <w:szCs w:val="21"/>
                      <w:highlight w:val="none"/>
                    </w:rPr>
                    <w:t>贮存方式</w:t>
                  </w:r>
                </w:p>
              </w:tc>
              <w:tc>
                <w:tcPr>
                  <w:tcW w:w="456" w:type="pct"/>
                  <w:tcBorders>
                    <w:tl2br w:val="nil"/>
                    <w:tr2bl w:val="nil"/>
                  </w:tcBorders>
                  <w:vAlign w:val="center"/>
                </w:tcPr>
                <w:p w14:paraId="05740182">
                  <w:pPr>
                    <w:pStyle w:val="13"/>
                    <w:jc w:val="center"/>
                    <w:rPr>
                      <w:b/>
                      <w:bCs/>
                      <w:color w:val="auto"/>
                      <w:sz w:val="21"/>
                      <w:szCs w:val="21"/>
                      <w:highlight w:val="none"/>
                    </w:rPr>
                  </w:pPr>
                  <w:r>
                    <w:rPr>
                      <w:b/>
                      <w:bCs/>
                      <w:color w:val="auto"/>
                      <w:sz w:val="21"/>
                      <w:szCs w:val="21"/>
                      <w:highlight w:val="none"/>
                    </w:rPr>
                    <w:t>贮存能力</w:t>
                  </w:r>
                </w:p>
              </w:tc>
              <w:tc>
                <w:tcPr>
                  <w:tcW w:w="429" w:type="pct"/>
                  <w:tcBorders>
                    <w:tl2br w:val="nil"/>
                    <w:tr2bl w:val="nil"/>
                  </w:tcBorders>
                  <w:vAlign w:val="center"/>
                </w:tcPr>
                <w:p w14:paraId="0675FAC6">
                  <w:pPr>
                    <w:pStyle w:val="13"/>
                    <w:jc w:val="center"/>
                    <w:rPr>
                      <w:b/>
                      <w:bCs/>
                      <w:color w:val="auto"/>
                      <w:sz w:val="21"/>
                      <w:szCs w:val="21"/>
                      <w:highlight w:val="none"/>
                    </w:rPr>
                  </w:pPr>
                  <w:r>
                    <w:rPr>
                      <w:b/>
                      <w:bCs/>
                      <w:color w:val="auto"/>
                      <w:sz w:val="21"/>
                      <w:szCs w:val="21"/>
                      <w:highlight w:val="none"/>
                    </w:rPr>
                    <w:t>贮存周期</w:t>
                  </w:r>
                </w:p>
              </w:tc>
            </w:tr>
            <w:tr w14:paraId="70366E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Merge w:val="restart"/>
                  <w:tcBorders>
                    <w:tl2br w:val="nil"/>
                    <w:tr2bl w:val="nil"/>
                  </w:tcBorders>
                  <w:vAlign w:val="center"/>
                </w:tcPr>
                <w:p w14:paraId="35153C4D">
                  <w:pPr>
                    <w:pStyle w:val="13"/>
                    <w:jc w:val="center"/>
                    <w:rPr>
                      <w:color w:val="auto"/>
                      <w:sz w:val="21"/>
                      <w:szCs w:val="21"/>
                      <w:highlight w:val="none"/>
                    </w:rPr>
                  </w:pPr>
                  <w:r>
                    <w:rPr>
                      <w:rFonts w:hint="eastAsia"/>
                      <w:color w:val="auto"/>
                      <w:sz w:val="21"/>
                      <w:szCs w:val="21"/>
                      <w:highlight w:val="none"/>
                    </w:rPr>
                    <w:t>危废贮存点</w:t>
                  </w:r>
                </w:p>
              </w:tc>
              <w:tc>
                <w:tcPr>
                  <w:tcW w:w="689" w:type="pct"/>
                  <w:tcBorders>
                    <w:tl2br w:val="nil"/>
                    <w:tr2bl w:val="nil"/>
                  </w:tcBorders>
                  <w:vAlign w:val="center"/>
                </w:tcPr>
                <w:p w14:paraId="6EAB23AB">
                  <w:pPr>
                    <w:widowControl/>
                    <w:jc w:val="center"/>
                    <w:rPr>
                      <w:color w:val="auto"/>
                      <w:szCs w:val="21"/>
                      <w:highlight w:val="none"/>
                    </w:rPr>
                  </w:pPr>
                  <w:r>
                    <w:rPr>
                      <w:color w:val="auto"/>
                      <w:kern w:val="0"/>
                      <w:szCs w:val="21"/>
                      <w:highlight w:val="none"/>
                      <w:lang w:bidi="ar"/>
                    </w:rPr>
                    <w:t>废</w:t>
                  </w:r>
                  <w:r>
                    <w:rPr>
                      <w:rFonts w:hint="eastAsia"/>
                      <w:color w:val="auto"/>
                      <w:kern w:val="0"/>
                      <w:szCs w:val="21"/>
                      <w:highlight w:val="none"/>
                      <w:lang w:bidi="ar"/>
                    </w:rPr>
                    <w:t>润滑油</w:t>
                  </w:r>
                </w:p>
              </w:tc>
              <w:tc>
                <w:tcPr>
                  <w:tcW w:w="676" w:type="pct"/>
                  <w:tcBorders>
                    <w:tl2br w:val="nil"/>
                    <w:tr2bl w:val="nil"/>
                  </w:tcBorders>
                  <w:vAlign w:val="center"/>
                </w:tcPr>
                <w:p w14:paraId="3B2F3480">
                  <w:pPr>
                    <w:widowControl/>
                    <w:jc w:val="center"/>
                    <w:rPr>
                      <w:color w:val="auto"/>
                      <w:szCs w:val="21"/>
                      <w:highlight w:val="none"/>
                    </w:rPr>
                  </w:pPr>
                  <w:r>
                    <w:rPr>
                      <w:color w:val="auto"/>
                      <w:kern w:val="0"/>
                      <w:szCs w:val="21"/>
                      <w:highlight w:val="none"/>
                      <w:lang w:bidi="ar"/>
                    </w:rPr>
                    <w:t>HW</w:t>
                  </w:r>
                  <w:r>
                    <w:rPr>
                      <w:rFonts w:hint="eastAsia"/>
                      <w:color w:val="auto"/>
                      <w:kern w:val="0"/>
                      <w:szCs w:val="21"/>
                      <w:highlight w:val="none"/>
                      <w:lang w:bidi="ar"/>
                    </w:rPr>
                    <w:t>08</w:t>
                  </w:r>
                </w:p>
              </w:tc>
              <w:tc>
                <w:tcPr>
                  <w:tcW w:w="845" w:type="pct"/>
                  <w:tcBorders>
                    <w:tl2br w:val="nil"/>
                    <w:tr2bl w:val="nil"/>
                  </w:tcBorders>
                  <w:vAlign w:val="center"/>
                </w:tcPr>
                <w:p w14:paraId="26302591">
                  <w:pPr>
                    <w:widowControl/>
                    <w:jc w:val="center"/>
                    <w:rPr>
                      <w:color w:val="auto"/>
                      <w:szCs w:val="21"/>
                      <w:highlight w:val="none"/>
                    </w:rPr>
                  </w:pPr>
                  <w:r>
                    <w:rPr>
                      <w:color w:val="auto"/>
                      <w:kern w:val="0"/>
                      <w:szCs w:val="21"/>
                      <w:highlight w:val="none"/>
                      <w:lang w:bidi="ar"/>
                    </w:rPr>
                    <w:t>900-217-08</w:t>
                  </w:r>
                </w:p>
              </w:tc>
              <w:tc>
                <w:tcPr>
                  <w:tcW w:w="447" w:type="pct"/>
                  <w:vMerge w:val="restart"/>
                  <w:tcBorders>
                    <w:tl2br w:val="nil"/>
                    <w:tr2bl w:val="nil"/>
                  </w:tcBorders>
                  <w:vAlign w:val="center"/>
                </w:tcPr>
                <w:p w14:paraId="09D0FD3E">
                  <w:pPr>
                    <w:pStyle w:val="13"/>
                    <w:jc w:val="center"/>
                    <w:rPr>
                      <w:color w:val="auto"/>
                      <w:sz w:val="21"/>
                      <w:szCs w:val="21"/>
                      <w:highlight w:val="none"/>
                      <w:lang w:bidi="ar"/>
                    </w:rPr>
                  </w:pPr>
                  <w:r>
                    <w:rPr>
                      <w:rFonts w:hint="eastAsia"/>
                      <w:color w:val="auto"/>
                      <w:sz w:val="21"/>
                      <w:szCs w:val="21"/>
                      <w:highlight w:val="none"/>
                      <w:lang w:bidi="ar"/>
                    </w:rPr>
                    <w:t>厂区南侧</w:t>
                  </w:r>
                </w:p>
              </w:tc>
              <w:tc>
                <w:tcPr>
                  <w:tcW w:w="441" w:type="pct"/>
                  <w:vMerge w:val="restart"/>
                  <w:tcBorders>
                    <w:tl2br w:val="nil"/>
                    <w:tr2bl w:val="nil"/>
                  </w:tcBorders>
                  <w:vAlign w:val="center"/>
                </w:tcPr>
                <w:p w14:paraId="4F08EDB5">
                  <w:pPr>
                    <w:widowControl/>
                    <w:jc w:val="center"/>
                    <w:rPr>
                      <w:color w:val="auto"/>
                      <w:szCs w:val="21"/>
                      <w:highlight w:val="none"/>
                    </w:rPr>
                  </w:pPr>
                  <w:r>
                    <w:rPr>
                      <w:color w:val="auto"/>
                      <w:szCs w:val="21"/>
                      <w:highlight w:val="none"/>
                    </w:rPr>
                    <w:t>5m</w:t>
                  </w:r>
                  <w:r>
                    <w:rPr>
                      <w:color w:val="auto"/>
                      <w:szCs w:val="21"/>
                      <w:highlight w:val="none"/>
                      <w:vertAlign w:val="superscript"/>
                    </w:rPr>
                    <w:t>2</w:t>
                  </w:r>
                </w:p>
              </w:tc>
              <w:tc>
                <w:tcPr>
                  <w:tcW w:w="470" w:type="pct"/>
                  <w:vMerge w:val="restart"/>
                  <w:tcBorders>
                    <w:tl2br w:val="nil"/>
                    <w:tr2bl w:val="nil"/>
                  </w:tcBorders>
                  <w:vAlign w:val="center"/>
                </w:tcPr>
                <w:p w14:paraId="0D634B79">
                  <w:pPr>
                    <w:widowControl/>
                    <w:jc w:val="center"/>
                    <w:rPr>
                      <w:color w:val="auto"/>
                      <w:szCs w:val="21"/>
                      <w:highlight w:val="none"/>
                    </w:rPr>
                  </w:pPr>
                  <w:r>
                    <w:rPr>
                      <w:rFonts w:hint="eastAsia"/>
                      <w:color w:val="auto"/>
                      <w:szCs w:val="21"/>
                      <w:highlight w:val="none"/>
                    </w:rPr>
                    <w:t>桶装</w:t>
                  </w:r>
                </w:p>
              </w:tc>
              <w:tc>
                <w:tcPr>
                  <w:tcW w:w="456" w:type="pct"/>
                  <w:vMerge w:val="restart"/>
                  <w:tcBorders>
                    <w:tl2br w:val="nil"/>
                    <w:tr2bl w:val="nil"/>
                  </w:tcBorders>
                  <w:vAlign w:val="center"/>
                </w:tcPr>
                <w:p w14:paraId="703F9EA2">
                  <w:pPr>
                    <w:widowControl/>
                    <w:jc w:val="center"/>
                    <w:rPr>
                      <w:color w:val="auto"/>
                      <w:kern w:val="0"/>
                      <w:szCs w:val="21"/>
                      <w:highlight w:val="none"/>
                      <w:lang w:bidi="ar"/>
                    </w:rPr>
                  </w:pPr>
                  <w:r>
                    <w:rPr>
                      <w:rFonts w:hint="eastAsia"/>
                      <w:color w:val="auto"/>
                      <w:szCs w:val="21"/>
                      <w:highlight w:val="none"/>
                    </w:rPr>
                    <w:t>10m</w:t>
                  </w:r>
                  <w:r>
                    <w:rPr>
                      <w:rFonts w:hint="eastAsia"/>
                      <w:color w:val="auto"/>
                      <w:szCs w:val="21"/>
                      <w:highlight w:val="none"/>
                      <w:vertAlign w:val="superscript"/>
                    </w:rPr>
                    <w:t>2</w:t>
                  </w:r>
                </w:p>
              </w:tc>
              <w:tc>
                <w:tcPr>
                  <w:tcW w:w="429" w:type="pct"/>
                  <w:vMerge w:val="restart"/>
                  <w:tcBorders>
                    <w:tl2br w:val="nil"/>
                    <w:tr2bl w:val="nil"/>
                  </w:tcBorders>
                  <w:vAlign w:val="center"/>
                </w:tcPr>
                <w:p w14:paraId="33F3F68A">
                  <w:pPr>
                    <w:widowControl/>
                    <w:jc w:val="center"/>
                    <w:rPr>
                      <w:color w:val="auto"/>
                      <w:kern w:val="0"/>
                      <w:szCs w:val="21"/>
                      <w:highlight w:val="none"/>
                      <w:lang w:bidi="ar"/>
                    </w:rPr>
                  </w:pPr>
                  <w:r>
                    <w:rPr>
                      <w:rFonts w:hint="eastAsia"/>
                      <w:color w:val="auto"/>
                      <w:szCs w:val="21"/>
                      <w:highlight w:val="none"/>
                    </w:rPr>
                    <w:t>1年</w:t>
                  </w:r>
                </w:p>
              </w:tc>
            </w:tr>
            <w:tr w14:paraId="7DF6B3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43" w:type="pct"/>
                  <w:vMerge w:val="continue"/>
                  <w:tcBorders>
                    <w:tl2br w:val="nil"/>
                    <w:tr2bl w:val="nil"/>
                  </w:tcBorders>
                  <w:vAlign w:val="center"/>
                </w:tcPr>
                <w:p w14:paraId="3DB65055">
                  <w:pPr>
                    <w:pStyle w:val="13"/>
                    <w:jc w:val="center"/>
                    <w:rPr>
                      <w:color w:val="auto"/>
                      <w:sz w:val="21"/>
                      <w:szCs w:val="21"/>
                      <w:highlight w:val="none"/>
                      <w:lang w:bidi="ar"/>
                    </w:rPr>
                  </w:pPr>
                </w:p>
              </w:tc>
              <w:tc>
                <w:tcPr>
                  <w:tcW w:w="689" w:type="pct"/>
                  <w:tcBorders>
                    <w:tl2br w:val="nil"/>
                    <w:tr2bl w:val="nil"/>
                  </w:tcBorders>
                  <w:vAlign w:val="center"/>
                </w:tcPr>
                <w:p w14:paraId="1F86ECCF">
                  <w:pPr>
                    <w:widowControl/>
                    <w:jc w:val="center"/>
                    <w:rPr>
                      <w:color w:val="auto"/>
                      <w:szCs w:val="21"/>
                      <w:highlight w:val="none"/>
                    </w:rPr>
                  </w:pPr>
                  <w:r>
                    <w:rPr>
                      <w:color w:val="auto"/>
                      <w:kern w:val="0"/>
                      <w:szCs w:val="21"/>
                      <w:highlight w:val="none"/>
                      <w:lang w:bidi="ar"/>
                    </w:rPr>
                    <w:t>废</w:t>
                  </w:r>
                  <w:r>
                    <w:rPr>
                      <w:rFonts w:hint="eastAsia"/>
                      <w:color w:val="auto"/>
                      <w:kern w:val="0"/>
                      <w:szCs w:val="21"/>
                      <w:highlight w:val="none"/>
                      <w:lang w:bidi="ar"/>
                    </w:rPr>
                    <w:t>油桶</w:t>
                  </w:r>
                </w:p>
              </w:tc>
              <w:tc>
                <w:tcPr>
                  <w:tcW w:w="676" w:type="pct"/>
                  <w:tcBorders>
                    <w:tl2br w:val="nil"/>
                    <w:tr2bl w:val="nil"/>
                  </w:tcBorders>
                  <w:vAlign w:val="center"/>
                </w:tcPr>
                <w:p w14:paraId="0FE5DF0A">
                  <w:pPr>
                    <w:widowControl/>
                    <w:jc w:val="center"/>
                    <w:rPr>
                      <w:color w:val="auto"/>
                      <w:kern w:val="0"/>
                      <w:szCs w:val="21"/>
                      <w:highlight w:val="none"/>
                      <w:lang w:bidi="ar"/>
                    </w:rPr>
                  </w:pPr>
                  <w:r>
                    <w:rPr>
                      <w:color w:val="auto"/>
                      <w:kern w:val="0"/>
                      <w:szCs w:val="21"/>
                      <w:highlight w:val="none"/>
                      <w:lang w:bidi="ar"/>
                    </w:rPr>
                    <w:t>HW</w:t>
                  </w:r>
                  <w:r>
                    <w:rPr>
                      <w:rFonts w:hint="eastAsia"/>
                      <w:color w:val="auto"/>
                      <w:kern w:val="0"/>
                      <w:szCs w:val="21"/>
                      <w:highlight w:val="none"/>
                      <w:lang w:bidi="ar"/>
                    </w:rPr>
                    <w:t>08</w:t>
                  </w:r>
                </w:p>
              </w:tc>
              <w:tc>
                <w:tcPr>
                  <w:tcW w:w="845" w:type="pct"/>
                  <w:tcBorders>
                    <w:tl2br w:val="nil"/>
                    <w:tr2bl w:val="nil"/>
                  </w:tcBorders>
                  <w:vAlign w:val="center"/>
                </w:tcPr>
                <w:p w14:paraId="4E8BF307">
                  <w:pPr>
                    <w:widowControl/>
                    <w:jc w:val="center"/>
                    <w:rPr>
                      <w:color w:val="auto"/>
                      <w:kern w:val="0"/>
                      <w:szCs w:val="21"/>
                      <w:highlight w:val="none"/>
                      <w:lang w:bidi="ar"/>
                    </w:rPr>
                  </w:pPr>
                  <w:r>
                    <w:rPr>
                      <w:rFonts w:hint="eastAsia"/>
                      <w:color w:val="auto"/>
                      <w:kern w:val="0"/>
                      <w:szCs w:val="21"/>
                      <w:highlight w:val="none"/>
                      <w:lang w:bidi="ar"/>
                    </w:rPr>
                    <w:t>900-249-08</w:t>
                  </w:r>
                </w:p>
              </w:tc>
              <w:tc>
                <w:tcPr>
                  <w:tcW w:w="447" w:type="pct"/>
                  <w:vMerge w:val="continue"/>
                  <w:tcBorders>
                    <w:tl2br w:val="nil"/>
                    <w:tr2bl w:val="nil"/>
                  </w:tcBorders>
                  <w:vAlign w:val="center"/>
                </w:tcPr>
                <w:p w14:paraId="7BBEB9A5">
                  <w:pPr>
                    <w:pStyle w:val="13"/>
                    <w:jc w:val="center"/>
                    <w:rPr>
                      <w:color w:val="auto"/>
                      <w:sz w:val="21"/>
                      <w:szCs w:val="21"/>
                      <w:highlight w:val="none"/>
                      <w:lang w:bidi="ar"/>
                    </w:rPr>
                  </w:pPr>
                </w:p>
              </w:tc>
              <w:tc>
                <w:tcPr>
                  <w:tcW w:w="441" w:type="pct"/>
                  <w:vMerge w:val="continue"/>
                  <w:tcBorders>
                    <w:tl2br w:val="nil"/>
                    <w:tr2bl w:val="nil"/>
                  </w:tcBorders>
                  <w:vAlign w:val="center"/>
                </w:tcPr>
                <w:p w14:paraId="2975A82A">
                  <w:pPr>
                    <w:widowControl/>
                    <w:jc w:val="center"/>
                    <w:rPr>
                      <w:color w:val="auto"/>
                      <w:kern w:val="0"/>
                      <w:szCs w:val="21"/>
                      <w:highlight w:val="none"/>
                      <w:lang w:bidi="ar"/>
                    </w:rPr>
                  </w:pPr>
                </w:p>
              </w:tc>
              <w:tc>
                <w:tcPr>
                  <w:tcW w:w="470" w:type="pct"/>
                  <w:vMerge w:val="continue"/>
                  <w:tcBorders>
                    <w:tl2br w:val="nil"/>
                    <w:tr2bl w:val="nil"/>
                  </w:tcBorders>
                  <w:vAlign w:val="center"/>
                </w:tcPr>
                <w:p w14:paraId="10268021">
                  <w:pPr>
                    <w:widowControl/>
                    <w:jc w:val="center"/>
                    <w:rPr>
                      <w:color w:val="auto"/>
                      <w:kern w:val="0"/>
                      <w:szCs w:val="21"/>
                      <w:highlight w:val="none"/>
                      <w:lang w:bidi="ar"/>
                    </w:rPr>
                  </w:pPr>
                </w:p>
              </w:tc>
              <w:tc>
                <w:tcPr>
                  <w:tcW w:w="456" w:type="pct"/>
                  <w:vMerge w:val="continue"/>
                  <w:tcBorders>
                    <w:tl2br w:val="nil"/>
                    <w:tr2bl w:val="nil"/>
                  </w:tcBorders>
                  <w:vAlign w:val="center"/>
                </w:tcPr>
                <w:p w14:paraId="1A0E1BFD">
                  <w:pPr>
                    <w:widowControl/>
                    <w:jc w:val="center"/>
                    <w:rPr>
                      <w:color w:val="auto"/>
                      <w:kern w:val="0"/>
                      <w:szCs w:val="21"/>
                      <w:highlight w:val="none"/>
                      <w:lang w:bidi="ar"/>
                    </w:rPr>
                  </w:pPr>
                </w:p>
              </w:tc>
              <w:tc>
                <w:tcPr>
                  <w:tcW w:w="429" w:type="pct"/>
                  <w:vMerge w:val="continue"/>
                  <w:tcBorders>
                    <w:tl2br w:val="nil"/>
                    <w:tr2bl w:val="nil"/>
                  </w:tcBorders>
                  <w:vAlign w:val="center"/>
                </w:tcPr>
                <w:p w14:paraId="164C37B4">
                  <w:pPr>
                    <w:widowControl/>
                    <w:jc w:val="center"/>
                    <w:rPr>
                      <w:color w:val="auto"/>
                      <w:kern w:val="0"/>
                      <w:szCs w:val="21"/>
                      <w:highlight w:val="none"/>
                      <w:lang w:bidi="ar"/>
                    </w:rPr>
                  </w:pPr>
                </w:p>
              </w:tc>
            </w:tr>
          </w:tbl>
          <w:p w14:paraId="74663172">
            <w:pPr>
              <w:pStyle w:val="16"/>
              <w:spacing w:before="0" w:beforeAutospacing="0" w:after="0" w:afterAutospacing="0" w:line="360" w:lineRule="auto"/>
              <w:rPr>
                <w:rFonts w:ascii="Times New Roman" w:hAnsi="Times New Roman"/>
                <w:color w:val="auto"/>
                <w:kern w:val="2"/>
                <w:szCs w:val="24"/>
                <w:highlight w:val="none"/>
              </w:rPr>
            </w:pPr>
            <w:r>
              <w:rPr>
                <w:rFonts w:ascii="Times New Roman" w:hAnsi="Times New Roman"/>
                <w:color w:val="auto"/>
                <w:highlight w:val="none"/>
              </w:rPr>
              <w:drawing>
                <wp:inline distT="0" distB="0" distL="114300" distR="114300">
                  <wp:extent cx="5179060" cy="1541145"/>
                  <wp:effectExtent l="0" t="0" r="2540" b="13335"/>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pic:cNvPicPr>
                            <a:picLocks noChangeAspect="1"/>
                          </pic:cNvPicPr>
                        </pic:nvPicPr>
                        <pic:blipFill>
                          <a:blip r:embed="rId42"/>
                          <a:srcRect t="60154"/>
                          <a:stretch>
                            <a:fillRect/>
                          </a:stretch>
                        </pic:blipFill>
                        <pic:spPr>
                          <a:xfrm>
                            <a:off x="0" y="0"/>
                            <a:ext cx="5179060" cy="1541145"/>
                          </a:xfrm>
                          <a:prstGeom prst="rect">
                            <a:avLst/>
                          </a:prstGeom>
                          <a:noFill/>
                          <a:ln>
                            <a:noFill/>
                          </a:ln>
                        </pic:spPr>
                      </pic:pic>
                    </a:graphicData>
                  </a:graphic>
                </wp:inline>
              </w:drawing>
            </w:r>
          </w:p>
          <w:p w14:paraId="0D867C78">
            <w:pPr>
              <w:widowControl/>
              <w:autoSpaceDE w:val="0"/>
              <w:autoSpaceDN w:val="0"/>
              <w:spacing w:line="360" w:lineRule="auto"/>
              <w:jc w:val="center"/>
              <w:rPr>
                <w:color w:val="auto"/>
                <w:szCs w:val="21"/>
                <w:highlight w:val="none"/>
              </w:rPr>
            </w:pPr>
            <w:r>
              <w:rPr>
                <w:b/>
                <w:bCs/>
                <w:color w:val="auto"/>
                <w:kern w:val="0"/>
                <w:szCs w:val="21"/>
                <w:highlight w:val="none"/>
                <w:lang w:bidi="ar"/>
              </w:rPr>
              <w:t>图4-1 环境保护图形标志</w:t>
            </w:r>
          </w:p>
          <w:p w14:paraId="3A73F074">
            <w:pPr>
              <w:pStyle w:val="16"/>
              <w:spacing w:before="0" w:beforeAutospacing="0" w:after="0" w:afterAutospacing="0" w:line="360" w:lineRule="auto"/>
              <w:ind w:firstLine="480" w:firstLineChars="200"/>
              <w:rPr>
                <w:rFonts w:hint="eastAsia"/>
                <w:color w:val="auto"/>
                <w:sz w:val="24"/>
                <w:highlight w:val="none"/>
              </w:rPr>
            </w:pPr>
            <w:r>
              <w:rPr>
                <w:rFonts w:hint="default" w:ascii="Times New Roman" w:hAnsi="Times New Roman" w:cs="Times New Roman"/>
                <w:color w:val="auto"/>
                <w:sz w:val="24"/>
                <w:highlight w:val="none"/>
              </w:rPr>
              <w:t>D.</w:t>
            </w:r>
            <w:r>
              <w:rPr>
                <w:rFonts w:hint="eastAsia"/>
                <w:color w:val="auto"/>
                <w:sz w:val="24"/>
                <w:highlight w:val="none"/>
              </w:rPr>
              <w:t>危险废物</w:t>
            </w:r>
            <w:r>
              <w:rPr>
                <w:rFonts w:hint="eastAsia"/>
                <w:color w:val="auto"/>
                <w:sz w:val="24"/>
                <w:highlight w:val="none"/>
                <w:lang w:val="en-US" w:eastAsia="zh-CN"/>
              </w:rPr>
              <w:t>委托处置</w:t>
            </w:r>
            <w:r>
              <w:rPr>
                <w:rFonts w:hint="eastAsia"/>
                <w:color w:val="auto"/>
                <w:sz w:val="24"/>
                <w:highlight w:val="none"/>
              </w:rPr>
              <w:t>过程环境影响分析</w:t>
            </w:r>
          </w:p>
          <w:p w14:paraId="0E3AAE7F">
            <w:pPr>
              <w:widowControl/>
              <w:spacing w:line="360" w:lineRule="auto"/>
              <w:ind w:firstLine="480" w:firstLineChars="200"/>
              <w:jc w:val="left"/>
              <w:rPr>
                <w:rFonts w:hint="eastAsia"/>
                <w:color w:val="auto"/>
                <w:sz w:val="24"/>
                <w:highlight w:val="none"/>
              </w:rPr>
            </w:pPr>
            <w:r>
              <w:rPr>
                <w:rFonts w:hint="eastAsia"/>
                <w:color w:val="auto"/>
                <w:sz w:val="24"/>
                <w:highlight w:val="none"/>
              </w:rPr>
              <w:t>本项目贮存的危险废物由有资质危废处置单位进行处置，危废处置单位使用专用车辆，本项目建设单位不自行外运、转移。</w:t>
            </w:r>
          </w:p>
          <w:p w14:paraId="32854FA8">
            <w:pPr>
              <w:widowControl/>
              <w:numPr>
                <w:ilvl w:val="0"/>
                <w:numId w:val="7"/>
              </w:numPr>
              <w:spacing w:line="360" w:lineRule="auto"/>
              <w:ind w:firstLine="480" w:firstLineChars="200"/>
              <w:jc w:val="left"/>
              <w:rPr>
                <w:color w:val="auto"/>
                <w:sz w:val="24"/>
                <w:highlight w:val="none"/>
              </w:rPr>
            </w:pPr>
            <w:r>
              <w:rPr>
                <w:rFonts w:hint="eastAsia"/>
                <w:color w:val="auto"/>
                <w:sz w:val="24"/>
                <w:highlight w:val="none"/>
              </w:rPr>
              <w:t>危险废物运输过程环境影响分析</w:t>
            </w:r>
          </w:p>
          <w:p w14:paraId="4751F45C">
            <w:pPr>
              <w:widowControl/>
              <w:spacing w:line="360" w:lineRule="auto"/>
              <w:ind w:firstLine="480" w:firstLineChars="200"/>
              <w:jc w:val="left"/>
              <w:rPr>
                <w:color w:val="auto"/>
                <w:sz w:val="24"/>
                <w:highlight w:val="none"/>
              </w:rPr>
            </w:pPr>
            <w:r>
              <w:rPr>
                <w:rFonts w:hint="eastAsia"/>
                <w:color w:val="auto"/>
                <w:sz w:val="24"/>
                <w:highlight w:val="none"/>
              </w:rPr>
              <w:t>本项目产生的危险废物暂存于危废贮存点，定期外委处理，每次移交时应加强管理，避免厂内运输二次污染。由有资质的人员或特殊人员搬运危险废物，搬运过程中，加强人员管理，检查危废盛放设施是否完备，确保不撒漏。</w:t>
            </w:r>
          </w:p>
          <w:p w14:paraId="1C063197">
            <w:pPr>
              <w:widowControl/>
              <w:numPr>
                <w:ilvl w:val="0"/>
                <w:numId w:val="7"/>
              </w:numPr>
              <w:spacing w:line="360" w:lineRule="auto"/>
              <w:ind w:firstLine="480" w:firstLineChars="200"/>
              <w:jc w:val="left"/>
              <w:rPr>
                <w:color w:val="auto"/>
                <w:sz w:val="24"/>
                <w:highlight w:val="none"/>
              </w:rPr>
            </w:pPr>
            <w:r>
              <w:rPr>
                <w:rFonts w:hint="eastAsia"/>
                <w:color w:val="auto"/>
                <w:sz w:val="24"/>
                <w:highlight w:val="none"/>
                <w:lang w:val="en-US" w:eastAsia="zh-CN"/>
              </w:rPr>
              <w:t>管理措施</w:t>
            </w:r>
          </w:p>
          <w:p w14:paraId="67225211">
            <w:pPr>
              <w:widowControl/>
              <w:numPr>
                <w:ilvl w:val="0"/>
                <w:numId w:val="0"/>
              </w:numPr>
              <w:spacing w:line="360" w:lineRule="auto"/>
              <w:ind w:firstLine="480" w:firstLineChars="200"/>
              <w:jc w:val="left"/>
              <w:rPr>
                <w:rFonts w:hint="eastAsia"/>
                <w:color w:val="auto"/>
                <w:sz w:val="24"/>
                <w:highlight w:val="none"/>
              </w:rPr>
            </w:pPr>
            <w:r>
              <w:rPr>
                <w:rFonts w:hint="eastAsia"/>
                <w:color w:val="auto"/>
                <w:sz w:val="24"/>
                <w:highlight w:val="none"/>
              </w:rPr>
              <w:t>根据《</w:t>
            </w:r>
            <w:r>
              <w:rPr>
                <w:rFonts w:hint="eastAsia"/>
                <w:color w:val="auto"/>
                <w:sz w:val="24"/>
                <w:highlight w:val="none"/>
              </w:rPr>
              <w:fldChar w:fldCharType="begin"/>
            </w:r>
            <w:r>
              <w:rPr>
                <w:rFonts w:hint="eastAsia"/>
                <w:color w:val="auto"/>
                <w:sz w:val="24"/>
                <w:highlight w:val="none"/>
              </w:rPr>
              <w:instrText xml:space="preserve">HYPERLINK "http://www.mee.gov.cn/gkml/hbb/bgg/201601/W020160128385366835993.pdf"</w:instrText>
            </w:r>
            <w:r>
              <w:rPr>
                <w:rFonts w:hint="eastAsia"/>
                <w:color w:val="auto"/>
                <w:sz w:val="24"/>
                <w:highlight w:val="none"/>
              </w:rPr>
              <w:fldChar w:fldCharType="separate"/>
            </w:r>
            <w:r>
              <w:rPr>
                <w:rFonts w:hint="eastAsia"/>
                <w:color w:val="auto"/>
                <w:sz w:val="24"/>
                <w:highlight w:val="none"/>
              </w:rPr>
              <w:t>危险废物产生单位管理计划制定指南</w:t>
            </w:r>
            <w:r>
              <w:rPr>
                <w:rFonts w:hint="eastAsia"/>
                <w:color w:val="auto"/>
                <w:sz w:val="24"/>
                <w:highlight w:val="none"/>
              </w:rPr>
              <w:fldChar w:fldCharType="end"/>
            </w:r>
            <w:r>
              <w:rPr>
                <w:rFonts w:hint="eastAsia"/>
                <w:color w:val="auto"/>
                <w:sz w:val="24"/>
                <w:highlight w:val="none"/>
              </w:rPr>
              <w:t>》相关内容，对于产生危险废物的单位必须按照国家有关规定制定危险废物管理计划，其主要内容为：</w:t>
            </w:r>
          </w:p>
          <w:p w14:paraId="3880E7B8">
            <w:pPr>
              <w:widowControl/>
              <w:numPr>
                <w:ilvl w:val="0"/>
                <w:numId w:val="0"/>
              </w:numPr>
              <w:spacing w:line="360" w:lineRule="auto"/>
              <w:ind w:firstLine="480" w:firstLineChars="200"/>
              <w:jc w:val="left"/>
              <w:rPr>
                <w:rFonts w:hint="eastAsia"/>
                <w:color w:val="auto"/>
                <w:sz w:val="24"/>
                <w:highlight w:val="none"/>
              </w:rPr>
            </w:pPr>
            <w:r>
              <w:rPr>
                <w:rFonts w:hint="eastAsia"/>
                <w:color w:val="auto"/>
                <w:sz w:val="24"/>
                <w:highlight w:val="none"/>
              </w:rPr>
              <w:t>①基本信息，包括管理计划的基本内容及管理体系；</w:t>
            </w:r>
          </w:p>
          <w:p w14:paraId="68C23649">
            <w:pPr>
              <w:widowControl/>
              <w:numPr>
                <w:ilvl w:val="0"/>
                <w:numId w:val="0"/>
              </w:numPr>
              <w:spacing w:line="360" w:lineRule="auto"/>
              <w:ind w:firstLine="480" w:firstLineChars="200"/>
              <w:jc w:val="left"/>
              <w:rPr>
                <w:rFonts w:hint="eastAsia"/>
                <w:color w:val="auto"/>
                <w:sz w:val="24"/>
                <w:highlight w:val="none"/>
              </w:rPr>
            </w:pPr>
            <w:r>
              <w:rPr>
                <w:rFonts w:hint="eastAsia"/>
                <w:color w:val="auto"/>
                <w:sz w:val="24"/>
                <w:highlight w:val="none"/>
              </w:rPr>
              <w:t>②过程管理，包括危险废物产生环节（产品生产情况、危险废物产生情况、危险废物源头减量计划和措施）、危险废物转移环节（危险废物贮存、运输、转移情况）、危险废物利用处置环节（危险废物自行利用/委托利用处置情况）；</w:t>
            </w:r>
          </w:p>
          <w:p w14:paraId="742EB997">
            <w:pPr>
              <w:widowControl/>
              <w:numPr>
                <w:ilvl w:val="0"/>
                <w:numId w:val="0"/>
              </w:numPr>
              <w:spacing w:line="360" w:lineRule="auto"/>
              <w:ind w:firstLine="480" w:firstLineChars="200"/>
              <w:jc w:val="left"/>
              <w:rPr>
                <w:rFonts w:hint="eastAsia"/>
                <w:color w:val="auto"/>
                <w:sz w:val="24"/>
                <w:highlight w:val="none"/>
              </w:rPr>
            </w:pPr>
            <w:r>
              <w:rPr>
                <w:rFonts w:hint="eastAsia"/>
                <w:color w:val="auto"/>
                <w:sz w:val="24"/>
                <w:highlight w:val="none"/>
              </w:rPr>
              <w:t>③环境监测，产废单位应对危险废物自行利用处置设施运行的相关参数、环境质量、污染物排放等进行监测；</w:t>
            </w:r>
          </w:p>
          <w:p w14:paraId="0936079A">
            <w:pPr>
              <w:widowControl/>
              <w:numPr>
                <w:ilvl w:val="0"/>
                <w:numId w:val="0"/>
              </w:numPr>
              <w:spacing w:line="360" w:lineRule="auto"/>
              <w:ind w:firstLine="480" w:firstLineChars="200"/>
              <w:jc w:val="left"/>
              <w:rPr>
                <w:rFonts w:hint="eastAsia"/>
                <w:color w:val="auto"/>
                <w:sz w:val="24"/>
                <w:highlight w:val="none"/>
              </w:rPr>
            </w:pPr>
            <w:r>
              <w:rPr>
                <w:rFonts w:hint="eastAsia"/>
                <w:color w:val="auto"/>
                <w:sz w:val="24"/>
                <w:highlight w:val="none"/>
              </w:rPr>
              <w:t>④上年度计划实施情况回顾，产废单位应对上年度管理计划实施情况进行总结；</w:t>
            </w:r>
          </w:p>
          <w:p w14:paraId="0A11388E">
            <w:pPr>
              <w:widowControl/>
              <w:numPr>
                <w:ilvl w:val="0"/>
                <w:numId w:val="0"/>
              </w:numPr>
              <w:spacing w:line="360" w:lineRule="auto"/>
              <w:ind w:firstLine="480" w:firstLineChars="200"/>
              <w:jc w:val="left"/>
              <w:rPr>
                <w:rFonts w:hint="eastAsia"/>
                <w:color w:val="auto"/>
                <w:sz w:val="24"/>
                <w:highlight w:val="none"/>
              </w:rPr>
            </w:pPr>
            <w:r>
              <w:rPr>
                <w:rFonts w:hint="eastAsia"/>
                <w:color w:val="auto"/>
                <w:sz w:val="24"/>
                <w:highlight w:val="none"/>
              </w:rPr>
              <w:t>⑤建立台账，产废单位要结合自身的实际情况，与生产记录相衔接，建立危险废物台账，如实记载产生危险废物的种类、数量、流向、贮存、利用处置等信息。鼓励产废单位采用信息化手段建立危险废物台账。产废单位应在台账工作的基础上如实向所在地县级以上人民政府环境保护主管部门申报危险废物的种类、产生量、流向、贮存、处置等有关资料。</w:t>
            </w:r>
          </w:p>
          <w:p w14:paraId="7D8B35E0">
            <w:pPr>
              <w:widowControl/>
              <w:spacing w:line="360" w:lineRule="auto"/>
              <w:ind w:firstLine="480" w:firstLineChars="200"/>
              <w:jc w:val="left"/>
              <w:rPr>
                <w:rFonts w:hint="eastAsia" w:eastAsia="宋体"/>
                <w:color w:val="FF0000"/>
                <w:sz w:val="24"/>
                <w:highlight w:val="none"/>
                <w:lang w:eastAsia="zh-CN"/>
              </w:rPr>
            </w:pPr>
            <w:r>
              <w:rPr>
                <w:rFonts w:hint="eastAsia"/>
                <w:color w:val="FF0000"/>
                <w:sz w:val="24"/>
                <w:highlight w:val="none"/>
                <w:lang w:val="en-US" w:eastAsia="zh-CN"/>
              </w:rPr>
              <w:t>本项目在成品库房西南角设置一间5m</w:t>
            </w:r>
            <w:r>
              <w:rPr>
                <w:rFonts w:hint="eastAsia"/>
                <w:color w:val="FF0000"/>
                <w:sz w:val="24"/>
                <w:highlight w:val="none"/>
                <w:vertAlign w:val="superscript"/>
                <w:lang w:val="en-US" w:eastAsia="zh-CN"/>
              </w:rPr>
              <w:t>2</w:t>
            </w:r>
            <w:r>
              <w:rPr>
                <w:rFonts w:hint="eastAsia"/>
                <w:color w:val="FF0000"/>
                <w:sz w:val="24"/>
                <w:highlight w:val="none"/>
                <w:lang w:val="en-US" w:eastAsia="zh-CN"/>
              </w:rPr>
              <w:t>的危险废物贮存点，贮存能力约3t，项目危险废物废机油年产生量为0.1t/a、废机油桶年产生量为4个/a，转运周期为1年，危险废物最大存在量小于危险废物贮存点的存储能力，因此本项目危险废物贮存点容积可行。项目废机油采用密封桶装，危险废物贮存点设置门坎，可防止事故状态下泄漏的废机油漫流，项目危险废物产生、厂内转运、暂存、委托处置均按台账管理要求进行记录；危险废物贮存点位于全封闭成品库房内，</w:t>
            </w:r>
            <w:r>
              <w:rPr>
                <w:color w:val="FF0000"/>
                <w:sz w:val="24"/>
                <w:highlight w:val="none"/>
              </w:rPr>
              <w:t>满足防风、防雨、防晒、防火、防雷、防扬散、防流失、防渗漏等要求，并设置环境保护图形标志</w:t>
            </w:r>
            <w:r>
              <w:rPr>
                <w:rFonts w:hint="eastAsia"/>
                <w:color w:val="FF0000"/>
                <w:sz w:val="24"/>
                <w:highlight w:val="none"/>
              </w:rPr>
              <w:t>，</w:t>
            </w:r>
            <w:r>
              <w:rPr>
                <w:rFonts w:hint="eastAsia"/>
                <w:color w:val="FF0000"/>
                <w:sz w:val="24"/>
                <w:highlight w:val="none"/>
                <w:lang w:val="en-US" w:eastAsia="zh-CN"/>
              </w:rPr>
              <w:t>地面做重点防渗</w:t>
            </w:r>
            <w:r>
              <w:rPr>
                <w:color w:val="FF0000"/>
                <w:sz w:val="24"/>
                <w:highlight w:val="none"/>
              </w:rPr>
              <w:t>，并设置环境保护图形标志</w:t>
            </w:r>
            <w:r>
              <w:rPr>
                <w:rFonts w:hint="eastAsia"/>
                <w:color w:val="FF0000"/>
                <w:sz w:val="24"/>
                <w:highlight w:val="none"/>
                <w:lang w:eastAsia="zh-CN"/>
              </w:rPr>
              <w:t>，</w:t>
            </w:r>
            <w:r>
              <w:rPr>
                <w:rFonts w:hint="eastAsia"/>
                <w:color w:val="FF0000"/>
                <w:sz w:val="24"/>
                <w:highlight w:val="none"/>
                <w:lang w:val="en-US" w:eastAsia="zh-CN"/>
              </w:rPr>
              <w:t>符合</w:t>
            </w:r>
            <w:r>
              <w:rPr>
                <w:rFonts w:hint="eastAsia"/>
                <w:bCs/>
                <w:color w:val="FF0000"/>
                <w:sz w:val="24"/>
                <w:highlight w:val="none"/>
              </w:rPr>
              <w:t>《危险废物贮存污染控制标准》（GB18597-2023）中贮存点的建设要求</w:t>
            </w:r>
            <w:r>
              <w:rPr>
                <w:rFonts w:hint="eastAsia"/>
                <w:bCs/>
                <w:color w:val="FF0000"/>
                <w:sz w:val="24"/>
                <w:highlight w:val="none"/>
                <w:lang w:eastAsia="zh-CN"/>
              </w:rPr>
              <w:t>。</w:t>
            </w:r>
          </w:p>
          <w:p w14:paraId="3C8B6087">
            <w:pPr>
              <w:pStyle w:val="13"/>
              <w:rPr>
                <w:rFonts w:hint="default" w:eastAsia="宋体"/>
                <w:highlight w:val="none"/>
                <w:lang w:val="en-US" w:eastAsia="zh-CN"/>
              </w:rPr>
            </w:pPr>
          </w:p>
          <w:p w14:paraId="71A8968D">
            <w:pPr>
              <w:widowControl/>
              <w:spacing w:line="360" w:lineRule="auto"/>
              <w:jc w:val="left"/>
              <w:rPr>
                <w:color w:val="auto"/>
                <w:highlight w:val="none"/>
              </w:rPr>
            </w:pPr>
            <w:r>
              <w:rPr>
                <w:b/>
                <w:bCs/>
                <w:color w:val="auto"/>
                <w:kern w:val="0"/>
                <w:sz w:val="24"/>
                <w:highlight w:val="none"/>
                <w:lang w:bidi="ar"/>
              </w:rPr>
              <w:t>5</w:t>
            </w:r>
            <w:r>
              <w:rPr>
                <w:rFonts w:hint="eastAsia" w:ascii="宋体" w:hAnsi="宋体" w:cs="宋体"/>
                <w:b/>
                <w:bCs/>
                <w:color w:val="auto"/>
                <w:kern w:val="0"/>
                <w:sz w:val="24"/>
                <w:highlight w:val="none"/>
                <w:lang w:bidi="ar"/>
              </w:rPr>
              <w:t>、地下水、土壤</w:t>
            </w:r>
          </w:p>
          <w:p w14:paraId="438F21F2">
            <w:pPr>
              <w:widowControl/>
              <w:spacing w:line="360" w:lineRule="auto"/>
              <w:ind w:firstLine="480" w:firstLineChars="200"/>
              <w:rPr>
                <w:rFonts w:hint="eastAsia" w:ascii="宋体" w:hAnsi="宋体" w:cs="宋体"/>
                <w:color w:val="auto"/>
                <w:kern w:val="0"/>
                <w:sz w:val="24"/>
                <w:highlight w:val="none"/>
                <w:lang w:bidi="ar"/>
              </w:rPr>
            </w:pPr>
            <w:r>
              <w:rPr>
                <w:rFonts w:hint="eastAsia" w:ascii="宋体" w:hAnsi="宋体" w:cs="宋体"/>
                <w:color w:val="auto"/>
                <w:kern w:val="0"/>
                <w:sz w:val="24"/>
                <w:highlight w:val="none"/>
                <w:lang w:bidi="ar"/>
              </w:rPr>
              <w:t>根据厂区实际情况，为防止物料、废物等跑、冒、滴、漏等发生渗漏情况对土壤、地下水造成污染，本项目应加强土壤、地下水环境的环保措施。本次采取的地下水、土壤污染防治措施如下：</w:t>
            </w:r>
          </w:p>
          <w:p w14:paraId="6DA75B7E">
            <w:pPr>
              <w:widowControl/>
              <w:spacing w:line="360" w:lineRule="auto"/>
              <w:ind w:firstLine="480" w:firstLineChars="200"/>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eastAsia="zh-CN" w:bidi="ar"/>
              </w:rPr>
              <w:t>（</w:t>
            </w:r>
            <w:r>
              <w:rPr>
                <w:rFonts w:hint="default" w:ascii="Times New Roman" w:hAnsi="Times New Roman" w:cs="Times New Roman"/>
                <w:color w:val="auto"/>
                <w:kern w:val="0"/>
                <w:sz w:val="24"/>
                <w:highlight w:val="none"/>
                <w:lang w:val="en-US" w:eastAsia="zh-CN" w:bidi="ar"/>
              </w:rPr>
              <w:t>1</w:t>
            </w:r>
            <w:r>
              <w:rPr>
                <w:rFonts w:hint="default" w:ascii="Times New Roman" w:hAnsi="Times New Roman" w:cs="Times New Roman"/>
                <w:color w:val="auto"/>
                <w:kern w:val="0"/>
                <w:sz w:val="24"/>
                <w:highlight w:val="none"/>
                <w:lang w:eastAsia="zh-CN" w:bidi="ar"/>
              </w:rPr>
              <w:t>）</w:t>
            </w:r>
            <w:r>
              <w:rPr>
                <w:rFonts w:hint="default" w:ascii="Times New Roman" w:hAnsi="Times New Roman" w:cs="Times New Roman"/>
                <w:color w:val="auto"/>
                <w:kern w:val="0"/>
                <w:sz w:val="24"/>
                <w:highlight w:val="none"/>
                <w:lang w:bidi="ar"/>
              </w:rPr>
              <w:t>源头控制措施</w:t>
            </w:r>
          </w:p>
          <w:p w14:paraId="631AAEBF">
            <w:pPr>
              <w:widowControl/>
              <w:spacing w:line="360" w:lineRule="auto"/>
              <w:ind w:firstLine="480" w:firstLineChars="200"/>
              <w:rPr>
                <w:rFonts w:hint="eastAsia" w:ascii="宋体" w:hAnsi="宋体" w:cs="宋体"/>
                <w:color w:val="auto"/>
                <w:kern w:val="0"/>
                <w:sz w:val="24"/>
                <w:highlight w:val="none"/>
                <w:lang w:bidi="ar"/>
              </w:rPr>
            </w:pPr>
            <w:r>
              <w:rPr>
                <w:rFonts w:hint="eastAsia" w:ascii="宋体" w:hAnsi="宋体" w:cs="宋体"/>
                <w:color w:val="auto"/>
                <w:kern w:val="0"/>
                <w:sz w:val="24"/>
                <w:highlight w:val="none"/>
                <w:lang w:val="en-US" w:eastAsia="zh-CN" w:bidi="ar"/>
              </w:rPr>
              <w:t>①</w:t>
            </w:r>
            <w:r>
              <w:rPr>
                <w:rFonts w:hint="eastAsia" w:ascii="宋体" w:hAnsi="宋体" w:cs="宋体"/>
                <w:color w:val="auto"/>
                <w:kern w:val="0"/>
                <w:sz w:val="24"/>
                <w:highlight w:val="none"/>
                <w:lang w:bidi="ar"/>
              </w:rPr>
              <w:t>积极推行实施清洁生产，实现各类废物循环利用，减少污染物的排放量；</w:t>
            </w:r>
          </w:p>
          <w:p w14:paraId="5D3D3FBD">
            <w:pPr>
              <w:widowControl/>
              <w:spacing w:line="360" w:lineRule="auto"/>
              <w:ind w:firstLine="480" w:firstLineChars="200"/>
              <w:rPr>
                <w:rFonts w:hint="eastAsia" w:ascii="宋体" w:hAnsi="宋体" w:cs="宋体"/>
                <w:color w:val="auto"/>
                <w:kern w:val="0"/>
                <w:sz w:val="24"/>
                <w:highlight w:val="none"/>
                <w:lang w:bidi="ar"/>
              </w:rPr>
            </w:pPr>
            <w:r>
              <w:rPr>
                <w:rFonts w:hint="eastAsia" w:ascii="宋体" w:hAnsi="宋体" w:cs="宋体"/>
                <w:color w:val="auto"/>
                <w:kern w:val="0"/>
                <w:sz w:val="24"/>
                <w:highlight w:val="none"/>
                <w:lang w:val="en-US" w:eastAsia="zh-CN" w:bidi="ar"/>
              </w:rPr>
              <w:t>②</w:t>
            </w:r>
            <w:r>
              <w:rPr>
                <w:rFonts w:hint="eastAsia" w:ascii="宋体" w:hAnsi="宋体" w:cs="宋体"/>
                <w:color w:val="auto"/>
                <w:kern w:val="0"/>
                <w:sz w:val="24"/>
                <w:highlight w:val="none"/>
                <w:lang w:bidi="ar"/>
              </w:rPr>
              <w:t>根据国家现行相关规范加强环境管理，采取防止和降低污染物跑、冒、滴、漏的措施。正常运营过程中应加强巡检及时处理污染物跑、冒、滴、漏，同时应加强对防渗工程的检查，若发现防渗密封材料老化或损坏，应及时维修更换；</w:t>
            </w:r>
          </w:p>
          <w:p w14:paraId="0C9C89D5">
            <w:pPr>
              <w:widowControl/>
              <w:spacing w:line="360" w:lineRule="auto"/>
              <w:ind w:firstLine="480" w:firstLineChars="200"/>
              <w:rPr>
                <w:rFonts w:hint="eastAsia" w:ascii="宋体" w:hAnsi="宋体" w:cs="宋体"/>
                <w:color w:val="auto"/>
                <w:kern w:val="0"/>
                <w:sz w:val="24"/>
                <w:highlight w:val="none"/>
                <w:lang w:bidi="ar"/>
              </w:rPr>
            </w:pPr>
            <w:r>
              <w:rPr>
                <w:rFonts w:hint="eastAsia" w:ascii="宋体" w:hAnsi="宋体" w:cs="宋体"/>
                <w:color w:val="auto"/>
                <w:kern w:val="0"/>
                <w:sz w:val="24"/>
                <w:highlight w:val="none"/>
                <w:lang w:val="en-US" w:eastAsia="zh-CN" w:bidi="ar"/>
              </w:rPr>
              <w:t>③</w:t>
            </w:r>
            <w:r>
              <w:rPr>
                <w:rFonts w:hint="eastAsia" w:ascii="宋体" w:hAnsi="宋体" w:cs="宋体"/>
                <w:color w:val="auto"/>
                <w:kern w:val="0"/>
                <w:sz w:val="24"/>
                <w:highlight w:val="none"/>
                <w:lang w:bidi="ar"/>
              </w:rPr>
              <w:t>对设备等采取控制措施，防止污染物的跑、冒、滴、漏，将污染物泄漏的环境风险事故降到最低限度；</w:t>
            </w:r>
          </w:p>
          <w:p w14:paraId="176413E2">
            <w:pPr>
              <w:widowControl/>
              <w:spacing w:line="360" w:lineRule="auto"/>
              <w:ind w:firstLine="480" w:firstLineChars="200"/>
              <w:rPr>
                <w:rFonts w:ascii="宋体" w:hAnsi="宋体" w:cs="宋体"/>
                <w:color w:val="auto"/>
                <w:kern w:val="0"/>
                <w:sz w:val="24"/>
                <w:highlight w:val="none"/>
                <w:lang w:bidi="ar"/>
              </w:rPr>
            </w:pPr>
            <w:r>
              <w:rPr>
                <w:rFonts w:hint="eastAsia" w:ascii="宋体" w:hAnsi="宋体" w:cs="宋体"/>
                <w:color w:val="auto"/>
                <w:kern w:val="0"/>
                <w:sz w:val="24"/>
                <w:highlight w:val="none"/>
                <w:lang w:val="en-US" w:eastAsia="zh-CN" w:bidi="ar"/>
              </w:rPr>
              <w:t>④</w:t>
            </w:r>
            <w:r>
              <w:rPr>
                <w:rFonts w:hint="eastAsia" w:ascii="宋体" w:hAnsi="宋体" w:cs="宋体"/>
                <w:color w:val="auto"/>
                <w:kern w:val="0"/>
                <w:sz w:val="24"/>
                <w:highlight w:val="none"/>
                <w:lang w:bidi="ar"/>
              </w:rPr>
              <w:t>坚持“可视化”原则，在满足工程和防渗层结构标准要求的前提下，尽量在地表面实施防渗措施，便于泄漏物质的收集和及时发现破损的防渗层。</w:t>
            </w:r>
          </w:p>
          <w:p w14:paraId="77BC359C">
            <w:pPr>
              <w:widowControl/>
              <w:spacing w:line="360" w:lineRule="auto"/>
              <w:ind w:firstLine="480" w:firstLineChars="200"/>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eastAsia="zh-CN" w:bidi="ar"/>
              </w:rPr>
              <w:t>（</w:t>
            </w:r>
            <w:r>
              <w:rPr>
                <w:rFonts w:hint="eastAsia" w:cs="Times New Roman"/>
                <w:color w:val="auto"/>
                <w:kern w:val="0"/>
                <w:sz w:val="24"/>
                <w:highlight w:val="none"/>
                <w:lang w:val="en-US" w:eastAsia="zh-CN" w:bidi="ar"/>
              </w:rPr>
              <w:t>2</w:t>
            </w:r>
            <w:r>
              <w:rPr>
                <w:rFonts w:hint="default" w:ascii="Times New Roman" w:hAnsi="Times New Roman" w:cs="Times New Roman"/>
                <w:color w:val="auto"/>
                <w:kern w:val="0"/>
                <w:sz w:val="24"/>
                <w:highlight w:val="none"/>
                <w:lang w:eastAsia="zh-CN" w:bidi="ar"/>
              </w:rPr>
              <w:t>）</w:t>
            </w:r>
            <w:r>
              <w:rPr>
                <w:rFonts w:hint="eastAsia" w:cs="Times New Roman"/>
                <w:color w:val="auto"/>
                <w:kern w:val="0"/>
                <w:sz w:val="24"/>
                <w:highlight w:val="none"/>
                <w:lang w:val="en-US" w:eastAsia="zh-CN" w:bidi="ar"/>
              </w:rPr>
              <w:t>分区防治</w:t>
            </w:r>
            <w:r>
              <w:rPr>
                <w:rFonts w:hint="default" w:ascii="Times New Roman" w:hAnsi="Times New Roman" w:cs="Times New Roman"/>
                <w:color w:val="auto"/>
                <w:kern w:val="0"/>
                <w:sz w:val="24"/>
                <w:highlight w:val="none"/>
                <w:lang w:bidi="ar"/>
              </w:rPr>
              <w:t>措施</w:t>
            </w:r>
          </w:p>
          <w:p w14:paraId="28B06105">
            <w:pPr>
              <w:widowControl/>
              <w:spacing w:line="360" w:lineRule="auto"/>
              <w:ind w:firstLine="480" w:firstLineChars="200"/>
              <w:rPr>
                <w:rFonts w:ascii="宋体" w:hAnsi="宋体" w:cs="宋体"/>
                <w:color w:val="auto"/>
                <w:kern w:val="0"/>
                <w:sz w:val="24"/>
                <w:highlight w:val="none"/>
                <w:lang w:bidi="ar"/>
              </w:rPr>
            </w:pPr>
            <w:r>
              <w:rPr>
                <w:rFonts w:hint="eastAsia" w:ascii="宋体" w:hAnsi="宋体" w:cs="宋体"/>
                <w:color w:val="auto"/>
                <w:kern w:val="0"/>
                <w:sz w:val="24"/>
                <w:highlight w:val="none"/>
                <w:lang w:bidi="ar"/>
              </w:rPr>
              <w:t>根据《环境影响评价技术导则 地下水环境》（</w:t>
            </w:r>
            <w:r>
              <w:rPr>
                <w:color w:val="auto"/>
                <w:kern w:val="0"/>
                <w:sz w:val="24"/>
                <w:highlight w:val="none"/>
                <w:lang w:bidi="ar"/>
              </w:rPr>
              <w:t>HJ 610-2016</w:t>
            </w:r>
            <w:r>
              <w:rPr>
                <w:rFonts w:hint="eastAsia" w:ascii="宋体" w:hAnsi="宋体" w:cs="宋体"/>
                <w:color w:val="auto"/>
                <w:kern w:val="0"/>
                <w:sz w:val="24"/>
                <w:highlight w:val="none"/>
                <w:lang w:bidi="ar"/>
              </w:rPr>
              <w:t>），本项目属于报告表</w:t>
            </w:r>
            <w:r>
              <w:rPr>
                <w:color w:val="auto"/>
                <w:kern w:val="0"/>
                <w:sz w:val="24"/>
                <w:highlight w:val="none"/>
                <w:lang w:bidi="ar"/>
              </w:rPr>
              <w:t>IV</w:t>
            </w:r>
            <w:r>
              <w:rPr>
                <w:rFonts w:hint="eastAsia" w:ascii="宋体" w:hAnsi="宋体" w:cs="宋体"/>
                <w:color w:val="auto"/>
                <w:kern w:val="0"/>
                <w:sz w:val="24"/>
                <w:highlight w:val="none"/>
                <w:lang w:bidi="ar"/>
              </w:rPr>
              <w:t>类项目，无需进行地下水环境影响评价。根据《环境影响评价技术导则 地下水环境》（</w:t>
            </w:r>
            <w:r>
              <w:rPr>
                <w:color w:val="auto"/>
                <w:kern w:val="0"/>
                <w:sz w:val="24"/>
                <w:highlight w:val="none"/>
                <w:lang w:bidi="ar"/>
              </w:rPr>
              <w:t>HJ 610-2016</w:t>
            </w:r>
            <w:r>
              <w:rPr>
                <w:rFonts w:hint="eastAsia" w:ascii="宋体" w:hAnsi="宋体" w:cs="宋体"/>
                <w:color w:val="auto"/>
                <w:kern w:val="0"/>
                <w:sz w:val="24"/>
                <w:highlight w:val="none"/>
                <w:lang w:bidi="ar"/>
              </w:rPr>
              <w:t xml:space="preserve">）中 </w:t>
            </w:r>
            <w:r>
              <w:rPr>
                <w:color w:val="auto"/>
                <w:kern w:val="0"/>
                <w:sz w:val="24"/>
                <w:highlight w:val="none"/>
                <w:lang w:bidi="ar"/>
              </w:rPr>
              <w:t xml:space="preserve">11.2.2 </w:t>
            </w:r>
            <w:r>
              <w:rPr>
                <w:rFonts w:hint="eastAsia" w:ascii="宋体" w:hAnsi="宋体" w:cs="宋体"/>
                <w:color w:val="auto"/>
                <w:kern w:val="0"/>
                <w:sz w:val="24"/>
                <w:highlight w:val="none"/>
                <w:lang w:bidi="ar"/>
              </w:rPr>
              <w:t>分区防控措施中表</w:t>
            </w:r>
            <w:r>
              <w:rPr>
                <w:color w:val="auto"/>
                <w:kern w:val="0"/>
                <w:sz w:val="24"/>
                <w:highlight w:val="none"/>
                <w:lang w:bidi="ar"/>
              </w:rPr>
              <w:t>7</w:t>
            </w:r>
            <w:r>
              <w:rPr>
                <w:rFonts w:hint="eastAsia" w:ascii="宋体" w:hAnsi="宋体" w:cs="宋体"/>
                <w:color w:val="auto"/>
                <w:kern w:val="0"/>
                <w:sz w:val="24"/>
                <w:highlight w:val="none"/>
                <w:lang w:bidi="ar"/>
              </w:rPr>
              <w:t>地下水污染防渗分区参照表，制定本项目的分区防渗要求。本项目危废贮存点实行重点防渗，防渗层至少为等效黏土防渗层</w:t>
            </w:r>
            <w:r>
              <w:rPr>
                <w:color w:val="auto"/>
                <w:kern w:val="0"/>
                <w:sz w:val="24"/>
                <w:highlight w:val="none"/>
                <w:lang w:bidi="ar"/>
              </w:rPr>
              <w:t>Mb≥6</w:t>
            </w:r>
            <w:r>
              <w:rPr>
                <w:rFonts w:hint="eastAsia"/>
                <w:color w:val="auto"/>
                <w:kern w:val="0"/>
                <w:sz w:val="24"/>
                <w:highlight w:val="none"/>
                <w:lang w:val="en-US" w:eastAsia="zh-CN" w:bidi="ar"/>
              </w:rPr>
              <w:t>.0</w:t>
            </w:r>
            <w:r>
              <w:rPr>
                <w:color w:val="auto"/>
                <w:kern w:val="0"/>
                <w:sz w:val="24"/>
                <w:highlight w:val="none"/>
                <w:lang w:bidi="ar"/>
              </w:rPr>
              <w:t>m</w:t>
            </w:r>
            <w:r>
              <w:rPr>
                <w:rFonts w:hint="eastAsia" w:ascii="宋体" w:hAnsi="宋体" w:cs="宋体"/>
                <w:color w:val="auto"/>
                <w:kern w:val="0"/>
                <w:sz w:val="24"/>
                <w:highlight w:val="none"/>
                <w:lang w:bidi="ar"/>
              </w:rPr>
              <w:t>，渗透系数</w:t>
            </w:r>
            <w:r>
              <w:rPr>
                <w:color w:val="auto"/>
                <w:kern w:val="0"/>
                <w:sz w:val="24"/>
                <w:highlight w:val="none"/>
                <w:lang w:bidi="ar"/>
              </w:rPr>
              <w:t>≤10</w:t>
            </w:r>
            <w:r>
              <w:rPr>
                <w:rFonts w:hint="eastAsia"/>
                <w:color w:val="auto"/>
                <w:kern w:val="0"/>
                <w:sz w:val="24"/>
                <w:highlight w:val="none"/>
                <w:vertAlign w:val="superscript"/>
                <w:lang w:bidi="ar"/>
              </w:rPr>
              <w:t>-7</w:t>
            </w:r>
            <w:r>
              <w:rPr>
                <w:color w:val="auto"/>
                <w:kern w:val="0"/>
                <w:sz w:val="24"/>
                <w:highlight w:val="none"/>
                <w:lang w:bidi="ar"/>
              </w:rPr>
              <w:t>cm/s</w:t>
            </w:r>
            <w:r>
              <w:rPr>
                <w:rFonts w:hint="eastAsia" w:ascii="宋体" w:hAnsi="宋体" w:cs="宋体"/>
                <w:color w:val="auto"/>
                <w:kern w:val="0"/>
                <w:sz w:val="24"/>
                <w:highlight w:val="none"/>
                <w:lang w:bidi="ar"/>
              </w:rPr>
              <w:t>；生产车间、原料区、成品库、实行一般防渗，防渗要求为铺设防渗混凝土，等效黏土防渗层</w:t>
            </w:r>
            <w:r>
              <w:rPr>
                <w:color w:val="auto"/>
                <w:kern w:val="0"/>
                <w:sz w:val="24"/>
                <w:highlight w:val="none"/>
                <w:lang w:bidi="ar"/>
              </w:rPr>
              <w:t>Mb≥1.5m</w:t>
            </w:r>
            <w:r>
              <w:rPr>
                <w:rFonts w:hint="eastAsia" w:ascii="宋体" w:hAnsi="宋体" w:cs="宋体"/>
                <w:color w:val="auto"/>
                <w:kern w:val="0"/>
                <w:sz w:val="24"/>
                <w:highlight w:val="none"/>
                <w:lang w:bidi="ar"/>
              </w:rPr>
              <w:t>，</w:t>
            </w:r>
            <w:r>
              <w:rPr>
                <w:color w:val="auto"/>
                <w:kern w:val="0"/>
                <w:sz w:val="24"/>
                <w:highlight w:val="none"/>
                <w:lang w:bidi="ar"/>
              </w:rPr>
              <w:t>K≤1×10</w:t>
            </w:r>
            <w:r>
              <w:rPr>
                <w:rFonts w:hint="eastAsia"/>
                <w:color w:val="auto"/>
                <w:kern w:val="0"/>
                <w:sz w:val="24"/>
                <w:highlight w:val="none"/>
                <w:vertAlign w:val="superscript"/>
                <w:lang w:bidi="ar"/>
              </w:rPr>
              <w:t>-7</w:t>
            </w:r>
            <w:r>
              <w:rPr>
                <w:color w:val="auto"/>
                <w:kern w:val="0"/>
                <w:sz w:val="24"/>
                <w:highlight w:val="none"/>
                <w:lang w:bidi="ar"/>
              </w:rPr>
              <w:t>cm/s</w:t>
            </w:r>
            <w:r>
              <w:rPr>
                <w:rFonts w:hint="eastAsia" w:ascii="宋体" w:hAnsi="宋体" w:cs="宋体"/>
                <w:color w:val="auto"/>
                <w:kern w:val="0"/>
                <w:sz w:val="24"/>
                <w:highlight w:val="none"/>
                <w:lang w:bidi="ar"/>
              </w:rPr>
              <w:t>；办公室等厂区其他区域采取简单防渗，进行一般地面硬化。项目在采取环评要求的污染防治措施基础上，对地下水产生的影响较小，项目具体分区防渗要求详见下表，分区防渗图见</w:t>
            </w:r>
            <w:r>
              <w:rPr>
                <w:color w:val="auto"/>
                <w:kern w:val="0"/>
                <w:sz w:val="24"/>
                <w:highlight w:val="none"/>
                <w:lang w:bidi="ar"/>
              </w:rPr>
              <w:t>附图5</w:t>
            </w:r>
            <w:r>
              <w:rPr>
                <w:rFonts w:hint="eastAsia" w:ascii="宋体" w:hAnsi="宋体" w:cs="宋体"/>
                <w:color w:val="auto"/>
                <w:kern w:val="0"/>
                <w:sz w:val="24"/>
                <w:highlight w:val="none"/>
                <w:lang w:bidi="ar"/>
              </w:rPr>
              <w:t>。</w:t>
            </w:r>
          </w:p>
          <w:p w14:paraId="07FDCCAF">
            <w:pPr>
              <w:pStyle w:val="4"/>
              <w:ind w:firstLine="0" w:firstLineChars="0"/>
              <w:jc w:val="center"/>
              <w:rPr>
                <w:color w:val="auto"/>
                <w:highlight w:val="none"/>
              </w:rPr>
            </w:pPr>
            <w:r>
              <w:rPr>
                <w:rFonts w:hint="eastAsia"/>
                <w:b/>
                <w:bCs/>
                <w:color w:val="auto"/>
                <w:highlight w:val="none"/>
              </w:rPr>
              <w:t>表4-1</w:t>
            </w:r>
            <w:r>
              <w:rPr>
                <w:rFonts w:hint="eastAsia"/>
                <w:b/>
                <w:bCs/>
                <w:color w:val="auto"/>
                <w:highlight w:val="none"/>
                <w:lang w:val="en-US" w:eastAsia="zh-CN"/>
              </w:rPr>
              <w:t>6</w:t>
            </w:r>
            <w:r>
              <w:rPr>
                <w:rFonts w:hint="eastAsia"/>
                <w:b/>
                <w:bCs/>
                <w:color w:val="auto"/>
                <w:highlight w:val="none"/>
              </w:rPr>
              <w:t xml:space="preserve"> 本项目分区防渗要求</w:t>
            </w:r>
          </w:p>
          <w:tbl>
            <w:tblPr>
              <w:tblStyle w:val="19"/>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57"/>
              <w:gridCol w:w="1091"/>
              <w:gridCol w:w="2244"/>
              <w:gridCol w:w="3600"/>
            </w:tblGrid>
            <w:tr w14:paraId="583D5A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372DB89A">
                  <w:pPr>
                    <w:pStyle w:val="13"/>
                    <w:jc w:val="center"/>
                    <w:rPr>
                      <w:b/>
                      <w:bCs/>
                      <w:color w:val="auto"/>
                      <w:sz w:val="21"/>
                      <w:szCs w:val="21"/>
                      <w:highlight w:val="none"/>
                    </w:rPr>
                  </w:pPr>
                  <w:r>
                    <w:rPr>
                      <w:rFonts w:hint="eastAsia"/>
                      <w:b/>
                      <w:bCs/>
                      <w:color w:val="auto"/>
                      <w:sz w:val="21"/>
                      <w:szCs w:val="21"/>
                      <w:highlight w:val="none"/>
                    </w:rPr>
                    <w:t>防渗位置</w:t>
                  </w:r>
                </w:p>
              </w:tc>
              <w:tc>
                <w:tcPr>
                  <w:tcW w:w="658" w:type="pct"/>
                  <w:tcBorders>
                    <w:tl2br w:val="nil"/>
                    <w:tr2bl w:val="nil"/>
                  </w:tcBorders>
                  <w:vAlign w:val="center"/>
                </w:tcPr>
                <w:p w14:paraId="20C5B45F">
                  <w:pPr>
                    <w:pStyle w:val="13"/>
                    <w:jc w:val="center"/>
                    <w:rPr>
                      <w:b/>
                      <w:bCs/>
                      <w:color w:val="auto"/>
                      <w:sz w:val="21"/>
                      <w:szCs w:val="21"/>
                      <w:highlight w:val="none"/>
                    </w:rPr>
                  </w:pPr>
                  <w:r>
                    <w:rPr>
                      <w:rFonts w:hint="eastAsia"/>
                      <w:b/>
                      <w:bCs/>
                      <w:color w:val="auto"/>
                      <w:sz w:val="21"/>
                      <w:szCs w:val="21"/>
                      <w:highlight w:val="none"/>
                    </w:rPr>
                    <w:t>防渗等级</w:t>
                  </w:r>
                </w:p>
              </w:tc>
              <w:tc>
                <w:tcPr>
                  <w:tcW w:w="3523" w:type="pct"/>
                  <w:gridSpan w:val="2"/>
                  <w:tcBorders>
                    <w:tl2br w:val="nil"/>
                    <w:tr2bl w:val="nil"/>
                  </w:tcBorders>
                  <w:vAlign w:val="center"/>
                </w:tcPr>
                <w:p w14:paraId="525196C9">
                  <w:pPr>
                    <w:pStyle w:val="13"/>
                    <w:jc w:val="center"/>
                    <w:rPr>
                      <w:b/>
                      <w:bCs/>
                      <w:color w:val="auto"/>
                      <w:sz w:val="21"/>
                      <w:szCs w:val="21"/>
                      <w:highlight w:val="none"/>
                    </w:rPr>
                  </w:pPr>
                  <w:r>
                    <w:rPr>
                      <w:rFonts w:hint="eastAsia"/>
                      <w:b/>
                      <w:bCs/>
                      <w:color w:val="auto"/>
                      <w:sz w:val="21"/>
                      <w:szCs w:val="21"/>
                      <w:highlight w:val="none"/>
                      <w:lang w:val="en-US" w:eastAsia="zh-CN"/>
                    </w:rPr>
                    <w:t>防渗</w:t>
                  </w:r>
                  <w:r>
                    <w:rPr>
                      <w:rFonts w:hint="eastAsia"/>
                      <w:b/>
                      <w:bCs/>
                      <w:color w:val="auto"/>
                      <w:sz w:val="21"/>
                      <w:szCs w:val="21"/>
                      <w:highlight w:val="none"/>
                    </w:rPr>
                    <w:t>要求</w:t>
                  </w:r>
                </w:p>
              </w:tc>
            </w:tr>
            <w:tr w14:paraId="2EEDE9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18" w:type="pct"/>
                  <w:tcBorders>
                    <w:tl2br w:val="nil"/>
                    <w:tr2bl w:val="nil"/>
                  </w:tcBorders>
                  <w:vAlign w:val="center"/>
                </w:tcPr>
                <w:p w14:paraId="19C4A343">
                  <w:pPr>
                    <w:pStyle w:val="13"/>
                    <w:jc w:val="center"/>
                    <w:rPr>
                      <w:color w:val="auto"/>
                      <w:sz w:val="21"/>
                      <w:szCs w:val="21"/>
                      <w:highlight w:val="none"/>
                    </w:rPr>
                  </w:pPr>
                  <w:r>
                    <w:rPr>
                      <w:rFonts w:hint="eastAsia"/>
                      <w:color w:val="auto"/>
                      <w:sz w:val="21"/>
                      <w:szCs w:val="21"/>
                      <w:highlight w:val="none"/>
                    </w:rPr>
                    <w:t>危废贮存点</w:t>
                  </w:r>
                </w:p>
              </w:tc>
              <w:tc>
                <w:tcPr>
                  <w:tcW w:w="658" w:type="pct"/>
                  <w:tcBorders>
                    <w:tl2br w:val="nil"/>
                    <w:tr2bl w:val="nil"/>
                  </w:tcBorders>
                  <w:vAlign w:val="center"/>
                </w:tcPr>
                <w:p w14:paraId="20C016B0">
                  <w:pPr>
                    <w:pStyle w:val="13"/>
                    <w:jc w:val="center"/>
                    <w:rPr>
                      <w:color w:val="auto"/>
                      <w:sz w:val="21"/>
                      <w:szCs w:val="21"/>
                      <w:highlight w:val="none"/>
                    </w:rPr>
                  </w:pPr>
                  <w:r>
                    <w:rPr>
                      <w:rFonts w:hint="eastAsia"/>
                      <w:color w:val="auto"/>
                      <w:sz w:val="21"/>
                      <w:szCs w:val="21"/>
                      <w:highlight w:val="none"/>
                    </w:rPr>
                    <w:t>重点防渗</w:t>
                  </w:r>
                </w:p>
              </w:tc>
              <w:tc>
                <w:tcPr>
                  <w:tcW w:w="1353" w:type="pct"/>
                  <w:tcBorders>
                    <w:tl2br w:val="nil"/>
                    <w:tr2bl w:val="nil"/>
                  </w:tcBorders>
                  <w:vAlign w:val="center"/>
                </w:tcPr>
                <w:p w14:paraId="2915EDB9">
                  <w:pPr>
                    <w:widowControl/>
                    <w:jc w:val="center"/>
                    <w:rPr>
                      <w:color w:val="auto"/>
                      <w:szCs w:val="21"/>
                      <w:highlight w:val="none"/>
                    </w:rPr>
                  </w:pPr>
                  <w:r>
                    <w:rPr>
                      <w:rFonts w:hint="eastAsia" w:ascii="宋体" w:hAnsi="宋体" w:cs="宋体"/>
                      <w:color w:val="auto"/>
                      <w:kern w:val="0"/>
                      <w:szCs w:val="21"/>
                      <w:highlight w:val="none"/>
                      <w:lang w:bidi="ar"/>
                    </w:rPr>
                    <w:t>防渗层至少为等效黏土防渗层</w:t>
                  </w:r>
                  <w:r>
                    <w:rPr>
                      <w:color w:val="auto"/>
                      <w:kern w:val="0"/>
                      <w:szCs w:val="21"/>
                      <w:highlight w:val="none"/>
                      <w:lang w:bidi="ar"/>
                    </w:rPr>
                    <w:t>Mb≥6</w:t>
                  </w:r>
                  <w:r>
                    <w:rPr>
                      <w:rFonts w:hint="eastAsia"/>
                      <w:color w:val="auto"/>
                      <w:kern w:val="0"/>
                      <w:szCs w:val="21"/>
                      <w:highlight w:val="none"/>
                      <w:lang w:val="en-US" w:eastAsia="zh-CN" w:bidi="ar"/>
                    </w:rPr>
                    <w:t>.0</w:t>
                  </w:r>
                  <w:r>
                    <w:rPr>
                      <w:color w:val="auto"/>
                      <w:kern w:val="0"/>
                      <w:szCs w:val="21"/>
                      <w:highlight w:val="none"/>
                      <w:lang w:bidi="ar"/>
                    </w:rPr>
                    <w:t>m</w:t>
                  </w:r>
                  <w:r>
                    <w:rPr>
                      <w:rFonts w:hint="eastAsia" w:ascii="宋体" w:hAnsi="宋体" w:cs="宋体"/>
                      <w:color w:val="auto"/>
                      <w:kern w:val="0"/>
                      <w:szCs w:val="21"/>
                      <w:highlight w:val="none"/>
                      <w:lang w:bidi="ar"/>
                    </w:rPr>
                    <w:t>，渗透系数</w:t>
                  </w:r>
                  <w:r>
                    <w:rPr>
                      <w:color w:val="auto"/>
                      <w:kern w:val="0"/>
                      <w:szCs w:val="21"/>
                      <w:highlight w:val="none"/>
                      <w:lang w:bidi="ar"/>
                    </w:rPr>
                    <w:t>≤10</w:t>
                  </w:r>
                  <w:r>
                    <w:rPr>
                      <w:rFonts w:hint="eastAsia"/>
                      <w:color w:val="auto"/>
                      <w:kern w:val="0"/>
                      <w:szCs w:val="21"/>
                      <w:highlight w:val="none"/>
                      <w:vertAlign w:val="superscript"/>
                      <w:lang w:bidi="ar"/>
                    </w:rPr>
                    <w:t>-7</w:t>
                  </w:r>
                  <w:r>
                    <w:rPr>
                      <w:color w:val="auto"/>
                      <w:kern w:val="0"/>
                      <w:szCs w:val="21"/>
                      <w:highlight w:val="none"/>
                      <w:lang w:bidi="ar"/>
                    </w:rPr>
                    <w:t>cm/s</w:t>
                  </w:r>
                </w:p>
              </w:tc>
              <w:tc>
                <w:tcPr>
                  <w:tcW w:w="2169" w:type="pct"/>
                  <w:tcBorders>
                    <w:tl2br w:val="nil"/>
                    <w:tr2bl w:val="nil"/>
                  </w:tcBorders>
                  <w:vAlign w:val="center"/>
                </w:tcPr>
                <w:p w14:paraId="5E4AA2E5">
                  <w:pPr>
                    <w:pStyle w:val="38"/>
                    <w:spacing w:before="24" w:after="24"/>
                    <w:rPr>
                      <w:rFonts w:hint="eastAsia" w:ascii="宋体" w:hAnsi="宋体" w:cs="宋体"/>
                      <w:color w:val="auto"/>
                      <w:kern w:val="0"/>
                      <w:szCs w:val="21"/>
                      <w:highlight w:val="none"/>
                      <w:lang w:bidi="ar"/>
                    </w:rPr>
                  </w:pPr>
                  <w:r>
                    <w:rPr>
                      <w:rFonts w:ascii="Times New Roman"/>
                      <w:color w:val="auto"/>
                      <w:sz w:val="21"/>
                      <w:szCs w:val="21"/>
                      <w:highlight w:val="none"/>
                    </w:rPr>
                    <w:t>地面防渗层可采用粘土、抗渗混凝土、高密度聚乙烯（HDPE）膜、钠基膨润土防水毯或其他防渗性能等效的材料</w:t>
                  </w:r>
                </w:p>
              </w:tc>
            </w:tr>
            <w:tr w14:paraId="041D6BA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79" w:hRule="atLeast"/>
              </w:trPr>
              <w:tc>
                <w:tcPr>
                  <w:tcW w:w="818" w:type="pct"/>
                  <w:tcBorders>
                    <w:tl2br w:val="nil"/>
                    <w:tr2bl w:val="nil"/>
                  </w:tcBorders>
                  <w:vAlign w:val="center"/>
                </w:tcPr>
                <w:p w14:paraId="71FA2C11">
                  <w:pPr>
                    <w:pStyle w:val="13"/>
                    <w:jc w:val="center"/>
                    <w:rPr>
                      <w:color w:val="auto"/>
                      <w:sz w:val="21"/>
                      <w:szCs w:val="21"/>
                      <w:highlight w:val="none"/>
                    </w:rPr>
                  </w:pPr>
                  <w:r>
                    <w:rPr>
                      <w:rFonts w:hint="eastAsia" w:ascii="宋体" w:hAnsi="宋体" w:cs="宋体"/>
                      <w:color w:val="auto"/>
                      <w:sz w:val="21"/>
                      <w:szCs w:val="21"/>
                      <w:highlight w:val="none"/>
                      <w:lang w:bidi="ar"/>
                    </w:rPr>
                    <w:t>生产车间、原料区、成品库池</w:t>
                  </w:r>
                </w:p>
              </w:tc>
              <w:tc>
                <w:tcPr>
                  <w:tcW w:w="658" w:type="pct"/>
                  <w:tcBorders>
                    <w:tl2br w:val="nil"/>
                    <w:tr2bl w:val="nil"/>
                  </w:tcBorders>
                  <w:vAlign w:val="center"/>
                </w:tcPr>
                <w:p w14:paraId="31E32C2D">
                  <w:pPr>
                    <w:pStyle w:val="13"/>
                    <w:jc w:val="center"/>
                    <w:rPr>
                      <w:color w:val="auto"/>
                      <w:sz w:val="21"/>
                      <w:szCs w:val="21"/>
                      <w:highlight w:val="none"/>
                    </w:rPr>
                  </w:pPr>
                  <w:r>
                    <w:rPr>
                      <w:rFonts w:hint="eastAsia"/>
                      <w:color w:val="auto"/>
                      <w:sz w:val="21"/>
                      <w:szCs w:val="21"/>
                      <w:highlight w:val="none"/>
                    </w:rPr>
                    <w:t>一般防渗</w:t>
                  </w:r>
                </w:p>
              </w:tc>
              <w:tc>
                <w:tcPr>
                  <w:tcW w:w="1353" w:type="pct"/>
                  <w:tcBorders>
                    <w:tl2br w:val="nil"/>
                    <w:tr2bl w:val="nil"/>
                  </w:tcBorders>
                  <w:vAlign w:val="center"/>
                </w:tcPr>
                <w:p w14:paraId="184E86B8">
                  <w:pPr>
                    <w:widowControl/>
                    <w:jc w:val="center"/>
                    <w:rPr>
                      <w:color w:val="auto"/>
                      <w:szCs w:val="21"/>
                      <w:highlight w:val="none"/>
                    </w:rPr>
                  </w:pPr>
                  <w:r>
                    <w:rPr>
                      <w:rFonts w:hint="eastAsia" w:ascii="宋体" w:hAnsi="宋体" w:cs="宋体"/>
                      <w:color w:val="auto"/>
                      <w:kern w:val="0"/>
                      <w:szCs w:val="21"/>
                      <w:highlight w:val="none"/>
                      <w:lang w:bidi="ar"/>
                    </w:rPr>
                    <w:t>防渗要求为铺设防渗混凝土，等效黏土防渗层</w:t>
                  </w:r>
                  <w:r>
                    <w:rPr>
                      <w:color w:val="auto"/>
                      <w:kern w:val="0"/>
                      <w:szCs w:val="21"/>
                      <w:highlight w:val="none"/>
                      <w:lang w:bidi="ar"/>
                    </w:rPr>
                    <w:t>Mb≥1.5m</w:t>
                  </w:r>
                  <w:r>
                    <w:rPr>
                      <w:rFonts w:hint="eastAsia" w:ascii="宋体" w:hAnsi="宋体" w:cs="宋体"/>
                      <w:color w:val="auto"/>
                      <w:kern w:val="0"/>
                      <w:szCs w:val="21"/>
                      <w:highlight w:val="none"/>
                      <w:lang w:bidi="ar"/>
                    </w:rPr>
                    <w:t>，</w:t>
                  </w:r>
                  <w:r>
                    <w:rPr>
                      <w:color w:val="auto"/>
                      <w:kern w:val="0"/>
                      <w:szCs w:val="21"/>
                      <w:highlight w:val="none"/>
                      <w:lang w:bidi="ar"/>
                    </w:rPr>
                    <w:t>K≤1×10</w:t>
                  </w:r>
                  <w:r>
                    <w:rPr>
                      <w:rFonts w:hint="eastAsia"/>
                      <w:color w:val="auto"/>
                      <w:kern w:val="0"/>
                      <w:szCs w:val="21"/>
                      <w:highlight w:val="none"/>
                      <w:vertAlign w:val="superscript"/>
                      <w:lang w:bidi="ar"/>
                    </w:rPr>
                    <w:t>-7</w:t>
                  </w:r>
                  <w:r>
                    <w:rPr>
                      <w:color w:val="auto"/>
                      <w:kern w:val="0"/>
                      <w:szCs w:val="21"/>
                      <w:highlight w:val="none"/>
                      <w:lang w:bidi="ar"/>
                    </w:rPr>
                    <w:t>cm/s</w:t>
                  </w:r>
                </w:p>
              </w:tc>
              <w:tc>
                <w:tcPr>
                  <w:tcW w:w="2169" w:type="pct"/>
                  <w:tcBorders>
                    <w:tl2br w:val="nil"/>
                    <w:tr2bl w:val="nil"/>
                  </w:tcBorders>
                  <w:vAlign w:val="center"/>
                </w:tcPr>
                <w:p w14:paraId="67F8A566">
                  <w:pPr>
                    <w:pStyle w:val="38"/>
                    <w:spacing w:before="24" w:after="24"/>
                    <w:rPr>
                      <w:rFonts w:hint="eastAsia" w:ascii="宋体" w:hAnsi="宋体" w:cs="宋体"/>
                      <w:color w:val="auto"/>
                      <w:kern w:val="0"/>
                      <w:szCs w:val="21"/>
                      <w:highlight w:val="none"/>
                      <w:lang w:bidi="ar"/>
                    </w:rPr>
                  </w:pPr>
                  <w:r>
                    <w:rPr>
                      <w:rFonts w:ascii="Times New Roman"/>
                      <w:color w:val="auto"/>
                      <w:sz w:val="21"/>
                      <w:szCs w:val="21"/>
                      <w:highlight w:val="none"/>
                    </w:rPr>
                    <w:t>采用改性压实粘土类衬层或具有同等以上隔水效力的其他材料防渗衬层</w:t>
                  </w:r>
                </w:p>
              </w:tc>
            </w:tr>
          </w:tbl>
          <w:p w14:paraId="4FCF2DBA">
            <w:pPr>
              <w:keepNext w:val="0"/>
              <w:keepLines w:val="0"/>
              <w:pageBreakBefore w:val="0"/>
              <w:widowControl/>
              <w:kinsoku/>
              <w:wordWrap/>
              <w:overflowPunct/>
              <w:topLinePunct w:val="0"/>
              <w:autoSpaceDE/>
              <w:autoSpaceDN/>
              <w:bidi w:val="0"/>
              <w:adjustRightInd/>
              <w:snapToGrid/>
              <w:spacing w:before="157" w:beforeLines="50" w:line="360" w:lineRule="auto"/>
              <w:ind w:firstLine="480" w:firstLineChars="200"/>
              <w:jc w:val="left"/>
              <w:textAlignment w:val="auto"/>
              <w:rPr>
                <w:rFonts w:ascii="宋体" w:hAnsi="宋体" w:cs="宋体"/>
                <w:color w:val="auto"/>
                <w:kern w:val="0"/>
                <w:sz w:val="24"/>
                <w:highlight w:val="none"/>
                <w:lang w:bidi="ar"/>
              </w:rPr>
            </w:pPr>
            <w:r>
              <w:rPr>
                <w:rFonts w:hint="eastAsia" w:ascii="宋体" w:hAnsi="宋体" w:cs="宋体"/>
                <w:color w:val="auto"/>
                <w:kern w:val="0"/>
                <w:sz w:val="24"/>
                <w:highlight w:val="none"/>
                <w:lang w:bidi="ar"/>
              </w:rPr>
              <w:t>根据《环境影响评价技术导则 土壤环境（试行）》（</w:t>
            </w:r>
            <w:r>
              <w:rPr>
                <w:color w:val="auto"/>
                <w:kern w:val="0"/>
                <w:sz w:val="24"/>
                <w:highlight w:val="none"/>
                <w:lang w:bidi="ar"/>
              </w:rPr>
              <w:t>HJ 964-2018</w:t>
            </w:r>
            <w:r>
              <w:rPr>
                <w:rFonts w:hint="eastAsia" w:ascii="宋体" w:hAnsi="宋体" w:cs="宋体"/>
                <w:color w:val="auto"/>
                <w:kern w:val="0"/>
                <w:sz w:val="24"/>
                <w:highlight w:val="none"/>
                <w:lang w:bidi="ar"/>
              </w:rPr>
              <w:t>），本项目属于其他行业</w:t>
            </w:r>
            <w:r>
              <w:rPr>
                <w:rFonts w:hint="eastAsia"/>
                <w:color w:val="auto"/>
                <w:highlight w:val="none"/>
              </w:rPr>
              <w:t>IV</w:t>
            </w:r>
            <w:r>
              <w:rPr>
                <w:rFonts w:hint="eastAsia" w:ascii="宋体" w:hAnsi="宋体" w:cs="宋体"/>
                <w:color w:val="auto"/>
                <w:kern w:val="0"/>
                <w:sz w:val="24"/>
                <w:highlight w:val="none"/>
                <w:lang w:bidi="ar"/>
              </w:rPr>
              <w:t>类项目，可不开展土壤环境影响评价。本项目废气经可行技术（袋式除尘器）处理达标后经一根</w:t>
            </w:r>
            <w:r>
              <w:rPr>
                <w:color w:val="auto"/>
                <w:kern w:val="0"/>
                <w:sz w:val="24"/>
                <w:highlight w:val="none"/>
                <w:lang w:bidi="ar"/>
              </w:rPr>
              <w:t>15</w:t>
            </w:r>
            <w:r>
              <w:rPr>
                <w:rFonts w:hint="eastAsia" w:ascii="宋体" w:hAnsi="宋体" w:cs="宋体"/>
                <w:color w:val="auto"/>
                <w:kern w:val="0"/>
                <w:sz w:val="24"/>
                <w:highlight w:val="none"/>
                <w:lang w:bidi="ar"/>
              </w:rPr>
              <w:t>m高的排气筒排放，排放出的粉尘经大气沉降作用回归土壤，因大气沉降作用到土壤表层的粉尘浓度微量，本项目产生的废水不排入区域地表水体且防渗措施已落实到位，不会对土壤环境产生不利影响。</w:t>
            </w:r>
          </w:p>
          <w:p w14:paraId="204A154A">
            <w:pPr>
              <w:widowControl/>
              <w:spacing w:line="360" w:lineRule="auto"/>
              <w:ind w:firstLine="480" w:firstLineChars="200"/>
              <w:jc w:val="left"/>
              <w:rPr>
                <w:rFonts w:ascii="宋体" w:hAnsi="宋体" w:cs="宋体"/>
                <w:color w:val="auto"/>
                <w:kern w:val="0"/>
                <w:sz w:val="24"/>
                <w:highlight w:val="none"/>
                <w:lang w:bidi="ar"/>
              </w:rPr>
            </w:pPr>
            <w:r>
              <w:rPr>
                <w:rFonts w:hint="eastAsia" w:ascii="宋体" w:hAnsi="宋体" w:cs="宋体"/>
                <w:color w:val="auto"/>
                <w:kern w:val="0"/>
                <w:sz w:val="24"/>
                <w:highlight w:val="none"/>
                <w:lang w:bidi="ar"/>
              </w:rPr>
              <w:t>此外，项目应加强的日常巡检，从源头减少污染的产生，对项目的环保设施、防渗层等进行定期维护，保证环保措施等的正常运行，杜绝非正常状况下的污染物渗漏等，同时</w:t>
            </w:r>
            <w:r>
              <w:rPr>
                <w:rFonts w:hint="eastAsia" w:ascii="宋体" w:hAnsi="宋体" w:cs="宋体"/>
                <w:color w:val="auto"/>
                <w:kern w:val="0"/>
                <w:sz w:val="24"/>
                <w:highlight w:val="none"/>
                <w:lang w:val="en-US" w:eastAsia="zh-CN" w:bidi="ar"/>
              </w:rPr>
              <w:t>适当增加</w:t>
            </w:r>
            <w:r>
              <w:rPr>
                <w:rFonts w:hint="eastAsia" w:ascii="宋体" w:hAnsi="宋体" w:cs="宋体"/>
                <w:color w:val="auto"/>
                <w:kern w:val="0"/>
                <w:sz w:val="24"/>
                <w:highlight w:val="none"/>
                <w:lang w:bidi="ar"/>
              </w:rPr>
              <w:t>厂内绿化措施。</w:t>
            </w:r>
          </w:p>
          <w:p w14:paraId="5C327BA7">
            <w:pPr>
              <w:widowControl/>
              <w:spacing w:line="360" w:lineRule="auto"/>
              <w:ind w:firstLine="480" w:firstLineChars="200"/>
              <w:jc w:val="left"/>
              <w:rPr>
                <w:rFonts w:ascii="宋体" w:hAnsi="宋体" w:cs="宋体"/>
                <w:color w:val="auto"/>
                <w:kern w:val="0"/>
                <w:sz w:val="24"/>
                <w:highlight w:val="none"/>
                <w:lang w:bidi="ar"/>
              </w:rPr>
            </w:pPr>
            <w:r>
              <w:rPr>
                <w:rFonts w:hint="eastAsia"/>
                <w:color w:val="auto"/>
                <w:sz w:val="24"/>
                <w:highlight w:val="none"/>
                <w:lang w:bidi="ar"/>
              </w:rPr>
              <w:t>综上所述，本项目运营期采取</w:t>
            </w:r>
            <w:r>
              <w:rPr>
                <w:rFonts w:hint="eastAsia"/>
                <w:color w:val="auto"/>
                <w:sz w:val="24"/>
                <w:highlight w:val="none"/>
                <w:lang w:val="en-US" w:eastAsia="zh-CN" w:bidi="ar"/>
              </w:rPr>
              <w:t>源头控制、</w:t>
            </w:r>
            <w:r>
              <w:rPr>
                <w:rFonts w:hint="eastAsia"/>
                <w:color w:val="auto"/>
                <w:sz w:val="24"/>
                <w:highlight w:val="none"/>
                <w:lang w:bidi="ar"/>
              </w:rPr>
              <w:t>分区防渗等措施后，无地下水、土壤污染途径，因此本项目不设置跟踪监测。</w:t>
            </w:r>
          </w:p>
          <w:p w14:paraId="46C9EEC5">
            <w:pPr>
              <w:widowControl/>
              <w:spacing w:line="360" w:lineRule="auto"/>
              <w:jc w:val="left"/>
              <w:rPr>
                <w:color w:val="auto"/>
                <w:highlight w:val="none"/>
              </w:rPr>
            </w:pPr>
            <w:r>
              <w:rPr>
                <w:b/>
                <w:bCs/>
                <w:color w:val="auto"/>
                <w:kern w:val="0"/>
                <w:sz w:val="24"/>
                <w:highlight w:val="none"/>
                <w:lang w:bidi="ar"/>
              </w:rPr>
              <w:t>6</w:t>
            </w:r>
            <w:r>
              <w:rPr>
                <w:rFonts w:hint="eastAsia" w:ascii="宋体" w:hAnsi="宋体" w:cs="宋体"/>
                <w:b/>
                <w:bCs/>
                <w:color w:val="auto"/>
                <w:kern w:val="0"/>
                <w:sz w:val="24"/>
                <w:highlight w:val="none"/>
                <w:lang w:bidi="ar"/>
              </w:rPr>
              <w:t>、生态环境</w:t>
            </w:r>
          </w:p>
          <w:p w14:paraId="65F0AC9F">
            <w:pPr>
              <w:spacing w:line="360" w:lineRule="auto"/>
              <w:ind w:firstLine="480" w:firstLineChars="200"/>
              <w:rPr>
                <w:color w:val="auto"/>
                <w:sz w:val="24"/>
                <w:highlight w:val="none"/>
              </w:rPr>
            </w:pPr>
            <w:r>
              <w:rPr>
                <w:rFonts w:hint="eastAsia" w:ascii="宋体" w:hAnsi="宋体" w:cs="宋体"/>
                <w:color w:val="auto"/>
                <w:kern w:val="0"/>
                <w:sz w:val="24"/>
                <w:highlight w:val="none"/>
                <w:lang w:bidi="ar"/>
              </w:rPr>
              <w:t>本项目位于</w:t>
            </w:r>
            <w:r>
              <w:rPr>
                <w:color w:val="auto"/>
                <w:sz w:val="24"/>
                <w:highlight w:val="none"/>
              </w:rPr>
              <w:t>辽宁省</w:t>
            </w:r>
            <w:r>
              <w:rPr>
                <w:rFonts w:hint="eastAsia"/>
                <w:color w:val="auto"/>
                <w:sz w:val="24"/>
                <w:highlight w:val="none"/>
              </w:rPr>
              <w:t>抚顺市东洲区哈达镇小寨子村，</w:t>
            </w:r>
            <w:r>
              <w:rPr>
                <w:color w:val="auto"/>
                <w:kern w:val="0"/>
                <w:sz w:val="24"/>
                <w:highlight w:val="none"/>
                <w:lang w:bidi="ar"/>
              </w:rPr>
              <w:t>拟在闲置场地进行建设</w:t>
            </w:r>
            <w:r>
              <w:rPr>
                <w:rFonts w:hint="eastAsia"/>
                <w:color w:val="auto"/>
                <w:sz w:val="24"/>
                <w:highlight w:val="none"/>
              </w:rPr>
              <w:t>。</w:t>
            </w:r>
            <w:r>
              <w:rPr>
                <w:rFonts w:hint="eastAsia" w:ascii="宋体" w:hAnsi="宋体" w:cs="宋体"/>
                <w:color w:val="auto"/>
                <w:kern w:val="0"/>
                <w:sz w:val="24"/>
                <w:highlight w:val="none"/>
                <w:lang w:bidi="ar"/>
              </w:rPr>
              <w:t>用地范围内不含有生态环境保护目标。</w:t>
            </w:r>
          </w:p>
          <w:p w14:paraId="15C9F76A">
            <w:pPr>
              <w:widowControl/>
              <w:spacing w:line="360" w:lineRule="auto"/>
              <w:jc w:val="left"/>
              <w:rPr>
                <w:color w:val="auto"/>
                <w:highlight w:val="none"/>
              </w:rPr>
            </w:pPr>
            <w:r>
              <w:rPr>
                <w:b/>
                <w:bCs/>
                <w:color w:val="auto"/>
                <w:kern w:val="0"/>
                <w:sz w:val="24"/>
                <w:highlight w:val="none"/>
                <w:lang w:bidi="ar"/>
              </w:rPr>
              <w:t>7</w:t>
            </w:r>
            <w:r>
              <w:rPr>
                <w:rFonts w:hint="eastAsia" w:ascii="宋体" w:hAnsi="宋体" w:cs="宋体"/>
                <w:b/>
                <w:bCs/>
                <w:color w:val="auto"/>
                <w:kern w:val="0"/>
                <w:sz w:val="24"/>
                <w:highlight w:val="none"/>
                <w:lang w:bidi="ar"/>
              </w:rPr>
              <w:t>、环境风险分析及污染防治措施</w:t>
            </w:r>
          </w:p>
          <w:p w14:paraId="12A077AD">
            <w:pPr>
              <w:widowControl/>
              <w:spacing w:line="360" w:lineRule="auto"/>
              <w:ind w:firstLine="480" w:firstLineChars="200"/>
              <w:jc w:val="left"/>
              <w:rPr>
                <w:color w:val="auto"/>
                <w:highlight w:val="none"/>
              </w:rPr>
            </w:pPr>
            <w:r>
              <w:rPr>
                <w:rFonts w:hint="eastAsia" w:ascii="宋体" w:hAnsi="宋体" w:cs="宋体"/>
                <w:color w:val="auto"/>
                <w:kern w:val="0"/>
                <w:sz w:val="24"/>
                <w:highlight w:val="none"/>
                <w:lang w:bidi="ar"/>
              </w:rPr>
              <w:t>（</w:t>
            </w:r>
            <w:r>
              <w:rPr>
                <w:color w:val="auto"/>
                <w:kern w:val="0"/>
                <w:sz w:val="24"/>
                <w:highlight w:val="none"/>
                <w:lang w:bidi="ar"/>
              </w:rPr>
              <w:t>1</w:t>
            </w:r>
            <w:r>
              <w:rPr>
                <w:rFonts w:hint="eastAsia" w:ascii="宋体" w:hAnsi="宋体" w:cs="宋体"/>
                <w:color w:val="auto"/>
                <w:kern w:val="0"/>
                <w:sz w:val="24"/>
                <w:highlight w:val="none"/>
                <w:lang w:bidi="ar"/>
              </w:rPr>
              <w:t>）环境风险识别</w:t>
            </w:r>
          </w:p>
          <w:p w14:paraId="4A116B0E">
            <w:pPr>
              <w:widowControl/>
              <w:spacing w:line="360" w:lineRule="auto"/>
              <w:ind w:firstLine="480" w:firstLineChars="200"/>
              <w:jc w:val="left"/>
              <w:rPr>
                <w:color w:val="auto"/>
                <w:highlight w:val="none"/>
              </w:rPr>
            </w:pPr>
            <w:r>
              <w:rPr>
                <w:rFonts w:hint="eastAsia" w:ascii="宋体" w:hAnsi="宋体" w:cs="宋体"/>
                <w:color w:val="auto"/>
                <w:kern w:val="0"/>
                <w:sz w:val="24"/>
                <w:highlight w:val="none"/>
                <w:lang w:bidi="ar"/>
              </w:rPr>
              <w:t>根据《建设项目环境风险评价技术导则》（</w:t>
            </w:r>
            <w:r>
              <w:rPr>
                <w:color w:val="auto"/>
                <w:kern w:val="0"/>
                <w:sz w:val="24"/>
                <w:highlight w:val="none"/>
                <w:lang w:bidi="ar"/>
              </w:rPr>
              <w:t>HJ/T169-2018</w:t>
            </w:r>
            <w:r>
              <w:rPr>
                <w:rFonts w:hint="eastAsia" w:ascii="宋体" w:hAnsi="宋体" w:cs="宋体"/>
                <w:color w:val="auto"/>
                <w:kern w:val="0"/>
                <w:sz w:val="24"/>
                <w:highlight w:val="none"/>
                <w:lang w:bidi="ar"/>
              </w:rPr>
              <w:t>），结合实际本项目存在的风险物质为废润滑油，理化性质如下表。</w:t>
            </w:r>
          </w:p>
          <w:p w14:paraId="0E5BF166">
            <w:pPr>
              <w:widowControl/>
              <w:jc w:val="center"/>
              <w:rPr>
                <w:color w:val="auto"/>
                <w:szCs w:val="21"/>
                <w:highlight w:val="none"/>
              </w:rPr>
            </w:pPr>
            <w:r>
              <w:rPr>
                <w:rFonts w:hint="eastAsia" w:ascii="宋体" w:hAnsi="宋体" w:cs="宋体"/>
                <w:b/>
                <w:bCs/>
                <w:color w:val="auto"/>
                <w:kern w:val="0"/>
                <w:szCs w:val="21"/>
                <w:highlight w:val="none"/>
                <w:lang w:bidi="ar"/>
              </w:rPr>
              <w:t>表</w:t>
            </w:r>
            <w:r>
              <w:rPr>
                <w:b/>
                <w:bCs/>
                <w:color w:val="auto"/>
                <w:kern w:val="0"/>
                <w:szCs w:val="21"/>
                <w:highlight w:val="none"/>
                <w:lang w:bidi="ar"/>
              </w:rPr>
              <w:t>4-1</w:t>
            </w:r>
            <w:r>
              <w:rPr>
                <w:rFonts w:hint="eastAsia"/>
                <w:b/>
                <w:bCs/>
                <w:color w:val="auto"/>
                <w:kern w:val="0"/>
                <w:szCs w:val="21"/>
                <w:highlight w:val="none"/>
                <w:lang w:val="en-US" w:eastAsia="zh-CN" w:bidi="ar"/>
              </w:rPr>
              <w:t>7</w:t>
            </w:r>
            <w:r>
              <w:rPr>
                <w:rFonts w:hint="eastAsia"/>
                <w:b/>
                <w:bCs/>
                <w:color w:val="auto"/>
                <w:kern w:val="0"/>
                <w:szCs w:val="21"/>
                <w:highlight w:val="none"/>
                <w:lang w:bidi="ar"/>
              </w:rPr>
              <w:t xml:space="preserve"> </w:t>
            </w:r>
            <w:r>
              <w:rPr>
                <w:b/>
                <w:bCs/>
                <w:color w:val="auto"/>
                <w:kern w:val="0"/>
                <w:szCs w:val="21"/>
                <w:highlight w:val="none"/>
                <w:lang w:bidi="ar"/>
              </w:rPr>
              <w:t xml:space="preserve"> </w:t>
            </w:r>
            <w:r>
              <w:rPr>
                <w:rFonts w:hint="eastAsia" w:ascii="宋体" w:hAnsi="宋体" w:cs="宋体"/>
                <w:b/>
                <w:bCs/>
                <w:color w:val="auto"/>
                <w:kern w:val="0"/>
                <w:szCs w:val="21"/>
                <w:highlight w:val="none"/>
                <w:lang w:bidi="ar"/>
              </w:rPr>
              <w:t>废润滑油主要理化性质</w:t>
            </w:r>
          </w:p>
          <w:tbl>
            <w:tblPr>
              <w:tblStyle w:val="19"/>
              <w:tblW w:w="794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109"/>
              <w:gridCol w:w="3418"/>
              <w:gridCol w:w="3419"/>
            </w:tblGrid>
            <w:tr w14:paraId="590457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vMerge w:val="restart"/>
                  <w:tcBorders>
                    <w:tl2br w:val="nil"/>
                    <w:tr2bl w:val="nil"/>
                  </w:tcBorders>
                  <w:vAlign w:val="center"/>
                </w:tcPr>
                <w:p w14:paraId="7FD3A7ED">
                  <w:pPr>
                    <w:pStyle w:val="13"/>
                    <w:jc w:val="center"/>
                    <w:rPr>
                      <w:b/>
                      <w:bCs/>
                      <w:color w:val="auto"/>
                      <w:sz w:val="21"/>
                      <w:szCs w:val="21"/>
                      <w:highlight w:val="none"/>
                    </w:rPr>
                  </w:pPr>
                  <w:r>
                    <w:rPr>
                      <w:rFonts w:hint="eastAsia"/>
                      <w:b/>
                      <w:bCs/>
                      <w:color w:val="auto"/>
                      <w:sz w:val="21"/>
                      <w:szCs w:val="21"/>
                      <w:highlight w:val="none"/>
                    </w:rPr>
                    <w:t>标识</w:t>
                  </w:r>
                </w:p>
              </w:tc>
              <w:tc>
                <w:tcPr>
                  <w:tcW w:w="3418" w:type="dxa"/>
                  <w:tcBorders>
                    <w:tl2br w:val="nil"/>
                    <w:tr2bl w:val="nil"/>
                  </w:tcBorders>
                  <w:vAlign w:val="center"/>
                </w:tcPr>
                <w:p w14:paraId="24CC2D6A">
                  <w:pPr>
                    <w:widowControl/>
                    <w:jc w:val="center"/>
                    <w:rPr>
                      <w:color w:val="auto"/>
                      <w:szCs w:val="21"/>
                      <w:highlight w:val="none"/>
                    </w:rPr>
                  </w:pPr>
                  <w:r>
                    <w:rPr>
                      <w:rFonts w:hint="eastAsia" w:ascii="宋体" w:hAnsi="宋体" w:cs="宋体"/>
                      <w:color w:val="auto"/>
                      <w:kern w:val="0"/>
                      <w:szCs w:val="21"/>
                      <w:highlight w:val="none"/>
                      <w:lang w:bidi="ar"/>
                    </w:rPr>
                    <w:t>中文名：润滑油</w:t>
                  </w:r>
                </w:p>
              </w:tc>
              <w:tc>
                <w:tcPr>
                  <w:tcW w:w="3419" w:type="dxa"/>
                  <w:tcBorders>
                    <w:tl2br w:val="nil"/>
                    <w:tr2bl w:val="nil"/>
                  </w:tcBorders>
                  <w:vAlign w:val="center"/>
                </w:tcPr>
                <w:p w14:paraId="21A5C148">
                  <w:pPr>
                    <w:widowControl/>
                    <w:jc w:val="center"/>
                    <w:rPr>
                      <w:color w:val="auto"/>
                      <w:szCs w:val="21"/>
                      <w:highlight w:val="none"/>
                    </w:rPr>
                  </w:pPr>
                  <w:r>
                    <w:rPr>
                      <w:rFonts w:hint="eastAsia" w:ascii="宋体" w:hAnsi="宋体" w:cs="宋体"/>
                      <w:color w:val="auto"/>
                      <w:kern w:val="0"/>
                      <w:szCs w:val="21"/>
                      <w:highlight w:val="none"/>
                      <w:lang w:bidi="ar"/>
                    </w:rPr>
                    <w:t>俗名：润滑油</w:t>
                  </w:r>
                </w:p>
              </w:tc>
            </w:tr>
            <w:tr w14:paraId="0461DB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vMerge w:val="continue"/>
                  <w:tcBorders>
                    <w:tl2br w:val="nil"/>
                    <w:tr2bl w:val="nil"/>
                  </w:tcBorders>
                  <w:vAlign w:val="center"/>
                </w:tcPr>
                <w:p w14:paraId="11F4AD3E">
                  <w:pPr>
                    <w:pStyle w:val="13"/>
                    <w:jc w:val="center"/>
                    <w:rPr>
                      <w:b/>
                      <w:bCs/>
                      <w:color w:val="auto"/>
                      <w:sz w:val="21"/>
                      <w:szCs w:val="21"/>
                      <w:highlight w:val="none"/>
                    </w:rPr>
                  </w:pPr>
                </w:p>
              </w:tc>
              <w:tc>
                <w:tcPr>
                  <w:tcW w:w="3418" w:type="dxa"/>
                  <w:tcBorders>
                    <w:tl2br w:val="nil"/>
                    <w:tr2bl w:val="nil"/>
                  </w:tcBorders>
                  <w:vAlign w:val="center"/>
                </w:tcPr>
                <w:p w14:paraId="12BEF4C0">
                  <w:pPr>
                    <w:widowControl/>
                    <w:jc w:val="center"/>
                    <w:rPr>
                      <w:color w:val="auto"/>
                      <w:szCs w:val="21"/>
                      <w:highlight w:val="none"/>
                    </w:rPr>
                  </w:pPr>
                  <w:r>
                    <w:rPr>
                      <w:rFonts w:hint="eastAsia" w:ascii="宋体" w:hAnsi="宋体" w:cs="宋体"/>
                      <w:color w:val="auto"/>
                      <w:kern w:val="0"/>
                      <w:szCs w:val="21"/>
                      <w:highlight w:val="none"/>
                      <w:lang w:bidi="ar"/>
                    </w:rPr>
                    <w:t>英文名：</w:t>
                  </w:r>
                  <w:r>
                    <w:rPr>
                      <w:color w:val="auto"/>
                      <w:kern w:val="0"/>
                      <w:szCs w:val="21"/>
                      <w:highlight w:val="none"/>
                      <w:lang w:bidi="ar"/>
                    </w:rPr>
                    <w:t>Lubricating oil</w:t>
                  </w:r>
                </w:p>
              </w:tc>
              <w:tc>
                <w:tcPr>
                  <w:tcW w:w="3419" w:type="dxa"/>
                  <w:tcBorders>
                    <w:tl2br w:val="nil"/>
                    <w:tr2bl w:val="nil"/>
                  </w:tcBorders>
                  <w:vAlign w:val="center"/>
                </w:tcPr>
                <w:p w14:paraId="4670A57B">
                  <w:pPr>
                    <w:widowControl/>
                    <w:jc w:val="center"/>
                    <w:rPr>
                      <w:color w:val="auto"/>
                      <w:szCs w:val="21"/>
                      <w:highlight w:val="none"/>
                    </w:rPr>
                  </w:pPr>
                  <w:r>
                    <w:rPr>
                      <w:rFonts w:hint="eastAsia" w:ascii="宋体" w:hAnsi="宋体" w:cs="宋体"/>
                      <w:color w:val="auto"/>
                      <w:kern w:val="0"/>
                      <w:szCs w:val="21"/>
                      <w:highlight w:val="none"/>
                      <w:lang w:bidi="ar"/>
                    </w:rPr>
                    <w:t>分子量：</w:t>
                  </w:r>
                  <w:r>
                    <w:rPr>
                      <w:color w:val="auto"/>
                      <w:kern w:val="0"/>
                      <w:szCs w:val="21"/>
                      <w:highlight w:val="none"/>
                      <w:lang w:bidi="ar"/>
                    </w:rPr>
                    <w:t>230-500</w:t>
                  </w:r>
                </w:p>
              </w:tc>
            </w:tr>
            <w:tr w14:paraId="3F56C5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vMerge w:val="restart"/>
                  <w:tcBorders>
                    <w:tl2br w:val="nil"/>
                    <w:tr2bl w:val="nil"/>
                  </w:tcBorders>
                  <w:vAlign w:val="center"/>
                </w:tcPr>
                <w:p w14:paraId="304AF89D">
                  <w:pPr>
                    <w:pStyle w:val="13"/>
                    <w:jc w:val="center"/>
                    <w:rPr>
                      <w:b/>
                      <w:bCs/>
                      <w:color w:val="auto"/>
                      <w:sz w:val="21"/>
                      <w:szCs w:val="21"/>
                      <w:highlight w:val="none"/>
                    </w:rPr>
                  </w:pPr>
                  <w:r>
                    <w:rPr>
                      <w:rFonts w:hint="eastAsia"/>
                      <w:b/>
                      <w:bCs/>
                      <w:color w:val="auto"/>
                      <w:sz w:val="21"/>
                      <w:szCs w:val="21"/>
                      <w:highlight w:val="none"/>
                    </w:rPr>
                    <w:t>理化性质</w:t>
                  </w:r>
                </w:p>
              </w:tc>
              <w:tc>
                <w:tcPr>
                  <w:tcW w:w="6837" w:type="dxa"/>
                  <w:gridSpan w:val="2"/>
                  <w:tcBorders>
                    <w:tl2br w:val="nil"/>
                    <w:tr2bl w:val="nil"/>
                  </w:tcBorders>
                  <w:vAlign w:val="center"/>
                </w:tcPr>
                <w:p w14:paraId="39E9F4BB">
                  <w:pPr>
                    <w:widowControl/>
                    <w:jc w:val="center"/>
                    <w:rPr>
                      <w:color w:val="auto"/>
                      <w:szCs w:val="21"/>
                      <w:highlight w:val="none"/>
                    </w:rPr>
                  </w:pPr>
                  <w:r>
                    <w:rPr>
                      <w:rFonts w:hint="eastAsia" w:ascii="宋体" w:hAnsi="宋体" w:cs="宋体"/>
                      <w:color w:val="auto"/>
                      <w:kern w:val="0"/>
                      <w:szCs w:val="21"/>
                      <w:highlight w:val="none"/>
                      <w:lang w:bidi="ar"/>
                    </w:rPr>
                    <w:t>性状：性状：油状液体，淡黄色至褐色，无气味或略带异味</w:t>
                  </w:r>
                </w:p>
              </w:tc>
            </w:tr>
            <w:tr w14:paraId="31D6E0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vMerge w:val="continue"/>
                  <w:tcBorders>
                    <w:tl2br w:val="nil"/>
                    <w:tr2bl w:val="nil"/>
                  </w:tcBorders>
                  <w:vAlign w:val="center"/>
                </w:tcPr>
                <w:p w14:paraId="31FCDC7C">
                  <w:pPr>
                    <w:pStyle w:val="13"/>
                    <w:jc w:val="center"/>
                    <w:rPr>
                      <w:b/>
                      <w:bCs/>
                      <w:color w:val="auto"/>
                      <w:sz w:val="21"/>
                      <w:szCs w:val="21"/>
                      <w:highlight w:val="none"/>
                    </w:rPr>
                  </w:pPr>
                </w:p>
              </w:tc>
              <w:tc>
                <w:tcPr>
                  <w:tcW w:w="3418" w:type="dxa"/>
                  <w:tcBorders>
                    <w:tl2br w:val="nil"/>
                    <w:tr2bl w:val="nil"/>
                  </w:tcBorders>
                  <w:vAlign w:val="center"/>
                </w:tcPr>
                <w:p w14:paraId="03F27C36">
                  <w:pPr>
                    <w:widowControl/>
                    <w:jc w:val="center"/>
                    <w:rPr>
                      <w:color w:val="auto"/>
                      <w:szCs w:val="21"/>
                      <w:highlight w:val="none"/>
                    </w:rPr>
                  </w:pPr>
                  <w:r>
                    <w:rPr>
                      <w:rFonts w:hint="eastAsia" w:ascii="宋体" w:hAnsi="宋体" w:cs="宋体"/>
                      <w:color w:val="auto"/>
                      <w:kern w:val="0"/>
                      <w:szCs w:val="21"/>
                      <w:highlight w:val="none"/>
                      <w:lang w:bidi="ar"/>
                    </w:rPr>
                    <w:t>闪点</w:t>
                  </w:r>
                  <w:r>
                    <w:rPr>
                      <w:color w:val="auto"/>
                      <w:kern w:val="0"/>
                      <w:szCs w:val="21"/>
                      <w:highlight w:val="none"/>
                      <w:lang w:bidi="ar"/>
                    </w:rPr>
                    <w:t>(</w:t>
                  </w:r>
                  <w:r>
                    <w:rPr>
                      <w:rFonts w:hint="eastAsia" w:ascii="宋体" w:hAnsi="宋体" w:cs="宋体"/>
                      <w:color w:val="auto"/>
                      <w:kern w:val="0"/>
                      <w:szCs w:val="21"/>
                      <w:highlight w:val="none"/>
                      <w:lang w:bidi="ar"/>
                    </w:rPr>
                    <w:t>℃</w:t>
                  </w:r>
                  <w:r>
                    <w:rPr>
                      <w:color w:val="auto"/>
                      <w:kern w:val="0"/>
                      <w:szCs w:val="21"/>
                      <w:highlight w:val="none"/>
                      <w:lang w:bidi="ar"/>
                    </w:rPr>
                    <w:t>)</w:t>
                  </w:r>
                  <w:r>
                    <w:rPr>
                      <w:rFonts w:hint="eastAsia" w:ascii="宋体" w:hAnsi="宋体" w:cs="宋体"/>
                      <w:color w:val="auto"/>
                      <w:kern w:val="0"/>
                      <w:szCs w:val="21"/>
                      <w:highlight w:val="none"/>
                      <w:lang w:bidi="ar"/>
                    </w:rPr>
                    <w:t>：</w:t>
                  </w:r>
                  <w:r>
                    <w:rPr>
                      <w:color w:val="auto"/>
                      <w:kern w:val="0"/>
                      <w:szCs w:val="21"/>
                      <w:highlight w:val="none"/>
                      <w:lang w:bidi="ar"/>
                    </w:rPr>
                    <w:t>76</w:t>
                  </w:r>
                </w:p>
              </w:tc>
              <w:tc>
                <w:tcPr>
                  <w:tcW w:w="3419" w:type="dxa"/>
                  <w:tcBorders>
                    <w:tl2br w:val="nil"/>
                    <w:tr2bl w:val="nil"/>
                  </w:tcBorders>
                  <w:vAlign w:val="center"/>
                </w:tcPr>
                <w:p w14:paraId="2F5CE933">
                  <w:pPr>
                    <w:widowControl/>
                    <w:jc w:val="center"/>
                    <w:rPr>
                      <w:color w:val="auto"/>
                      <w:szCs w:val="21"/>
                      <w:highlight w:val="none"/>
                    </w:rPr>
                  </w:pPr>
                  <w:r>
                    <w:rPr>
                      <w:rFonts w:hint="eastAsia" w:ascii="宋体" w:hAnsi="宋体" w:cs="宋体"/>
                      <w:color w:val="auto"/>
                      <w:kern w:val="0"/>
                      <w:szCs w:val="21"/>
                      <w:highlight w:val="none"/>
                      <w:lang w:bidi="ar"/>
                    </w:rPr>
                    <w:t>引燃温度</w:t>
                  </w:r>
                  <w:r>
                    <w:rPr>
                      <w:color w:val="auto"/>
                      <w:kern w:val="0"/>
                      <w:szCs w:val="21"/>
                      <w:highlight w:val="none"/>
                      <w:lang w:bidi="ar"/>
                    </w:rPr>
                    <w:t>(</w:t>
                  </w:r>
                  <w:r>
                    <w:rPr>
                      <w:rFonts w:hint="eastAsia" w:ascii="宋体" w:hAnsi="宋体" w:cs="宋体"/>
                      <w:color w:val="auto"/>
                      <w:kern w:val="0"/>
                      <w:szCs w:val="21"/>
                      <w:highlight w:val="none"/>
                      <w:lang w:bidi="ar"/>
                    </w:rPr>
                    <w:t>℃</w:t>
                  </w:r>
                  <w:r>
                    <w:rPr>
                      <w:color w:val="auto"/>
                      <w:kern w:val="0"/>
                      <w:szCs w:val="21"/>
                      <w:highlight w:val="none"/>
                      <w:lang w:bidi="ar"/>
                    </w:rPr>
                    <w:t>)</w:t>
                  </w:r>
                  <w:r>
                    <w:rPr>
                      <w:rFonts w:hint="eastAsia" w:ascii="宋体" w:hAnsi="宋体" w:cs="宋体"/>
                      <w:color w:val="auto"/>
                      <w:kern w:val="0"/>
                      <w:szCs w:val="21"/>
                      <w:highlight w:val="none"/>
                      <w:lang w:bidi="ar"/>
                    </w:rPr>
                    <w:t>：</w:t>
                  </w:r>
                  <w:r>
                    <w:rPr>
                      <w:color w:val="auto"/>
                      <w:kern w:val="0"/>
                      <w:szCs w:val="21"/>
                      <w:highlight w:val="none"/>
                      <w:lang w:bidi="ar"/>
                    </w:rPr>
                    <w:t>248</w:t>
                  </w:r>
                </w:p>
              </w:tc>
            </w:tr>
            <w:tr w14:paraId="792FA6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vMerge w:val="continue"/>
                  <w:tcBorders>
                    <w:tl2br w:val="nil"/>
                    <w:tr2bl w:val="nil"/>
                  </w:tcBorders>
                  <w:vAlign w:val="center"/>
                </w:tcPr>
                <w:p w14:paraId="1E97FB36">
                  <w:pPr>
                    <w:pStyle w:val="13"/>
                    <w:jc w:val="center"/>
                    <w:rPr>
                      <w:b/>
                      <w:bCs/>
                      <w:color w:val="auto"/>
                      <w:sz w:val="21"/>
                      <w:szCs w:val="21"/>
                      <w:highlight w:val="none"/>
                    </w:rPr>
                  </w:pPr>
                </w:p>
              </w:tc>
              <w:tc>
                <w:tcPr>
                  <w:tcW w:w="6837" w:type="dxa"/>
                  <w:gridSpan w:val="2"/>
                  <w:tcBorders>
                    <w:tl2br w:val="nil"/>
                    <w:tr2bl w:val="nil"/>
                  </w:tcBorders>
                  <w:vAlign w:val="center"/>
                </w:tcPr>
                <w:p w14:paraId="3DCE45B5">
                  <w:pPr>
                    <w:widowControl/>
                    <w:jc w:val="center"/>
                    <w:rPr>
                      <w:color w:val="auto"/>
                      <w:szCs w:val="21"/>
                      <w:highlight w:val="none"/>
                    </w:rPr>
                  </w:pPr>
                  <w:r>
                    <w:rPr>
                      <w:rFonts w:hint="eastAsia" w:ascii="宋体" w:hAnsi="宋体" w:cs="宋体"/>
                      <w:color w:val="auto"/>
                      <w:kern w:val="0"/>
                      <w:szCs w:val="21"/>
                      <w:highlight w:val="none"/>
                      <w:lang w:bidi="ar"/>
                    </w:rPr>
                    <w:t>相对密度</w:t>
                  </w:r>
                  <w:r>
                    <w:rPr>
                      <w:color w:val="auto"/>
                      <w:kern w:val="0"/>
                      <w:szCs w:val="21"/>
                      <w:highlight w:val="none"/>
                      <w:lang w:bidi="ar"/>
                    </w:rPr>
                    <w:t>(</w:t>
                  </w:r>
                  <w:r>
                    <w:rPr>
                      <w:rFonts w:hint="eastAsia" w:ascii="宋体" w:hAnsi="宋体" w:cs="宋体"/>
                      <w:color w:val="auto"/>
                      <w:kern w:val="0"/>
                      <w:szCs w:val="21"/>
                      <w:highlight w:val="none"/>
                      <w:lang w:bidi="ar"/>
                    </w:rPr>
                    <w:t>水</w:t>
                  </w:r>
                  <w:r>
                    <w:rPr>
                      <w:color w:val="auto"/>
                      <w:kern w:val="0"/>
                      <w:szCs w:val="21"/>
                      <w:highlight w:val="none"/>
                      <w:lang w:bidi="ar"/>
                    </w:rPr>
                    <w:t>=1)</w:t>
                  </w:r>
                  <w:r>
                    <w:rPr>
                      <w:rFonts w:hint="eastAsia" w:ascii="宋体" w:hAnsi="宋体" w:cs="宋体"/>
                      <w:color w:val="auto"/>
                      <w:kern w:val="0"/>
                      <w:szCs w:val="21"/>
                      <w:highlight w:val="none"/>
                      <w:lang w:bidi="ar"/>
                    </w:rPr>
                    <w:t>：＜</w:t>
                  </w:r>
                  <w:r>
                    <w:rPr>
                      <w:color w:val="auto"/>
                      <w:kern w:val="0"/>
                      <w:szCs w:val="21"/>
                      <w:highlight w:val="none"/>
                      <w:lang w:bidi="ar"/>
                    </w:rPr>
                    <w:t>1</w:t>
                  </w:r>
                </w:p>
              </w:tc>
            </w:tr>
            <w:tr w14:paraId="031615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vMerge w:val="restart"/>
                  <w:tcBorders>
                    <w:tl2br w:val="nil"/>
                    <w:tr2bl w:val="nil"/>
                  </w:tcBorders>
                  <w:vAlign w:val="center"/>
                </w:tcPr>
                <w:p w14:paraId="32C33B8E">
                  <w:pPr>
                    <w:pStyle w:val="13"/>
                    <w:jc w:val="center"/>
                    <w:rPr>
                      <w:b/>
                      <w:bCs/>
                      <w:color w:val="auto"/>
                      <w:sz w:val="21"/>
                      <w:szCs w:val="21"/>
                      <w:highlight w:val="none"/>
                    </w:rPr>
                  </w:pPr>
                  <w:r>
                    <w:rPr>
                      <w:rFonts w:hint="eastAsia"/>
                      <w:b/>
                      <w:bCs/>
                      <w:color w:val="auto"/>
                      <w:sz w:val="21"/>
                      <w:szCs w:val="21"/>
                      <w:highlight w:val="none"/>
                    </w:rPr>
                    <w:t>燃烧爆炸危险性</w:t>
                  </w:r>
                </w:p>
              </w:tc>
              <w:tc>
                <w:tcPr>
                  <w:tcW w:w="3418" w:type="dxa"/>
                  <w:tcBorders>
                    <w:tl2br w:val="nil"/>
                    <w:tr2bl w:val="nil"/>
                  </w:tcBorders>
                  <w:vAlign w:val="center"/>
                </w:tcPr>
                <w:p w14:paraId="30243EF8">
                  <w:pPr>
                    <w:widowControl/>
                    <w:jc w:val="center"/>
                    <w:rPr>
                      <w:color w:val="auto"/>
                      <w:szCs w:val="21"/>
                      <w:highlight w:val="none"/>
                    </w:rPr>
                  </w:pPr>
                  <w:r>
                    <w:rPr>
                      <w:rFonts w:hint="eastAsia" w:ascii="宋体" w:hAnsi="宋体" w:cs="宋体"/>
                      <w:color w:val="auto"/>
                      <w:kern w:val="0"/>
                      <w:szCs w:val="21"/>
                      <w:highlight w:val="none"/>
                      <w:lang w:bidi="ar"/>
                    </w:rPr>
                    <w:t>燃烧性：可燃，具刺激</w:t>
                  </w:r>
                </w:p>
                <w:p w14:paraId="416B5565">
                  <w:pPr>
                    <w:widowControl/>
                    <w:jc w:val="center"/>
                    <w:rPr>
                      <w:color w:val="auto"/>
                      <w:szCs w:val="21"/>
                      <w:highlight w:val="none"/>
                    </w:rPr>
                  </w:pPr>
                  <w:r>
                    <w:rPr>
                      <w:rFonts w:hint="eastAsia" w:ascii="宋体" w:hAnsi="宋体" w:cs="宋体"/>
                      <w:color w:val="auto"/>
                      <w:kern w:val="0"/>
                      <w:szCs w:val="21"/>
                      <w:highlight w:val="none"/>
                      <w:lang w:bidi="ar"/>
                    </w:rPr>
                    <w:t>性。</w:t>
                  </w:r>
                </w:p>
              </w:tc>
              <w:tc>
                <w:tcPr>
                  <w:tcW w:w="3419" w:type="dxa"/>
                  <w:tcBorders>
                    <w:tl2br w:val="nil"/>
                    <w:tr2bl w:val="nil"/>
                  </w:tcBorders>
                  <w:vAlign w:val="center"/>
                </w:tcPr>
                <w:p w14:paraId="230E829B">
                  <w:pPr>
                    <w:widowControl/>
                    <w:jc w:val="center"/>
                    <w:rPr>
                      <w:color w:val="auto"/>
                      <w:szCs w:val="21"/>
                      <w:highlight w:val="none"/>
                    </w:rPr>
                  </w:pPr>
                  <w:r>
                    <w:rPr>
                      <w:rFonts w:hint="eastAsia" w:ascii="宋体" w:hAnsi="宋体" w:cs="宋体"/>
                      <w:color w:val="auto"/>
                      <w:kern w:val="0"/>
                      <w:szCs w:val="21"/>
                      <w:highlight w:val="none"/>
                      <w:lang w:bidi="ar"/>
                    </w:rPr>
                    <w:t>禁配物：强氧化剂</w:t>
                  </w:r>
                </w:p>
              </w:tc>
            </w:tr>
            <w:tr w14:paraId="4065095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vMerge w:val="continue"/>
                  <w:tcBorders>
                    <w:tl2br w:val="nil"/>
                    <w:tr2bl w:val="nil"/>
                  </w:tcBorders>
                  <w:vAlign w:val="center"/>
                </w:tcPr>
                <w:p w14:paraId="124873D7">
                  <w:pPr>
                    <w:pStyle w:val="13"/>
                    <w:jc w:val="center"/>
                    <w:rPr>
                      <w:b/>
                      <w:bCs/>
                      <w:color w:val="auto"/>
                      <w:sz w:val="21"/>
                      <w:szCs w:val="21"/>
                      <w:highlight w:val="none"/>
                    </w:rPr>
                  </w:pPr>
                </w:p>
              </w:tc>
              <w:tc>
                <w:tcPr>
                  <w:tcW w:w="6837" w:type="dxa"/>
                  <w:gridSpan w:val="2"/>
                  <w:tcBorders>
                    <w:tl2br w:val="nil"/>
                    <w:tr2bl w:val="nil"/>
                  </w:tcBorders>
                  <w:vAlign w:val="center"/>
                </w:tcPr>
                <w:p w14:paraId="2785C164">
                  <w:pPr>
                    <w:widowControl/>
                    <w:jc w:val="center"/>
                    <w:rPr>
                      <w:color w:val="auto"/>
                      <w:szCs w:val="21"/>
                      <w:highlight w:val="none"/>
                    </w:rPr>
                  </w:pPr>
                  <w:r>
                    <w:rPr>
                      <w:rFonts w:hint="eastAsia" w:ascii="宋体" w:hAnsi="宋体" w:cs="宋体"/>
                      <w:color w:val="auto"/>
                      <w:kern w:val="0"/>
                      <w:szCs w:val="21"/>
                      <w:highlight w:val="none"/>
                      <w:lang w:bidi="ar"/>
                    </w:rPr>
                    <w:t>有害燃烧产物：一氧化碳（不完全燃烧）、二氧化碳（完全燃烧）。</w:t>
                  </w:r>
                </w:p>
              </w:tc>
            </w:tr>
            <w:tr w14:paraId="616CB3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vMerge w:val="continue"/>
                  <w:tcBorders>
                    <w:tl2br w:val="nil"/>
                    <w:tr2bl w:val="nil"/>
                  </w:tcBorders>
                  <w:vAlign w:val="center"/>
                </w:tcPr>
                <w:p w14:paraId="64268625">
                  <w:pPr>
                    <w:pStyle w:val="13"/>
                    <w:jc w:val="center"/>
                    <w:rPr>
                      <w:b/>
                      <w:bCs/>
                      <w:color w:val="auto"/>
                      <w:sz w:val="21"/>
                      <w:szCs w:val="21"/>
                      <w:highlight w:val="none"/>
                    </w:rPr>
                  </w:pPr>
                </w:p>
              </w:tc>
              <w:tc>
                <w:tcPr>
                  <w:tcW w:w="6837" w:type="dxa"/>
                  <w:gridSpan w:val="2"/>
                  <w:tcBorders>
                    <w:tl2br w:val="nil"/>
                    <w:tr2bl w:val="nil"/>
                  </w:tcBorders>
                  <w:vAlign w:val="center"/>
                </w:tcPr>
                <w:p w14:paraId="67DF19F9">
                  <w:pPr>
                    <w:widowControl/>
                    <w:jc w:val="center"/>
                    <w:rPr>
                      <w:color w:val="auto"/>
                      <w:szCs w:val="21"/>
                      <w:highlight w:val="none"/>
                    </w:rPr>
                  </w:pPr>
                  <w:r>
                    <w:rPr>
                      <w:rFonts w:hint="eastAsia" w:ascii="宋体" w:hAnsi="宋体" w:cs="宋体"/>
                      <w:color w:val="auto"/>
                      <w:kern w:val="0"/>
                      <w:szCs w:val="21"/>
                      <w:highlight w:val="none"/>
                      <w:lang w:bidi="ar"/>
                    </w:rPr>
                    <w:t>危险特性：遇明火、高温可燃。</w:t>
                  </w:r>
                </w:p>
              </w:tc>
            </w:tr>
            <w:tr w14:paraId="6940C5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vMerge w:val="continue"/>
                  <w:tcBorders>
                    <w:tl2br w:val="nil"/>
                    <w:tr2bl w:val="nil"/>
                  </w:tcBorders>
                  <w:vAlign w:val="center"/>
                </w:tcPr>
                <w:p w14:paraId="1D3D1BCF">
                  <w:pPr>
                    <w:pStyle w:val="13"/>
                    <w:jc w:val="center"/>
                    <w:rPr>
                      <w:b/>
                      <w:bCs/>
                      <w:color w:val="auto"/>
                      <w:sz w:val="21"/>
                      <w:szCs w:val="21"/>
                      <w:highlight w:val="none"/>
                    </w:rPr>
                  </w:pPr>
                </w:p>
              </w:tc>
              <w:tc>
                <w:tcPr>
                  <w:tcW w:w="6837" w:type="dxa"/>
                  <w:gridSpan w:val="2"/>
                  <w:tcBorders>
                    <w:tl2br w:val="nil"/>
                    <w:tr2bl w:val="nil"/>
                  </w:tcBorders>
                  <w:vAlign w:val="center"/>
                </w:tcPr>
                <w:p w14:paraId="2F09FDD8">
                  <w:pPr>
                    <w:widowControl/>
                    <w:jc w:val="center"/>
                    <w:rPr>
                      <w:rFonts w:ascii="宋体" w:hAnsi="宋体" w:cs="宋体"/>
                      <w:color w:val="auto"/>
                      <w:kern w:val="0"/>
                      <w:szCs w:val="21"/>
                      <w:highlight w:val="none"/>
                      <w:lang w:bidi="ar"/>
                    </w:rPr>
                  </w:pPr>
                  <w:r>
                    <w:rPr>
                      <w:rFonts w:hint="eastAsia" w:ascii="宋体" w:hAnsi="宋体" w:cs="宋体"/>
                      <w:color w:val="auto"/>
                      <w:kern w:val="0"/>
                      <w:szCs w:val="21"/>
                      <w:highlight w:val="none"/>
                      <w:lang w:bidi="ar"/>
                    </w:rPr>
                    <w:t>灭火方法：消防人员须佩戴防毒面具、穿全身消防服，在上风向灭火。</w:t>
                  </w:r>
                </w:p>
                <w:p w14:paraId="7F6F1CB5">
                  <w:pPr>
                    <w:widowControl/>
                    <w:jc w:val="center"/>
                    <w:rPr>
                      <w:color w:val="auto"/>
                      <w:szCs w:val="21"/>
                      <w:highlight w:val="none"/>
                    </w:rPr>
                  </w:pPr>
                  <w:r>
                    <w:rPr>
                      <w:rFonts w:hint="eastAsia" w:ascii="宋体" w:hAnsi="宋体" w:cs="宋体"/>
                      <w:color w:val="auto"/>
                      <w:kern w:val="0"/>
                      <w:szCs w:val="21"/>
                      <w:highlight w:val="none"/>
                      <w:lang w:bidi="ar"/>
                    </w:rPr>
                    <w:t>尽可能将容器从火场移至空旷处。喷水保持容器冷却，直至火灾结束。</w:t>
                  </w:r>
                </w:p>
                <w:p w14:paraId="0A85431D">
                  <w:pPr>
                    <w:widowControl/>
                    <w:jc w:val="center"/>
                    <w:rPr>
                      <w:color w:val="auto"/>
                      <w:szCs w:val="21"/>
                      <w:highlight w:val="none"/>
                    </w:rPr>
                  </w:pPr>
                  <w:r>
                    <w:rPr>
                      <w:rFonts w:hint="eastAsia" w:ascii="宋体" w:hAnsi="宋体" w:cs="宋体"/>
                      <w:color w:val="auto"/>
                      <w:kern w:val="0"/>
                      <w:szCs w:val="21"/>
                      <w:highlight w:val="none"/>
                      <w:lang w:bidi="ar"/>
                    </w:rPr>
                    <w:t>处在火场中的容器若已变色，必须马上撤离。灭火剂：雾状水、泡沫、</w:t>
                  </w:r>
                </w:p>
                <w:p w14:paraId="46B242BA">
                  <w:pPr>
                    <w:widowControl/>
                    <w:jc w:val="center"/>
                    <w:rPr>
                      <w:rFonts w:ascii="宋体" w:hAnsi="宋体" w:cs="宋体"/>
                      <w:color w:val="auto"/>
                      <w:kern w:val="0"/>
                      <w:szCs w:val="21"/>
                      <w:highlight w:val="none"/>
                      <w:lang w:bidi="ar"/>
                    </w:rPr>
                  </w:pPr>
                  <w:r>
                    <w:rPr>
                      <w:rFonts w:hint="eastAsia" w:ascii="宋体" w:hAnsi="宋体" w:cs="宋体"/>
                      <w:color w:val="auto"/>
                      <w:kern w:val="0"/>
                      <w:szCs w:val="21"/>
                      <w:highlight w:val="none"/>
                      <w:lang w:bidi="ar"/>
                    </w:rPr>
                    <w:t>二氧化碳、砂土。</w:t>
                  </w:r>
                </w:p>
              </w:tc>
            </w:tr>
            <w:tr w14:paraId="2BCA88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tcBorders>
                    <w:tl2br w:val="nil"/>
                    <w:tr2bl w:val="nil"/>
                  </w:tcBorders>
                  <w:vAlign w:val="center"/>
                </w:tcPr>
                <w:p w14:paraId="3389D8BD">
                  <w:pPr>
                    <w:pStyle w:val="13"/>
                    <w:jc w:val="center"/>
                    <w:rPr>
                      <w:b/>
                      <w:bCs/>
                      <w:color w:val="auto"/>
                      <w:sz w:val="21"/>
                      <w:szCs w:val="21"/>
                      <w:highlight w:val="none"/>
                    </w:rPr>
                  </w:pPr>
                  <w:r>
                    <w:rPr>
                      <w:rFonts w:hint="eastAsia"/>
                      <w:b/>
                      <w:bCs/>
                      <w:color w:val="auto"/>
                      <w:sz w:val="21"/>
                      <w:szCs w:val="21"/>
                      <w:highlight w:val="none"/>
                    </w:rPr>
                    <w:t>急救措施</w:t>
                  </w:r>
                </w:p>
              </w:tc>
              <w:tc>
                <w:tcPr>
                  <w:tcW w:w="6837" w:type="dxa"/>
                  <w:gridSpan w:val="2"/>
                  <w:tcBorders>
                    <w:tl2br w:val="nil"/>
                    <w:tr2bl w:val="nil"/>
                  </w:tcBorders>
                  <w:vAlign w:val="center"/>
                </w:tcPr>
                <w:p w14:paraId="2A6368E3">
                  <w:pPr>
                    <w:widowControl/>
                    <w:rPr>
                      <w:color w:val="auto"/>
                      <w:szCs w:val="21"/>
                      <w:highlight w:val="none"/>
                    </w:rPr>
                  </w:pPr>
                  <w:r>
                    <w:rPr>
                      <w:rFonts w:hint="eastAsia" w:ascii="宋体" w:hAnsi="宋体" w:cs="宋体"/>
                      <w:color w:val="auto"/>
                      <w:kern w:val="0"/>
                      <w:szCs w:val="21"/>
                      <w:highlight w:val="none"/>
                      <w:lang w:bidi="ar"/>
                    </w:rPr>
                    <w:t>皮肤接触：脱去污染的衣着，用大量流动清水冲洗。就医。</w:t>
                  </w:r>
                </w:p>
                <w:p w14:paraId="4C621FAA">
                  <w:pPr>
                    <w:widowControl/>
                    <w:rPr>
                      <w:color w:val="auto"/>
                      <w:szCs w:val="21"/>
                      <w:highlight w:val="none"/>
                    </w:rPr>
                  </w:pPr>
                  <w:r>
                    <w:rPr>
                      <w:rFonts w:hint="eastAsia" w:ascii="宋体" w:hAnsi="宋体" w:cs="宋体"/>
                      <w:color w:val="auto"/>
                      <w:kern w:val="0"/>
                      <w:szCs w:val="21"/>
                      <w:highlight w:val="none"/>
                      <w:lang w:bidi="ar"/>
                    </w:rPr>
                    <w:t>眼睛接触：提起眼睑，用流动清水或生理盐水冲洗。就医。</w:t>
                  </w:r>
                </w:p>
                <w:p w14:paraId="5391E408">
                  <w:pPr>
                    <w:widowControl/>
                    <w:jc w:val="center"/>
                    <w:rPr>
                      <w:rFonts w:ascii="宋体" w:hAnsi="宋体" w:cs="宋体"/>
                      <w:color w:val="auto"/>
                      <w:kern w:val="0"/>
                      <w:szCs w:val="21"/>
                      <w:highlight w:val="none"/>
                      <w:lang w:bidi="ar"/>
                    </w:rPr>
                  </w:pPr>
                  <w:r>
                    <w:rPr>
                      <w:rFonts w:hint="eastAsia" w:ascii="宋体" w:hAnsi="宋体" w:cs="宋体"/>
                      <w:color w:val="auto"/>
                      <w:kern w:val="0"/>
                      <w:szCs w:val="21"/>
                      <w:highlight w:val="none"/>
                      <w:lang w:bidi="ar"/>
                    </w:rPr>
                    <w:t>吸入：迅速脱离现场至空气新鲜处。保持呼吸道通畅。如呼吸困难，给输氧。如呼吸停止，立即进行人工呼吸。就医。</w:t>
                  </w:r>
                </w:p>
              </w:tc>
            </w:tr>
            <w:tr w14:paraId="4A9CB24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tcBorders>
                    <w:tl2br w:val="nil"/>
                    <w:tr2bl w:val="nil"/>
                  </w:tcBorders>
                  <w:vAlign w:val="center"/>
                </w:tcPr>
                <w:p w14:paraId="7B1C3580">
                  <w:pPr>
                    <w:pStyle w:val="13"/>
                    <w:jc w:val="center"/>
                    <w:rPr>
                      <w:b/>
                      <w:bCs/>
                      <w:color w:val="auto"/>
                      <w:sz w:val="21"/>
                      <w:szCs w:val="21"/>
                      <w:highlight w:val="none"/>
                    </w:rPr>
                  </w:pPr>
                  <w:r>
                    <w:rPr>
                      <w:rFonts w:hint="eastAsia"/>
                      <w:b/>
                      <w:bCs/>
                      <w:color w:val="auto"/>
                      <w:sz w:val="21"/>
                      <w:szCs w:val="21"/>
                      <w:highlight w:val="none"/>
                    </w:rPr>
                    <w:t>个体防护</w:t>
                  </w:r>
                </w:p>
              </w:tc>
              <w:tc>
                <w:tcPr>
                  <w:tcW w:w="6837" w:type="dxa"/>
                  <w:gridSpan w:val="2"/>
                  <w:tcBorders>
                    <w:tl2br w:val="nil"/>
                    <w:tr2bl w:val="nil"/>
                  </w:tcBorders>
                  <w:vAlign w:val="center"/>
                </w:tcPr>
                <w:p w14:paraId="0E19AC57">
                  <w:pPr>
                    <w:widowControl/>
                    <w:rPr>
                      <w:color w:val="auto"/>
                      <w:szCs w:val="21"/>
                      <w:highlight w:val="none"/>
                    </w:rPr>
                  </w:pPr>
                  <w:r>
                    <w:rPr>
                      <w:rFonts w:hint="eastAsia"/>
                      <w:color w:val="auto"/>
                      <w:szCs w:val="21"/>
                      <w:highlight w:val="none"/>
                    </w:rPr>
                    <w:t>呼吸系统防护：空气中浓度超标时，必须佩戴自吸过滤式防毒面具。</w:t>
                  </w:r>
                </w:p>
                <w:p w14:paraId="3F3DDEB9">
                  <w:pPr>
                    <w:widowControl/>
                    <w:rPr>
                      <w:color w:val="auto"/>
                      <w:szCs w:val="21"/>
                      <w:highlight w:val="none"/>
                    </w:rPr>
                  </w:pPr>
                  <w:r>
                    <w:rPr>
                      <w:rFonts w:hint="eastAsia"/>
                      <w:color w:val="auto"/>
                      <w:szCs w:val="21"/>
                      <w:highlight w:val="none"/>
                    </w:rPr>
                    <w:t>眼睛防护：戴安全防护眼镜。</w:t>
                  </w:r>
                </w:p>
                <w:p w14:paraId="7D02767C">
                  <w:pPr>
                    <w:widowControl/>
                    <w:rPr>
                      <w:color w:val="auto"/>
                      <w:szCs w:val="21"/>
                      <w:highlight w:val="none"/>
                    </w:rPr>
                  </w:pPr>
                  <w:r>
                    <w:rPr>
                      <w:rFonts w:hint="eastAsia"/>
                      <w:color w:val="auto"/>
                      <w:szCs w:val="21"/>
                      <w:highlight w:val="none"/>
                    </w:rPr>
                    <w:t>身体防护：穿防毒物渗透工作服。</w:t>
                  </w:r>
                </w:p>
                <w:p w14:paraId="7EB5FC65">
                  <w:pPr>
                    <w:widowControl/>
                    <w:rPr>
                      <w:color w:val="auto"/>
                      <w:szCs w:val="21"/>
                      <w:highlight w:val="none"/>
                    </w:rPr>
                  </w:pPr>
                  <w:r>
                    <w:rPr>
                      <w:rFonts w:hint="eastAsia"/>
                      <w:color w:val="auto"/>
                      <w:szCs w:val="21"/>
                      <w:highlight w:val="none"/>
                    </w:rPr>
                    <w:t>手防护：戴橡胶防油手套。</w:t>
                  </w:r>
                </w:p>
                <w:p w14:paraId="31CA2C90">
                  <w:pPr>
                    <w:widowControl/>
                    <w:rPr>
                      <w:color w:val="auto"/>
                      <w:szCs w:val="21"/>
                      <w:highlight w:val="none"/>
                    </w:rPr>
                  </w:pPr>
                  <w:r>
                    <w:rPr>
                      <w:rFonts w:hint="eastAsia" w:ascii="宋体" w:hAnsi="宋体" w:cs="宋体"/>
                      <w:color w:val="auto"/>
                      <w:kern w:val="0"/>
                      <w:szCs w:val="21"/>
                      <w:highlight w:val="none"/>
                      <w:lang w:bidi="ar"/>
                    </w:rPr>
                    <w:t>其他：工作现场严禁吸烟。避免长期反复接触。</w:t>
                  </w:r>
                </w:p>
              </w:tc>
            </w:tr>
            <w:tr w14:paraId="3895BF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109" w:type="dxa"/>
                  <w:tcBorders>
                    <w:tl2br w:val="nil"/>
                    <w:tr2bl w:val="nil"/>
                  </w:tcBorders>
                  <w:vAlign w:val="center"/>
                </w:tcPr>
                <w:p w14:paraId="2D561978">
                  <w:pPr>
                    <w:pStyle w:val="13"/>
                    <w:jc w:val="center"/>
                    <w:rPr>
                      <w:color w:val="auto"/>
                      <w:sz w:val="21"/>
                      <w:szCs w:val="21"/>
                      <w:highlight w:val="none"/>
                    </w:rPr>
                  </w:pPr>
                  <w:r>
                    <w:rPr>
                      <w:rFonts w:hint="eastAsia"/>
                      <w:b/>
                      <w:bCs/>
                      <w:color w:val="auto"/>
                      <w:sz w:val="21"/>
                      <w:szCs w:val="21"/>
                      <w:highlight w:val="none"/>
                    </w:rPr>
                    <w:t>泄漏处理</w:t>
                  </w:r>
                </w:p>
              </w:tc>
              <w:tc>
                <w:tcPr>
                  <w:tcW w:w="6837" w:type="dxa"/>
                  <w:gridSpan w:val="2"/>
                  <w:tcBorders>
                    <w:tl2br w:val="nil"/>
                    <w:tr2bl w:val="nil"/>
                  </w:tcBorders>
                  <w:vAlign w:val="center"/>
                </w:tcPr>
                <w:p w14:paraId="770E71B6">
                  <w:pPr>
                    <w:widowControl/>
                    <w:rPr>
                      <w:rFonts w:ascii="宋体" w:hAnsi="宋体" w:cs="宋体"/>
                      <w:color w:val="auto"/>
                      <w:kern w:val="0"/>
                      <w:szCs w:val="21"/>
                      <w:highlight w:val="none"/>
                      <w:lang w:bidi="ar"/>
                    </w:rPr>
                  </w:pPr>
                  <w:r>
                    <w:rPr>
                      <w:rFonts w:hint="eastAsia" w:ascii="宋体" w:hAnsi="宋体" w:cs="宋体"/>
                      <w:color w:val="auto"/>
                      <w:kern w:val="0"/>
                      <w:szCs w:val="21"/>
                      <w:highlight w:val="none"/>
                      <w:lang w:bidi="ar"/>
                    </w:rPr>
                    <w:t>迅速撤离泄漏污染区人员至安全区，并进行隔离，严格限制出入。切断火源。建议应急处理人员戴自给正压式呼吸器，穿消防防护服。尽可能切断泄漏源。防止流入下水道、排洪沟等限制性空间。小量泄露：用砂土或其他不燃材料吸附或吸收。大量泄漏：构筑围堤或挖坑收容。用泵转移至槽车或专用收集器内，回收或运至废物处理场所处置。</w:t>
                  </w:r>
                </w:p>
              </w:tc>
            </w:tr>
          </w:tbl>
          <w:p w14:paraId="455872E4">
            <w:pPr>
              <w:keepNext w:val="0"/>
              <w:keepLines w:val="0"/>
              <w:pageBreakBefore w:val="0"/>
              <w:widowControl/>
              <w:kinsoku/>
              <w:wordWrap/>
              <w:overflowPunct/>
              <w:topLinePunct w:val="0"/>
              <w:autoSpaceDE/>
              <w:autoSpaceDN/>
              <w:bidi w:val="0"/>
              <w:adjustRightInd/>
              <w:snapToGrid/>
              <w:spacing w:before="157" w:beforeLines="50" w:line="360" w:lineRule="auto"/>
              <w:ind w:firstLine="480" w:firstLineChars="200"/>
              <w:jc w:val="left"/>
              <w:textAlignment w:val="auto"/>
              <w:rPr>
                <w:color w:val="auto"/>
                <w:highlight w:val="none"/>
              </w:rPr>
            </w:pPr>
            <w:r>
              <w:rPr>
                <w:rFonts w:hint="eastAsia" w:ascii="宋体" w:hAnsi="宋体" w:cs="宋体"/>
                <w:color w:val="auto"/>
                <w:kern w:val="0"/>
                <w:sz w:val="24"/>
                <w:highlight w:val="none"/>
                <w:lang w:bidi="ar"/>
              </w:rPr>
              <w:t>（</w:t>
            </w:r>
            <w:r>
              <w:rPr>
                <w:color w:val="auto"/>
                <w:kern w:val="0"/>
                <w:sz w:val="24"/>
                <w:highlight w:val="none"/>
                <w:lang w:bidi="ar"/>
              </w:rPr>
              <w:t>2</w:t>
            </w:r>
            <w:r>
              <w:rPr>
                <w:rFonts w:hint="eastAsia" w:ascii="宋体" w:hAnsi="宋体" w:cs="宋体"/>
                <w:color w:val="auto"/>
                <w:kern w:val="0"/>
                <w:sz w:val="24"/>
                <w:highlight w:val="none"/>
                <w:lang w:bidi="ar"/>
              </w:rPr>
              <w:t>）环境风险潜势判定</w:t>
            </w:r>
          </w:p>
          <w:p w14:paraId="0EB1A1AF">
            <w:pPr>
              <w:widowControl/>
              <w:spacing w:line="360" w:lineRule="auto"/>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lang w:bidi="ar"/>
              </w:rPr>
              <w:t>根据本项目生产过程对比《建设项目环境风险评价技术导则》（HJ169-2018）附录C，当存在多种危险物质时，按下式进行计算物质总量与其临界量的比值（Q）。</w:t>
            </w:r>
          </w:p>
          <w:p w14:paraId="5738D3CE">
            <w:pPr>
              <w:widowControl/>
              <w:spacing w:line="360" w:lineRule="auto"/>
              <w:jc w:val="center"/>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lang w:bidi="ar"/>
              </w:rPr>
              <w:t>Q=q</w:t>
            </w:r>
            <w:r>
              <w:rPr>
                <w:rFonts w:hint="default" w:ascii="Times New Roman" w:hAnsi="Times New Roman" w:cs="Times New Roman"/>
                <w:color w:val="auto"/>
                <w:kern w:val="0"/>
                <w:sz w:val="15"/>
                <w:szCs w:val="15"/>
                <w:highlight w:val="none"/>
                <w:lang w:bidi="ar"/>
              </w:rPr>
              <w:t>1</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1</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2</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2</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3</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3</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n</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n</w:t>
            </w:r>
          </w:p>
          <w:p w14:paraId="5720216E">
            <w:pPr>
              <w:widowControl/>
              <w:spacing w:line="360" w:lineRule="auto"/>
              <w:ind w:firstLine="480" w:firstLineChars="200"/>
              <w:rPr>
                <w:rFonts w:hint="default" w:ascii="Times New Roman" w:hAnsi="Times New Roman" w:cs="Times New Roman"/>
                <w:color w:val="auto"/>
                <w:kern w:val="0"/>
                <w:sz w:val="24"/>
                <w:highlight w:val="none"/>
                <w:lang w:bidi="ar"/>
              </w:rPr>
            </w:pPr>
            <w:r>
              <w:rPr>
                <w:rFonts w:hint="default" w:ascii="Times New Roman" w:hAnsi="Times New Roman" w:cs="Times New Roman"/>
                <w:color w:val="auto"/>
                <w:kern w:val="0"/>
                <w:sz w:val="24"/>
                <w:highlight w:val="none"/>
                <w:lang w:bidi="ar"/>
              </w:rPr>
              <w:t>式中：</w:t>
            </w:r>
          </w:p>
          <w:p w14:paraId="54AE5223">
            <w:pPr>
              <w:widowControl/>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1</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2</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n</w:t>
            </w:r>
            <w:r>
              <w:rPr>
                <w:rFonts w:hint="default" w:ascii="Times New Roman" w:hAnsi="Times New Roman" w:cs="Times New Roman"/>
                <w:color w:val="auto"/>
                <w:kern w:val="0"/>
                <w:sz w:val="24"/>
                <w:highlight w:val="none"/>
                <w:lang w:bidi="ar"/>
              </w:rPr>
              <w:t>—每种危险物质的最大存在总量，t；</w:t>
            </w:r>
          </w:p>
          <w:p w14:paraId="3600E5F8">
            <w:pPr>
              <w:widowControl/>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1</w:t>
            </w:r>
            <w:r>
              <w:rPr>
                <w:rFonts w:hint="default" w:ascii="Times New Roman" w:hAnsi="Times New Roman" w:cs="Times New Roman"/>
                <w:color w:val="auto"/>
                <w:kern w:val="0"/>
                <w:sz w:val="24"/>
                <w:highlight w:val="none"/>
                <w:lang w:bidi="ar"/>
              </w:rPr>
              <w:t>，Q</w:t>
            </w:r>
            <w:r>
              <w:rPr>
                <w:rFonts w:hint="default" w:ascii="Times New Roman" w:hAnsi="Times New Roman" w:cs="Times New Roman"/>
                <w:color w:val="auto"/>
                <w:kern w:val="0"/>
                <w:sz w:val="15"/>
                <w:szCs w:val="15"/>
                <w:highlight w:val="none"/>
                <w:lang w:bidi="ar"/>
              </w:rPr>
              <w:t>2</w:t>
            </w:r>
            <w:r>
              <w:rPr>
                <w:rFonts w:hint="default" w:ascii="Times New Roman" w:hAnsi="Times New Roman" w:cs="Times New Roman"/>
                <w:color w:val="auto"/>
                <w:kern w:val="0"/>
                <w:sz w:val="24"/>
                <w:highlight w:val="none"/>
                <w:lang w:bidi="ar"/>
              </w:rPr>
              <w:t>，……Qn—每种危险物质的临界量，t。</w:t>
            </w:r>
          </w:p>
          <w:p w14:paraId="45DE7080">
            <w:pPr>
              <w:widowControl/>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lang w:bidi="ar"/>
              </w:rPr>
              <w:t>当Q&lt;1时，该项目风险潜势为Ⅰ；</w:t>
            </w:r>
          </w:p>
          <w:p w14:paraId="74D6E0D5">
            <w:pPr>
              <w:widowControl/>
              <w:spacing w:line="360" w:lineRule="auto"/>
              <w:ind w:firstLine="480" w:firstLineChars="200"/>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lang w:bidi="ar"/>
              </w:rPr>
              <w:t>当Q≥1时，将Q值划分为：1≤Q&lt;10；10≤Q&lt;100；Q≥100</w:t>
            </w:r>
          </w:p>
          <w:p w14:paraId="4A3FE94E">
            <w:pPr>
              <w:widowControl/>
              <w:spacing w:line="360" w:lineRule="auto"/>
              <w:ind w:firstLine="480" w:firstLineChars="200"/>
              <w:jc w:val="left"/>
              <w:rPr>
                <w:rFonts w:hint="default" w:ascii="Times New Roman" w:hAnsi="Times New Roman" w:cs="Times New Roman"/>
                <w:color w:val="auto"/>
                <w:highlight w:val="none"/>
              </w:rPr>
            </w:pPr>
            <w:r>
              <w:rPr>
                <w:rFonts w:hint="default" w:ascii="Times New Roman" w:hAnsi="Times New Roman" w:cs="Times New Roman"/>
                <w:color w:val="auto"/>
                <w:kern w:val="0"/>
                <w:sz w:val="24"/>
                <w:highlight w:val="none"/>
                <w:lang w:bidi="ar"/>
              </w:rPr>
              <w:t>根据《建设项目环境风险评价技术导则》（HJ/T 169-2018），结合实际本项目存在的风险为废润滑油，其</w:t>
            </w:r>
            <w:r>
              <w:rPr>
                <w:rFonts w:hint="eastAsia" w:ascii="Times New Roman" w:hAnsi="Times New Roman" w:cs="Times New Roman"/>
                <w:color w:val="auto"/>
                <w:kern w:val="0"/>
                <w:sz w:val="24"/>
                <w:highlight w:val="none"/>
                <w:lang w:val="en-US" w:eastAsia="zh-CN" w:bidi="ar"/>
              </w:rPr>
              <w:t>最大</w:t>
            </w:r>
            <w:r>
              <w:rPr>
                <w:rFonts w:hint="default" w:ascii="Times New Roman" w:hAnsi="Times New Roman" w:cs="Times New Roman"/>
                <w:color w:val="auto"/>
                <w:kern w:val="0"/>
                <w:sz w:val="24"/>
                <w:highlight w:val="none"/>
                <w:lang w:bidi="ar"/>
              </w:rPr>
              <w:t>储存量及本项目Q值</w:t>
            </w:r>
            <w:r>
              <w:rPr>
                <w:rFonts w:hint="eastAsia" w:ascii="Times New Roman" w:hAnsi="Times New Roman" w:cs="Times New Roman"/>
                <w:color w:val="auto"/>
                <w:kern w:val="0"/>
                <w:sz w:val="24"/>
                <w:highlight w:val="none"/>
                <w:lang w:val="en-US" w:eastAsia="zh-CN" w:bidi="ar"/>
              </w:rPr>
              <w:t>计算</w:t>
            </w:r>
            <w:r>
              <w:rPr>
                <w:rFonts w:hint="default" w:ascii="Times New Roman" w:hAnsi="Times New Roman" w:cs="Times New Roman"/>
                <w:color w:val="auto"/>
                <w:kern w:val="0"/>
                <w:sz w:val="24"/>
                <w:highlight w:val="none"/>
                <w:lang w:bidi="ar"/>
              </w:rPr>
              <w:t>详见下表。</w:t>
            </w:r>
          </w:p>
          <w:p w14:paraId="25E9BFDF">
            <w:pPr>
              <w:widowControl/>
              <w:jc w:val="center"/>
              <w:rPr>
                <w:color w:val="auto"/>
                <w:szCs w:val="21"/>
                <w:highlight w:val="none"/>
              </w:rPr>
            </w:pPr>
            <w:r>
              <w:rPr>
                <w:rFonts w:hint="eastAsia" w:ascii="宋体" w:hAnsi="宋体" w:cs="宋体"/>
                <w:b/>
                <w:bCs/>
                <w:color w:val="auto"/>
                <w:kern w:val="0"/>
                <w:szCs w:val="21"/>
                <w:highlight w:val="none"/>
                <w:lang w:bidi="ar"/>
              </w:rPr>
              <w:t>表</w:t>
            </w:r>
            <w:r>
              <w:rPr>
                <w:b/>
                <w:bCs/>
                <w:color w:val="auto"/>
                <w:kern w:val="0"/>
                <w:szCs w:val="21"/>
                <w:highlight w:val="none"/>
                <w:lang w:bidi="ar"/>
              </w:rPr>
              <w:t>4-1</w:t>
            </w:r>
            <w:r>
              <w:rPr>
                <w:rFonts w:hint="eastAsia"/>
                <w:b/>
                <w:bCs/>
                <w:color w:val="auto"/>
                <w:kern w:val="0"/>
                <w:szCs w:val="21"/>
                <w:highlight w:val="none"/>
                <w:lang w:val="en-US" w:eastAsia="zh-CN" w:bidi="ar"/>
              </w:rPr>
              <w:t>8</w:t>
            </w:r>
            <w:r>
              <w:rPr>
                <w:rFonts w:hint="eastAsia"/>
                <w:b/>
                <w:bCs/>
                <w:color w:val="auto"/>
                <w:kern w:val="0"/>
                <w:szCs w:val="21"/>
                <w:highlight w:val="none"/>
                <w:lang w:bidi="ar"/>
              </w:rPr>
              <w:t xml:space="preserve"> </w:t>
            </w:r>
            <w:r>
              <w:rPr>
                <w:b/>
                <w:bCs/>
                <w:color w:val="auto"/>
                <w:kern w:val="0"/>
                <w:szCs w:val="21"/>
                <w:highlight w:val="none"/>
                <w:lang w:bidi="ar"/>
              </w:rPr>
              <w:t xml:space="preserve"> </w:t>
            </w:r>
            <w:r>
              <w:rPr>
                <w:rFonts w:hint="eastAsia" w:ascii="宋体" w:hAnsi="宋体" w:cs="宋体"/>
                <w:b/>
                <w:bCs/>
                <w:color w:val="auto"/>
                <w:kern w:val="0"/>
                <w:szCs w:val="21"/>
                <w:highlight w:val="none"/>
                <w:lang w:bidi="ar"/>
              </w:rPr>
              <w:t>建设项目</w:t>
            </w:r>
            <w:r>
              <w:rPr>
                <w:b/>
                <w:bCs/>
                <w:color w:val="auto"/>
                <w:kern w:val="0"/>
                <w:szCs w:val="21"/>
                <w:highlight w:val="none"/>
                <w:lang w:bidi="ar"/>
              </w:rPr>
              <w:t>Q</w:t>
            </w:r>
            <w:r>
              <w:rPr>
                <w:rFonts w:hint="eastAsia" w:ascii="宋体" w:hAnsi="宋体" w:cs="宋体"/>
                <w:b/>
                <w:bCs/>
                <w:color w:val="auto"/>
                <w:kern w:val="0"/>
                <w:szCs w:val="21"/>
                <w:highlight w:val="none"/>
                <w:lang w:bidi="ar"/>
              </w:rPr>
              <w:t>值确定</w:t>
            </w:r>
          </w:p>
          <w:tbl>
            <w:tblPr>
              <w:tblStyle w:val="19"/>
              <w:tblW w:w="794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46"/>
              <w:gridCol w:w="1125"/>
              <w:gridCol w:w="1725"/>
              <w:gridCol w:w="2113"/>
              <w:gridCol w:w="2237"/>
            </w:tblGrid>
            <w:tr w14:paraId="1185C2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6" w:type="dxa"/>
                  <w:tcBorders>
                    <w:tl2br w:val="nil"/>
                    <w:tr2bl w:val="nil"/>
                  </w:tcBorders>
                </w:tcPr>
                <w:p w14:paraId="4E0FCA26">
                  <w:pPr>
                    <w:pStyle w:val="13"/>
                    <w:jc w:val="center"/>
                    <w:rPr>
                      <w:b/>
                      <w:bCs/>
                      <w:color w:val="auto"/>
                      <w:sz w:val="21"/>
                      <w:szCs w:val="21"/>
                      <w:highlight w:val="none"/>
                    </w:rPr>
                  </w:pPr>
                  <w:r>
                    <w:rPr>
                      <w:rFonts w:hint="eastAsia"/>
                      <w:b/>
                      <w:bCs/>
                      <w:color w:val="auto"/>
                      <w:sz w:val="21"/>
                      <w:szCs w:val="21"/>
                      <w:highlight w:val="none"/>
                    </w:rPr>
                    <w:t>序号</w:t>
                  </w:r>
                </w:p>
              </w:tc>
              <w:tc>
                <w:tcPr>
                  <w:tcW w:w="1125" w:type="dxa"/>
                  <w:tcBorders>
                    <w:tl2br w:val="nil"/>
                    <w:tr2bl w:val="nil"/>
                  </w:tcBorders>
                </w:tcPr>
                <w:p w14:paraId="6C4C8D9F">
                  <w:pPr>
                    <w:pStyle w:val="13"/>
                    <w:jc w:val="center"/>
                    <w:rPr>
                      <w:b/>
                      <w:bCs/>
                      <w:color w:val="auto"/>
                      <w:sz w:val="21"/>
                      <w:szCs w:val="21"/>
                      <w:highlight w:val="none"/>
                    </w:rPr>
                  </w:pPr>
                  <w:r>
                    <w:rPr>
                      <w:rFonts w:hint="eastAsia"/>
                      <w:b/>
                      <w:bCs/>
                      <w:color w:val="auto"/>
                      <w:sz w:val="21"/>
                      <w:szCs w:val="21"/>
                      <w:highlight w:val="none"/>
                    </w:rPr>
                    <w:t>危险物质</w:t>
                  </w:r>
                </w:p>
              </w:tc>
              <w:tc>
                <w:tcPr>
                  <w:tcW w:w="1725" w:type="dxa"/>
                  <w:tcBorders>
                    <w:tl2br w:val="nil"/>
                    <w:tr2bl w:val="nil"/>
                  </w:tcBorders>
                </w:tcPr>
                <w:p w14:paraId="5DB2EEEB">
                  <w:pPr>
                    <w:widowControl/>
                    <w:jc w:val="center"/>
                    <w:rPr>
                      <w:color w:val="auto"/>
                      <w:szCs w:val="21"/>
                      <w:highlight w:val="none"/>
                    </w:rPr>
                  </w:pPr>
                  <w:r>
                    <w:rPr>
                      <w:rFonts w:hint="eastAsia" w:ascii="宋体" w:hAnsi="宋体" w:cs="宋体"/>
                      <w:b/>
                      <w:bCs/>
                      <w:color w:val="auto"/>
                      <w:kern w:val="0"/>
                      <w:szCs w:val="21"/>
                      <w:highlight w:val="none"/>
                      <w:lang w:bidi="ar"/>
                    </w:rPr>
                    <w:t>临界量</w:t>
                  </w:r>
                  <w:r>
                    <w:rPr>
                      <w:b/>
                      <w:bCs/>
                      <w:color w:val="auto"/>
                      <w:kern w:val="0"/>
                      <w:szCs w:val="21"/>
                      <w:highlight w:val="none"/>
                      <w:lang w:bidi="ar"/>
                    </w:rPr>
                    <w:t>Qn/t</w:t>
                  </w:r>
                </w:p>
              </w:tc>
              <w:tc>
                <w:tcPr>
                  <w:tcW w:w="2113" w:type="dxa"/>
                  <w:tcBorders>
                    <w:tl2br w:val="nil"/>
                    <w:tr2bl w:val="nil"/>
                  </w:tcBorders>
                </w:tcPr>
                <w:p w14:paraId="2E1D46DA">
                  <w:pPr>
                    <w:widowControl/>
                    <w:jc w:val="center"/>
                    <w:rPr>
                      <w:color w:val="auto"/>
                      <w:szCs w:val="21"/>
                      <w:highlight w:val="none"/>
                    </w:rPr>
                  </w:pPr>
                  <w:r>
                    <w:rPr>
                      <w:rFonts w:hint="eastAsia" w:ascii="宋体" w:hAnsi="宋体" w:cs="宋体"/>
                      <w:b/>
                      <w:bCs/>
                      <w:color w:val="auto"/>
                      <w:kern w:val="0"/>
                      <w:szCs w:val="21"/>
                      <w:highlight w:val="none"/>
                      <w:lang w:bidi="ar"/>
                    </w:rPr>
                    <w:t>最大存在总量</w:t>
                  </w:r>
                  <w:r>
                    <w:rPr>
                      <w:b/>
                      <w:bCs/>
                      <w:color w:val="auto"/>
                      <w:kern w:val="0"/>
                      <w:szCs w:val="21"/>
                      <w:highlight w:val="none"/>
                      <w:lang w:bidi="ar"/>
                    </w:rPr>
                    <w:t>qn/t</w:t>
                  </w:r>
                </w:p>
              </w:tc>
              <w:tc>
                <w:tcPr>
                  <w:tcW w:w="2237" w:type="dxa"/>
                  <w:tcBorders>
                    <w:tl2br w:val="nil"/>
                    <w:tr2bl w:val="nil"/>
                  </w:tcBorders>
                </w:tcPr>
                <w:p w14:paraId="7FFE3625">
                  <w:pPr>
                    <w:widowControl/>
                    <w:jc w:val="center"/>
                    <w:rPr>
                      <w:color w:val="auto"/>
                      <w:szCs w:val="21"/>
                      <w:highlight w:val="none"/>
                    </w:rPr>
                  </w:pPr>
                  <w:r>
                    <w:rPr>
                      <w:rFonts w:hint="eastAsia" w:ascii="宋体" w:hAnsi="宋体" w:cs="宋体"/>
                      <w:b/>
                      <w:bCs/>
                      <w:color w:val="auto"/>
                      <w:kern w:val="0"/>
                      <w:szCs w:val="21"/>
                      <w:highlight w:val="none"/>
                      <w:lang w:bidi="ar"/>
                    </w:rPr>
                    <w:t>该种危险物质</w:t>
                  </w:r>
                  <w:r>
                    <w:rPr>
                      <w:b/>
                      <w:bCs/>
                      <w:color w:val="auto"/>
                      <w:kern w:val="0"/>
                      <w:szCs w:val="21"/>
                      <w:highlight w:val="none"/>
                      <w:lang w:bidi="ar"/>
                    </w:rPr>
                    <w:t>Q</w:t>
                  </w:r>
                  <w:r>
                    <w:rPr>
                      <w:rFonts w:hint="eastAsia" w:ascii="宋体" w:hAnsi="宋体" w:cs="宋体"/>
                      <w:b/>
                      <w:bCs/>
                      <w:color w:val="auto"/>
                      <w:kern w:val="0"/>
                      <w:szCs w:val="21"/>
                      <w:highlight w:val="none"/>
                      <w:lang w:bidi="ar"/>
                    </w:rPr>
                    <w:t>值</w:t>
                  </w:r>
                </w:p>
              </w:tc>
            </w:tr>
            <w:tr w14:paraId="662231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746" w:type="dxa"/>
                  <w:tcBorders>
                    <w:tl2br w:val="nil"/>
                    <w:tr2bl w:val="nil"/>
                  </w:tcBorders>
                </w:tcPr>
                <w:p w14:paraId="753A1A26">
                  <w:pPr>
                    <w:pStyle w:val="13"/>
                    <w:jc w:val="center"/>
                    <w:rPr>
                      <w:color w:val="auto"/>
                      <w:sz w:val="21"/>
                      <w:szCs w:val="21"/>
                      <w:highlight w:val="none"/>
                    </w:rPr>
                  </w:pPr>
                  <w:r>
                    <w:rPr>
                      <w:rFonts w:hint="eastAsia"/>
                      <w:color w:val="auto"/>
                      <w:sz w:val="21"/>
                      <w:szCs w:val="21"/>
                      <w:highlight w:val="none"/>
                    </w:rPr>
                    <w:t>1</w:t>
                  </w:r>
                </w:p>
              </w:tc>
              <w:tc>
                <w:tcPr>
                  <w:tcW w:w="1125" w:type="dxa"/>
                  <w:tcBorders>
                    <w:tl2br w:val="nil"/>
                    <w:tr2bl w:val="nil"/>
                  </w:tcBorders>
                </w:tcPr>
                <w:p w14:paraId="18AC04C5">
                  <w:pPr>
                    <w:pStyle w:val="13"/>
                    <w:jc w:val="center"/>
                    <w:rPr>
                      <w:color w:val="auto"/>
                      <w:sz w:val="21"/>
                      <w:szCs w:val="21"/>
                      <w:highlight w:val="none"/>
                    </w:rPr>
                  </w:pPr>
                  <w:r>
                    <w:rPr>
                      <w:rFonts w:hint="eastAsia"/>
                      <w:color w:val="auto"/>
                      <w:sz w:val="21"/>
                      <w:szCs w:val="21"/>
                      <w:highlight w:val="none"/>
                    </w:rPr>
                    <w:t>废润滑油</w:t>
                  </w:r>
                </w:p>
              </w:tc>
              <w:tc>
                <w:tcPr>
                  <w:tcW w:w="1725" w:type="dxa"/>
                  <w:tcBorders>
                    <w:tl2br w:val="nil"/>
                    <w:tr2bl w:val="nil"/>
                  </w:tcBorders>
                </w:tcPr>
                <w:p w14:paraId="10EDC67A">
                  <w:pPr>
                    <w:pStyle w:val="13"/>
                    <w:jc w:val="center"/>
                    <w:rPr>
                      <w:color w:val="auto"/>
                      <w:sz w:val="21"/>
                      <w:szCs w:val="21"/>
                      <w:highlight w:val="none"/>
                    </w:rPr>
                  </w:pPr>
                  <w:r>
                    <w:rPr>
                      <w:rFonts w:hint="eastAsia"/>
                      <w:color w:val="auto"/>
                      <w:sz w:val="21"/>
                      <w:szCs w:val="21"/>
                      <w:highlight w:val="none"/>
                    </w:rPr>
                    <w:t>2500</w:t>
                  </w:r>
                </w:p>
              </w:tc>
              <w:tc>
                <w:tcPr>
                  <w:tcW w:w="2113" w:type="dxa"/>
                  <w:tcBorders>
                    <w:tl2br w:val="nil"/>
                    <w:tr2bl w:val="nil"/>
                  </w:tcBorders>
                </w:tcPr>
                <w:p w14:paraId="323E8E90">
                  <w:pPr>
                    <w:pStyle w:val="13"/>
                    <w:jc w:val="center"/>
                    <w:rPr>
                      <w:color w:val="auto"/>
                      <w:sz w:val="21"/>
                      <w:szCs w:val="21"/>
                      <w:highlight w:val="none"/>
                    </w:rPr>
                  </w:pPr>
                  <w:r>
                    <w:rPr>
                      <w:rFonts w:hint="eastAsia"/>
                      <w:color w:val="auto"/>
                      <w:sz w:val="21"/>
                      <w:szCs w:val="21"/>
                      <w:highlight w:val="none"/>
                    </w:rPr>
                    <w:t>0.02</w:t>
                  </w:r>
                </w:p>
              </w:tc>
              <w:tc>
                <w:tcPr>
                  <w:tcW w:w="2237" w:type="dxa"/>
                  <w:tcBorders>
                    <w:tl2br w:val="nil"/>
                    <w:tr2bl w:val="nil"/>
                  </w:tcBorders>
                </w:tcPr>
                <w:p w14:paraId="0053416C">
                  <w:pPr>
                    <w:widowControl/>
                    <w:jc w:val="center"/>
                    <w:rPr>
                      <w:color w:val="auto"/>
                      <w:szCs w:val="21"/>
                      <w:highlight w:val="none"/>
                    </w:rPr>
                  </w:pPr>
                  <w:r>
                    <w:rPr>
                      <w:color w:val="auto"/>
                      <w:kern w:val="0"/>
                      <w:szCs w:val="21"/>
                      <w:highlight w:val="none"/>
                      <w:lang w:bidi="ar"/>
                    </w:rPr>
                    <w:t>8×10</w:t>
                  </w:r>
                  <w:r>
                    <w:rPr>
                      <w:rFonts w:hint="eastAsia"/>
                      <w:color w:val="auto"/>
                      <w:kern w:val="0"/>
                      <w:szCs w:val="21"/>
                      <w:highlight w:val="none"/>
                      <w:vertAlign w:val="superscript"/>
                      <w:lang w:bidi="ar"/>
                    </w:rPr>
                    <w:t>-6</w:t>
                  </w:r>
                </w:p>
              </w:tc>
            </w:tr>
            <w:tr w14:paraId="330A6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709" w:type="dxa"/>
                  <w:gridSpan w:val="4"/>
                  <w:tcBorders>
                    <w:tl2br w:val="nil"/>
                    <w:tr2bl w:val="nil"/>
                  </w:tcBorders>
                </w:tcPr>
                <w:p w14:paraId="094DA590">
                  <w:pPr>
                    <w:widowControl/>
                    <w:jc w:val="center"/>
                    <w:rPr>
                      <w:color w:val="auto"/>
                      <w:szCs w:val="21"/>
                      <w:highlight w:val="none"/>
                    </w:rPr>
                  </w:pPr>
                  <w:r>
                    <w:rPr>
                      <w:color w:val="auto"/>
                      <w:kern w:val="0"/>
                      <w:szCs w:val="21"/>
                      <w:highlight w:val="none"/>
                      <w:lang w:bidi="ar"/>
                    </w:rPr>
                    <w:t>Q</w:t>
                  </w:r>
                </w:p>
              </w:tc>
              <w:tc>
                <w:tcPr>
                  <w:tcW w:w="2237" w:type="dxa"/>
                  <w:tcBorders>
                    <w:tl2br w:val="nil"/>
                    <w:tr2bl w:val="nil"/>
                  </w:tcBorders>
                </w:tcPr>
                <w:p w14:paraId="4A2D8B24">
                  <w:pPr>
                    <w:pStyle w:val="13"/>
                    <w:jc w:val="center"/>
                    <w:rPr>
                      <w:color w:val="auto"/>
                      <w:sz w:val="21"/>
                      <w:szCs w:val="21"/>
                      <w:highlight w:val="none"/>
                    </w:rPr>
                  </w:pPr>
                  <w:r>
                    <w:rPr>
                      <w:color w:val="auto"/>
                      <w:sz w:val="21"/>
                      <w:szCs w:val="21"/>
                      <w:highlight w:val="none"/>
                      <w:lang w:bidi="ar"/>
                    </w:rPr>
                    <w:t>8×10</w:t>
                  </w:r>
                  <w:r>
                    <w:rPr>
                      <w:rFonts w:hint="eastAsia"/>
                      <w:color w:val="auto"/>
                      <w:sz w:val="21"/>
                      <w:szCs w:val="21"/>
                      <w:highlight w:val="none"/>
                      <w:vertAlign w:val="superscript"/>
                      <w:lang w:bidi="ar"/>
                    </w:rPr>
                    <w:t>-6</w:t>
                  </w:r>
                </w:p>
              </w:tc>
            </w:tr>
          </w:tbl>
          <w:p w14:paraId="597A9B7E">
            <w:pPr>
              <w:widowControl/>
              <w:spacing w:before="120" w:beforeLines="50" w:line="360" w:lineRule="auto"/>
              <w:ind w:firstLine="480" w:firstLineChars="200"/>
              <w:jc w:val="left"/>
              <w:rPr>
                <w:color w:val="auto"/>
                <w:highlight w:val="none"/>
              </w:rPr>
            </w:pPr>
            <w:r>
              <w:rPr>
                <w:rFonts w:hint="eastAsia" w:ascii="宋体" w:hAnsi="宋体" w:cs="宋体"/>
                <w:color w:val="auto"/>
                <w:kern w:val="0"/>
                <w:sz w:val="24"/>
                <w:highlight w:val="none"/>
                <w:lang w:bidi="ar"/>
              </w:rPr>
              <w:t>本项目风险物质总量与临界量比值</w:t>
            </w:r>
            <w:r>
              <w:rPr>
                <w:color w:val="auto"/>
                <w:kern w:val="0"/>
                <w:sz w:val="24"/>
                <w:highlight w:val="none"/>
                <w:lang w:bidi="ar"/>
              </w:rPr>
              <w:t>Q=</w:t>
            </w:r>
            <w:r>
              <w:rPr>
                <w:color w:val="auto"/>
                <w:kern w:val="0"/>
                <w:szCs w:val="21"/>
                <w:highlight w:val="none"/>
                <w:lang w:bidi="ar"/>
              </w:rPr>
              <w:t>8×</w:t>
            </w:r>
            <w:r>
              <w:rPr>
                <w:color w:val="auto"/>
                <w:kern w:val="0"/>
                <w:sz w:val="24"/>
                <w:highlight w:val="none"/>
                <w:lang w:bidi="ar"/>
              </w:rPr>
              <w:t>10</w:t>
            </w:r>
            <w:r>
              <w:rPr>
                <w:rFonts w:hint="eastAsia"/>
                <w:color w:val="auto"/>
                <w:kern w:val="0"/>
                <w:sz w:val="24"/>
                <w:highlight w:val="none"/>
                <w:vertAlign w:val="superscript"/>
                <w:lang w:bidi="ar"/>
              </w:rPr>
              <w:t>-6</w:t>
            </w:r>
            <w:r>
              <w:rPr>
                <w:color w:val="auto"/>
                <w:kern w:val="0"/>
                <w:sz w:val="24"/>
                <w:highlight w:val="none"/>
                <w:lang w:bidi="ar"/>
              </w:rPr>
              <w:t>&lt;1</w:t>
            </w:r>
            <w:r>
              <w:rPr>
                <w:rFonts w:hint="eastAsia" w:ascii="宋体" w:hAnsi="宋体" w:cs="宋体"/>
                <w:color w:val="auto"/>
                <w:kern w:val="0"/>
                <w:sz w:val="24"/>
                <w:highlight w:val="none"/>
                <w:lang w:bidi="ar"/>
              </w:rPr>
              <w:t>，故不构成重大风险源。</w:t>
            </w:r>
          </w:p>
          <w:p w14:paraId="22364BE2">
            <w:pPr>
              <w:widowControl/>
              <w:spacing w:line="360" w:lineRule="auto"/>
              <w:ind w:firstLine="480" w:firstLineChars="200"/>
              <w:jc w:val="left"/>
              <w:rPr>
                <w:color w:val="auto"/>
                <w:highlight w:val="none"/>
              </w:rPr>
            </w:pPr>
            <w:r>
              <w:rPr>
                <w:rFonts w:hint="eastAsia" w:ascii="宋体" w:hAnsi="宋体" w:cs="宋体"/>
                <w:color w:val="auto"/>
                <w:kern w:val="0"/>
                <w:sz w:val="24"/>
                <w:highlight w:val="none"/>
                <w:lang w:bidi="ar"/>
              </w:rPr>
              <w:t>（</w:t>
            </w:r>
            <w:r>
              <w:rPr>
                <w:color w:val="auto"/>
                <w:kern w:val="0"/>
                <w:sz w:val="24"/>
                <w:highlight w:val="none"/>
                <w:lang w:bidi="ar"/>
              </w:rPr>
              <w:t>3</w:t>
            </w:r>
            <w:r>
              <w:rPr>
                <w:rFonts w:hint="eastAsia" w:ascii="宋体" w:hAnsi="宋体" w:cs="宋体"/>
                <w:color w:val="auto"/>
                <w:kern w:val="0"/>
                <w:sz w:val="24"/>
                <w:highlight w:val="none"/>
                <w:lang w:bidi="ar"/>
              </w:rPr>
              <w:t>）环境风险途径识别</w:t>
            </w:r>
          </w:p>
          <w:p w14:paraId="2AC12025">
            <w:pPr>
              <w:widowControl/>
              <w:spacing w:line="360" w:lineRule="auto"/>
              <w:ind w:firstLine="480" w:firstLineChars="200"/>
              <w:jc w:val="left"/>
              <w:rPr>
                <w:rFonts w:ascii="宋体" w:hAnsi="宋体" w:cs="宋体"/>
                <w:color w:val="auto"/>
                <w:kern w:val="0"/>
                <w:sz w:val="24"/>
                <w:highlight w:val="none"/>
                <w:lang w:bidi="ar"/>
              </w:rPr>
            </w:pPr>
            <w:r>
              <w:rPr>
                <w:rFonts w:hint="eastAsia" w:ascii="宋体" w:hAnsi="宋体" w:cs="宋体"/>
                <w:color w:val="auto"/>
                <w:kern w:val="0"/>
                <w:sz w:val="24"/>
                <w:highlight w:val="none"/>
                <w:lang w:bidi="ar"/>
              </w:rPr>
              <w:t>本项目可能影响环境风险的途径主要有：</w:t>
            </w:r>
          </w:p>
          <w:p w14:paraId="6E16E1B5">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①</w:t>
            </w:r>
            <w:r>
              <w:rPr>
                <w:color w:val="auto"/>
                <w:kern w:val="0"/>
                <w:sz w:val="24"/>
                <w:highlight w:val="none"/>
                <w:lang w:bidi="ar"/>
              </w:rPr>
              <w:t>桶装破损油品泄漏引起的土壤及地下水污染；</w:t>
            </w:r>
          </w:p>
          <w:p w14:paraId="6E59455E">
            <w:pPr>
              <w:widowControl/>
              <w:spacing w:line="360" w:lineRule="auto"/>
              <w:ind w:firstLine="480" w:firstLineChars="200"/>
              <w:jc w:val="left"/>
              <w:rPr>
                <w:color w:val="auto"/>
                <w:kern w:val="0"/>
                <w:sz w:val="24"/>
                <w:highlight w:val="none"/>
                <w:lang w:bidi="ar"/>
              </w:rPr>
            </w:pPr>
            <w:r>
              <w:rPr>
                <w:rFonts w:hint="eastAsia"/>
                <w:color w:val="auto"/>
                <w:kern w:val="0"/>
                <w:sz w:val="24"/>
                <w:highlight w:val="none"/>
                <w:lang w:bidi="ar"/>
              </w:rPr>
              <w:t>②</w:t>
            </w:r>
            <w:r>
              <w:rPr>
                <w:color w:val="auto"/>
                <w:kern w:val="0"/>
                <w:sz w:val="24"/>
                <w:highlight w:val="none"/>
                <w:lang w:bidi="ar"/>
              </w:rPr>
              <w:t>油品泄漏、消防废液泄漏对周围邻近地表水体的污染；</w:t>
            </w:r>
          </w:p>
          <w:p w14:paraId="395D124F">
            <w:pPr>
              <w:widowControl/>
              <w:spacing w:line="360" w:lineRule="auto"/>
              <w:ind w:firstLine="480" w:firstLineChars="200"/>
              <w:jc w:val="left"/>
              <w:rPr>
                <w:rFonts w:ascii="宋体" w:hAnsi="宋体" w:cs="宋体"/>
                <w:color w:val="auto"/>
                <w:kern w:val="0"/>
                <w:sz w:val="24"/>
                <w:highlight w:val="none"/>
                <w:lang w:bidi="ar"/>
              </w:rPr>
            </w:pPr>
            <w:r>
              <w:rPr>
                <w:rFonts w:hint="eastAsia"/>
                <w:color w:val="auto"/>
                <w:kern w:val="0"/>
                <w:sz w:val="24"/>
                <w:highlight w:val="none"/>
                <w:lang w:bidi="ar"/>
              </w:rPr>
              <w:t>③</w:t>
            </w:r>
            <w:r>
              <w:rPr>
                <w:rFonts w:hint="eastAsia" w:ascii="宋体" w:hAnsi="宋体" w:cs="宋体"/>
                <w:color w:val="auto"/>
                <w:kern w:val="0"/>
                <w:sz w:val="24"/>
                <w:highlight w:val="none"/>
                <w:lang w:bidi="ar"/>
              </w:rPr>
              <w:t>人工操作失误引起的火灾、爆炸对人身安全及周围大气环境产生的危害。</w:t>
            </w:r>
          </w:p>
          <w:p w14:paraId="4951AB6A">
            <w:pPr>
              <w:widowControl/>
              <w:spacing w:line="360" w:lineRule="auto"/>
              <w:ind w:firstLine="480" w:firstLineChars="200"/>
              <w:jc w:val="left"/>
              <w:rPr>
                <w:color w:val="auto"/>
                <w:sz w:val="24"/>
                <w:highlight w:val="none"/>
              </w:rPr>
            </w:pPr>
            <w:r>
              <w:rPr>
                <w:rFonts w:hint="eastAsia" w:ascii="宋体" w:hAnsi="宋体" w:cs="宋体"/>
                <w:color w:val="auto"/>
                <w:kern w:val="0"/>
                <w:sz w:val="24"/>
                <w:highlight w:val="none"/>
                <w:lang w:bidi="ar"/>
              </w:rPr>
              <w:t>（</w:t>
            </w:r>
            <w:r>
              <w:rPr>
                <w:rFonts w:hint="eastAsia"/>
                <w:color w:val="auto"/>
                <w:kern w:val="0"/>
                <w:sz w:val="24"/>
                <w:highlight w:val="none"/>
                <w:lang w:bidi="ar"/>
              </w:rPr>
              <w:t>4</w:t>
            </w:r>
            <w:r>
              <w:rPr>
                <w:rFonts w:hint="eastAsia" w:ascii="宋体" w:hAnsi="宋体" w:cs="宋体"/>
                <w:color w:val="auto"/>
                <w:kern w:val="0"/>
                <w:sz w:val="24"/>
                <w:highlight w:val="none"/>
                <w:lang w:bidi="ar"/>
              </w:rPr>
              <w:t>）环境风险影响分析</w:t>
            </w:r>
          </w:p>
          <w:p w14:paraId="70C847BE">
            <w:pPr>
              <w:widowControl/>
              <w:spacing w:line="360" w:lineRule="auto"/>
              <w:ind w:firstLine="480" w:firstLineChars="200"/>
              <w:jc w:val="left"/>
              <w:rPr>
                <w:color w:val="auto"/>
                <w:sz w:val="24"/>
                <w:highlight w:val="none"/>
              </w:rPr>
            </w:pPr>
            <w:r>
              <w:rPr>
                <w:rFonts w:hint="eastAsia"/>
                <w:color w:val="auto"/>
                <w:sz w:val="24"/>
                <w:highlight w:val="none"/>
              </w:rPr>
              <w:t>1）事故对大气的风险影响分析</w:t>
            </w:r>
          </w:p>
          <w:p w14:paraId="59BCA821">
            <w:pPr>
              <w:widowControl/>
              <w:spacing w:line="360" w:lineRule="auto"/>
              <w:ind w:firstLine="480" w:firstLineChars="200"/>
              <w:jc w:val="left"/>
              <w:rPr>
                <w:color w:val="auto"/>
                <w:sz w:val="24"/>
                <w:highlight w:val="none"/>
              </w:rPr>
            </w:pPr>
            <w:r>
              <w:rPr>
                <w:rFonts w:hint="eastAsia"/>
                <w:color w:val="auto"/>
                <w:sz w:val="24"/>
                <w:highlight w:val="none"/>
              </w:rPr>
              <w:t>①泄漏事故</w:t>
            </w:r>
          </w:p>
          <w:p w14:paraId="7E95432F">
            <w:pPr>
              <w:widowControl/>
              <w:spacing w:line="360" w:lineRule="auto"/>
              <w:ind w:firstLine="480" w:firstLineChars="200"/>
              <w:jc w:val="left"/>
              <w:rPr>
                <w:color w:val="auto"/>
                <w:sz w:val="24"/>
                <w:highlight w:val="none"/>
              </w:rPr>
            </w:pPr>
            <w:r>
              <w:rPr>
                <w:rFonts w:hint="eastAsia"/>
                <w:color w:val="auto"/>
                <w:sz w:val="24"/>
                <w:highlight w:val="none"/>
              </w:rPr>
              <w:t>项目油桶发生泄漏溢出事故时，由于受危废贮存点内地面防渗层的保护，渗漏出的油品将积聚在暂存区。暂存区为密闭结构，不会造成大面积的扩散，对周围产生的影响较小。</w:t>
            </w:r>
          </w:p>
          <w:p w14:paraId="2BF6B03F">
            <w:pPr>
              <w:widowControl/>
              <w:spacing w:line="360" w:lineRule="auto"/>
              <w:ind w:firstLine="480" w:firstLineChars="200"/>
              <w:jc w:val="left"/>
              <w:rPr>
                <w:color w:val="auto"/>
                <w:sz w:val="24"/>
                <w:highlight w:val="none"/>
              </w:rPr>
            </w:pPr>
            <w:r>
              <w:rPr>
                <w:rFonts w:hint="eastAsia"/>
                <w:color w:val="auto"/>
                <w:sz w:val="24"/>
                <w:highlight w:val="none"/>
              </w:rPr>
              <w:t xml:space="preserve">②泄漏后遇明火发生火灾、爆炸事故 </w:t>
            </w:r>
          </w:p>
          <w:p w14:paraId="400A454D">
            <w:pPr>
              <w:widowControl/>
              <w:spacing w:line="360" w:lineRule="auto"/>
              <w:ind w:firstLine="480" w:firstLineChars="200"/>
              <w:jc w:val="left"/>
              <w:rPr>
                <w:color w:val="auto"/>
                <w:sz w:val="24"/>
                <w:highlight w:val="none"/>
              </w:rPr>
            </w:pPr>
            <w:r>
              <w:rPr>
                <w:rFonts w:hint="eastAsia"/>
                <w:color w:val="auto"/>
                <w:sz w:val="24"/>
                <w:highlight w:val="none"/>
              </w:rPr>
              <w:t>污染大气环境的主要为火灾事故，在遇到明火后会发生火灾，一旦着火就会迅速蔓延成灾，火焰温度高，同时伴随着强烈的热辐射。燃烧将伴生CO及少量烟尘等污染物，事故发生泄漏不完全燃烧时，CO经扩散可能对周围人群产生影响，其影响为短期性，采取疏散等措施可防止其人群产生中毒、伤亡等影响。</w:t>
            </w:r>
          </w:p>
          <w:p w14:paraId="57BBB824">
            <w:pPr>
              <w:widowControl/>
              <w:spacing w:line="360" w:lineRule="auto"/>
              <w:ind w:firstLine="480" w:firstLineChars="200"/>
              <w:jc w:val="left"/>
              <w:rPr>
                <w:color w:val="auto"/>
                <w:sz w:val="24"/>
                <w:highlight w:val="none"/>
              </w:rPr>
            </w:pPr>
            <w:r>
              <w:rPr>
                <w:rFonts w:hint="eastAsia"/>
                <w:color w:val="auto"/>
                <w:sz w:val="24"/>
                <w:highlight w:val="none"/>
              </w:rPr>
              <w:t xml:space="preserve">2）事故对地表水、土壤、地下水的风险影响分析 </w:t>
            </w:r>
          </w:p>
          <w:p w14:paraId="5D957B9E">
            <w:pPr>
              <w:widowControl/>
              <w:spacing w:line="360" w:lineRule="auto"/>
              <w:ind w:firstLine="480" w:firstLineChars="200"/>
              <w:jc w:val="left"/>
              <w:rPr>
                <w:color w:val="auto"/>
                <w:sz w:val="24"/>
                <w:highlight w:val="none"/>
              </w:rPr>
            </w:pPr>
            <w:r>
              <w:rPr>
                <w:rFonts w:hint="eastAsia"/>
                <w:color w:val="auto"/>
                <w:sz w:val="24"/>
                <w:highlight w:val="none"/>
              </w:rPr>
              <w:t>正常情况下，危废贮存点内部地面基础与裙脚采取防渗措施，且液态泄漏时有收集装置，因此不会因泄漏污染地表水体、土壤、地下水。但随着长时间的使用，可能出现开裂或老化造成泄漏。一般来说，不会直接污染地下水，但在大量泄漏过程中，可通过在土壤中的渗透，污染土壤及浅层地下水。因此，由地下渗漏造成的土壤、水体污染是具有潜在危害性的，应予以重视，并加强防范措施。</w:t>
            </w:r>
          </w:p>
          <w:p w14:paraId="74606937">
            <w:pPr>
              <w:widowControl/>
              <w:spacing w:line="360" w:lineRule="auto"/>
              <w:ind w:firstLine="480" w:firstLineChars="200"/>
              <w:jc w:val="left"/>
              <w:rPr>
                <w:rFonts w:ascii="宋体" w:hAnsi="宋体" w:cs="宋体"/>
                <w:color w:val="auto"/>
                <w:kern w:val="0"/>
                <w:sz w:val="24"/>
                <w:highlight w:val="none"/>
                <w:lang w:bidi="ar"/>
              </w:rPr>
            </w:pPr>
            <w:r>
              <w:rPr>
                <w:rFonts w:hint="eastAsia" w:ascii="宋体" w:hAnsi="宋体" w:cs="宋体"/>
                <w:color w:val="auto"/>
                <w:kern w:val="0"/>
                <w:sz w:val="24"/>
                <w:highlight w:val="none"/>
                <w:lang w:bidi="ar"/>
              </w:rPr>
              <w:t>（</w:t>
            </w:r>
            <w:r>
              <w:rPr>
                <w:rFonts w:hint="eastAsia"/>
                <w:color w:val="auto"/>
                <w:kern w:val="0"/>
                <w:sz w:val="24"/>
                <w:highlight w:val="none"/>
                <w:lang w:bidi="ar"/>
              </w:rPr>
              <w:t>5</w:t>
            </w:r>
            <w:r>
              <w:rPr>
                <w:rFonts w:hint="eastAsia" w:ascii="宋体" w:hAnsi="宋体" w:cs="宋体"/>
                <w:color w:val="auto"/>
                <w:kern w:val="0"/>
                <w:sz w:val="24"/>
                <w:highlight w:val="none"/>
                <w:lang w:bidi="ar"/>
              </w:rPr>
              <w:t>）环境风险防范措施及应急要求</w:t>
            </w:r>
          </w:p>
          <w:p w14:paraId="2339244C">
            <w:pPr>
              <w:widowControl/>
              <w:spacing w:line="360" w:lineRule="auto"/>
              <w:ind w:firstLine="480" w:firstLineChars="200"/>
              <w:jc w:val="left"/>
              <w:rPr>
                <w:color w:val="auto"/>
                <w:sz w:val="24"/>
                <w:highlight w:val="none"/>
              </w:rPr>
            </w:pPr>
            <w:r>
              <w:rPr>
                <w:color w:val="auto"/>
                <w:sz w:val="24"/>
                <w:highlight w:val="none"/>
              </w:rPr>
              <w:t>危险物质的风险防范主要从三方面考虑，一是从工艺上控制风险源，采用先进的生产工艺和装备，尽可能不排或少排，已达到降低工作场所有害物质的目的；其次是油桶发生泄漏进而引起火灾或爆炸的可能性，采取国内外相应高效的治理措施，同时操作人员采取相应的防护性措施，尽可能减轻对操作人员的危害；三是对周围环境保护目标做好防范及应急措施。根据本项目的生产特征，拟采取的风险防范与应急措施包括如下内容。</w:t>
            </w:r>
          </w:p>
          <w:p w14:paraId="2208FD29">
            <w:pPr>
              <w:widowControl/>
              <w:spacing w:line="360" w:lineRule="auto"/>
              <w:ind w:firstLine="480" w:firstLineChars="200"/>
              <w:jc w:val="left"/>
              <w:rPr>
                <w:color w:val="auto"/>
                <w:sz w:val="24"/>
                <w:highlight w:val="none"/>
              </w:rPr>
            </w:pPr>
            <w:r>
              <w:rPr>
                <w:rFonts w:hint="eastAsia"/>
                <w:color w:val="auto"/>
                <w:sz w:val="24"/>
                <w:highlight w:val="none"/>
              </w:rPr>
              <w:t>1）</w:t>
            </w:r>
            <w:r>
              <w:rPr>
                <w:color w:val="auto"/>
                <w:sz w:val="24"/>
                <w:highlight w:val="none"/>
              </w:rPr>
              <w:t xml:space="preserve">风险防范措施 </w:t>
            </w:r>
          </w:p>
          <w:p w14:paraId="02EA496A">
            <w:pPr>
              <w:widowControl/>
              <w:spacing w:line="360" w:lineRule="auto"/>
              <w:ind w:firstLine="480" w:firstLineChars="200"/>
              <w:jc w:val="left"/>
              <w:rPr>
                <w:color w:val="auto"/>
                <w:sz w:val="24"/>
                <w:highlight w:val="none"/>
              </w:rPr>
            </w:pPr>
            <w:r>
              <w:rPr>
                <w:color w:val="auto"/>
                <w:sz w:val="24"/>
                <w:highlight w:val="none"/>
              </w:rPr>
              <w:t>本项目运行过程具有一定程度的环境风险，须采取相应的风险防范措施，减小其事故发生概率，使事故概率控制在可接受水平以内。对此，采取以下环境风险防范措施：</w:t>
            </w:r>
          </w:p>
          <w:p w14:paraId="6BDC905F">
            <w:pPr>
              <w:widowControl/>
              <w:spacing w:line="360" w:lineRule="auto"/>
              <w:ind w:firstLine="480" w:firstLineChars="200"/>
              <w:jc w:val="left"/>
              <w:rPr>
                <w:color w:val="auto"/>
                <w:sz w:val="24"/>
                <w:highlight w:val="none"/>
              </w:rPr>
            </w:pPr>
            <w:r>
              <w:rPr>
                <w:rFonts w:hint="eastAsia" w:ascii="宋体" w:hAnsi="宋体" w:cs="宋体"/>
                <w:color w:val="auto"/>
                <w:sz w:val="24"/>
                <w:highlight w:val="none"/>
              </w:rPr>
              <w:t>①</w:t>
            </w:r>
            <w:r>
              <w:rPr>
                <w:color w:val="auto"/>
                <w:sz w:val="24"/>
                <w:highlight w:val="none"/>
              </w:rPr>
              <w:t>油桶不得超量储存废料；</w:t>
            </w:r>
          </w:p>
          <w:p w14:paraId="525336A0">
            <w:pPr>
              <w:widowControl/>
              <w:spacing w:line="360" w:lineRule="auto"/>
              <w:ind w:firstLine="480" w:firstLineChars="200"/>
              <w:jc w:val="left"/>
              <w:rPr>
                <w:color w:val="auto"/>
                <w:sz w:val="24"/>
                <w:highlight w:val="none"/>
              </w:rPr>
            </w:pPr>
            <w:r>
              <w:rPr>
                <w:rFonts w:hint="eastAsia" w:ascii="宋体" w:hAnsi="宋体" w:cs="宋体"/>
                <w:color w:val="auto"/>
                <w:sz w:val="24"/>
                <w:highlight w:val="none"/>
              </w:rPr>
              <w:t>②</w:t>
            </w:r>
            <w:r>
              <w:rPr>
                <w:color w:val="auto"/>
                <w:sz w:val="24"/>
                <w:highlight w:val="none"/>
              </w:rPr>
              <w:t>配备消防器材及自动灭火装置，定期更换灭火器材；</w:t>
            </w:r>
          </w:p>
          <w:p w14:paraId="5832AE53">
            <w:pPr>
              <w:widowControl/>
              <w:spacing w:line="360" w:lineRule="auto"/>
              <w:ind w:firstLine="480" w:firstLineChars="200"/>
              <w:jc w:val="left"/>
              <w:rPr>
                <w:color w:val="auto"/>
                <w:sz w:val="24"/>
                <w:highlight w:val="none"/>
              </w:rPr>
            </w:pPr>
            <w:r>
              <w:rPr>
                <w:rFonts w:hint="eastAsia" w:ascii="宋体" w:hAnsi="宋体" w:cs="宋体"/>
                <w:color w:val="auto"/>
                <w:sz w:val="24"/>
                <w:highlight w:val="none"/>
              </w:rPr>
              <w:t>③</w:t>
            </w:r>
            <w:r>
              <w:rPr>
                <w:color w:val="auto"/>
                <w:sz w:val="24"/>
                <w:highlight w:val="none"/>
              </w:rPr>
              <w:t>安装防静电设施，各类电机、照明均为防爆型产品；</w:t>
            </w:r>
          </w:p>
          <w:p w14:paraId="6FDAA0DD">
            <w:pPr>
              <w:widowControl/>
              <w:spacing w:line="360" w:lineRule="auto"/>
              <w:ind w:firstLine="480" w:firstLineChars="200"/>
              <w:jc w:val="left"/>
              <w:rPr>
                <w:color w:val="auto"/>
                <w:sz w:val="24"/>
                <w:highlight w:val="none"/>
              </w:rPr>
            </w:pPr>
            <w:r>
              <w:rPr>
                <w:rFonts w:hint="eastAsia" w:ascii="宋体" w:hAnsi="宋体" w:cs="宋体"/>
                <w:color w:val="auto"/>
                <w:sz w:val="24"/>
                <w:highlight w:val="none"/>
              </w:rPr>
              <w:t>④</w:t>
            </w:r>
            <w:r>
              <w:rPr>
                <w:color w:val="auto"/>
                <w:sz w:val="24"/>
                <w:highlight w:val="none"/>
              </w:rPr>
              <w:t>暂存区必须按规定定期检查、维修，杜绝跑、冒、滴、漏；</w:t>
            </w:r>
          </w:p>
          <w:p w14:paraId="13F806D1">
            <w:pPr>
              <w:widowControl/>
              <w:spacing w:line="360" w:lineRule="auto"/>
              <w:ind w:firstLine="480" w:firstLineChars="200"/>
              <w:jc w:val="left"/>
              <w:rPr>
                <w:color w:val="auto"/>
                <w:sz w:val="24"/>
                <w:highlight w:val="none"/>
              </w:rPr>
            </w:pPr>
            <w:r>
              <w:rPr>
                <w:rFonts w:hint="eastAsia" w:ascii="宋体" w:hAnsi="宋体" w:cs="宋体"/>
                <w:color w:val="auto"/>
                <w:sz w:val="24"/>
                <w:highlight w:val="none"/>
              </w:rPr>
              <w:t>⑤</w:t>
            </w:r>
            <w:r>
              <w:rPr>
                <w:color w:val="auto"/>
                <w:sz w:val="24"/>
                <w:highlight w:val="none"/>
              </w:rPr>
              <w:t>加强登记制度，预防无序存放，造成乱扔乱放现象；</w:t>
            </w:r>
          </w:p>
          <w:p w14:paraId="5AD5D9C4">
            <w:pPr>
              <w:widowControl/>
              <w:spacing w:line="360" w:lineRule="auto"/>
              <w:ind w:firstLine="480" w:firstLineChars="200"/>
              <w:jc w:val="left"/>
              <w:rPr>
                <w:color w:val="auto"/>
                <w:sz w:val="24"/>
                <w:highlight w:val="none"/>
              </w:rPr>
            </w:pPr>
            <w:r>
              <w:rPr>
                <w:rFonts w:hint="eastAsia" w:ascii="宋体" w:hAnsi="宋体" w:cs="宋体"/>
                <w:color w:val="auto"/>
                <w:sz w:val="24"/>
                <w:highlight w:val="none"/>
              </w:rPr>
              <w:t>⑥</w:t>
            </w:r>
            <w:r>
              <w:rPr>
                <w:color w:val="auto"/>
                <w:sz w:val="24"/>
                <w:highlight w:val="none"/>
              </w:rPr>
              <w:t>当发生事故时，为不使事故扩大，防止二次灾害的发生，要求即时抢险抢修。必须对各种险情进行事故前预测，并有针对性演练，做到遇险不乱，才能化险为夷。</w:t>
            </w:r>
          </w:p>
          <w:p w14:paraId="1694EC9A">
            <w:pPr>
              <w:widowControl/>
              <w:spacing w:line="360" w:lineRule="auto"/>
              <w:ind w:firstLine="480" w:firstLineChars="200"/>
              <w:jc w:val="left"/>
              <w:rPr>
                <w:color w:val="auto"/>
                <w:sz w:val="24"/>
                <w:highlight w:val="none"/>
              </w:rPr>
            </w:pPr>
            <w:r>
              <w:rPr>
                <w:color w:val="auto"/>
                <w:sz w:val="24"/>
                <w:highlight w:val="none"/>
              </w:rPr>
              <w:t>2）应急措施</w:t>
            </w:r>
          </w:p>
          <w:p w14:paraId="0FBCD41B">
            <w:pPr>
              <w:widowControl/>
              <w:spacing w:line="360" w:lineRule="auto"/>
              <w:ind w:firstLine="480" w:firstLineChars="200"/>
              <w:jc w:val="left"/>
              <w:rPr>
                <w:color w:val="auto"/>
                <w:sz w:val="24"/>
                <w:highlight w:val="none"/>
              </w:rPr>
            </w:pPr>
            <w:r>
              <w:rPr>
                <w:color w:val="auto"/>
                <w:sz w:val="24"/>
                <w:highlight w:val="none"/>
              </w:rPr>
              <w:t>提高工作人员环境风险意识，制定各项环保制度。对从业人员进行岗位职工教育与培训，使他们均具备危险意识及如何应对危险的知识，并进行相关泄露事故的教育。设立应急事故专门记录，建立档案和报告制度，由专门部门或人员</w:t>
            </w:r>
            <w:r>
              <w:rPr>
                <w:rFonts w:hint="eastAsia"/>
                <w:color w:val="auto"/>
                <w:sz w:val="24"/>
                <w:highlight w:val="none"/>
              </w:rPr>
              <w:t>负责管理。</w:t>
            </w:r>
          </w:p>
          <w:p w14:paraId="6EB8C00B">
            <w:pPr>
              <w:widowControl/>
              <w:spacing w:line="360" w:lineRule="auto"/>
              <w:ind w:firstLine="480" w:firstLineChars="200"/>
              <w:jc w:val="left"/>
              <w:rPr>
                <w:color w:val="auto"/>
                <w:sz w:val="24"/>
                <w:highlight w:val="none"/>
              </w:rPr>
            </w:pPr>
            <w:r>
              <w:rPr>
                <w:color w:val="auto"/>
                <w:sz w:val="24"/>
                <w:highlight w:val="none"/>
              </w:rPr>
              <w:t>项目主体单位应成立本厂的突发环境事件应急小组指挥部，责任到人，确保应急小组分工明确，以有效应对突发事件的发生，同时，项目应依据《中华人民共和国突发事件应对法》、《企业事业单位突发环境事件应急预案备案管理办法》（试行）的相关要求，进行《突发环境事件应急预案》的编制及备案工作。</w:t>
            </w:r>
          </w:p>
          <w:p w14:paraId="26C1CAEE">
            <w:pPr>
              <w:widowControl/>
              <w:spacing w:line="360" w:lineRule="auto"/>
              <w:ind w:firstLine="480" w:firstLineChars="200"/>
              <w:jc w:val="left"/>
              <w:rPr>
                <w:color w:val="auto"/>
                <w:sz w:val="24"/>
                <w:highlight w:val="none"/>
              </w:rPr>
            </w:pPr>
            <w:r>
              <w:rPr>
                <w:rFonts w:hint="eastAsia"/>
                <w:color w:val="auto"/>
                <w:sz w:val="24"/>
                <w:highlight w:val="none"/>
              </w:rPr>
              <w:t>综上所述，本</w:t>
            </w:r>
            <w:r>
              <w:rPr>
                <w:color w:val="auto"/>
                <w:sz w:val="24"/>
                <w:highlight w:val="none"/>
              </w:rPr>
              <w:t>项目运行过程中具有潜在的事故风险，要从建设、生产、贮运等方面积极采取防范，这是确保环境安全的根本措施。当出现事故时，采取对应的应急措施，必要时采取社会应急措施控制事件和减少对环境造成的危害。在认真落实评价中所提出的风险防范措施以及风险应急措施基础上，工程的事故风险是可控的。</w:t>
            </w:r>
          </w:p>
          <w:p w14:paraId="41780998">
            <w:pPr>
              <w:widowControl/>
              <w:spacing w:line="360" w:lineRule="auto"/>
              <w:jc w:val="left"/>
              <w:rPr>
                <w:color w:val="auto"/>
                <w:highlight w:val="none"/>
              </w:rPr>
            </w:pPr>
            <w:r>
              <w:rPr>
                <w:b/>
                <w:bCs/>
                <w:color w:val="auto"/>
                <w:kern w:val="0"/>
                <w:sz w:val="24"/>
                <w:highlight w:val="none"/>
                <w:lang w:bidi="ar"/>
              </w:rPr>
              <w:t>8.</w:t>
            </w:r>
            <w:r>
              <w:rPr>
                <w:rFonts w:hint="eastAsia" w:ascii="宋体" w:hAnsi="宋体" w:cs="宋体"/>
                <w:b/>
                <w:bCs/>
                <w:color w:val="auto"/>
                <w:kern w:val="0"/>
                <w:sz w:val="24"/>
                <w:highlight w:val="none"/>
                <w:lang w:bidi="ar"/>
              </w:rPr>
              <w:t>环保投资估算</w:t>
            </w:r>
          </w:p>
          <w:p w14:paraId="7813EB9A">
            <w:pPr>
              <w:widowControl/>
              <w:spacing w:line="360" w:lineRule="auto"/>
              <w:ind w:firstLine="480" w:firstLineChars="200"/>
              <w:jc w:val="left"/>
              <w:rPr>
                <w:b/>
                <w:bCs/>
                <w:color w:val="FF0000"/>
                <w:kern w:val="0"/>
                <w:szCs w:val="21"/>
                <w:highlight w:val="none"/>
                <w:lang w:bidi="ar"/>
              </w:rPr>
            </w:pPr>
            <w:r>
              <w:rPr>
                <w:color w:val="FF0000"/>
                <w:kern w:val="0"/>
                <w:sz w:val="24"/>
                <w:highlight w:val="none"/>
                <w:lang w:bidi="ar"/>
              </w:rPr>
              <w:t>项目的总投资为</w:t>
            </w:r>
            <w:r>
              <w:rPr>
                <w:rFonts w:hint="eastAsia"/>
                <w:color w:val="FF0000"/>
                <w:kern w:val="0"/>
                <w:sz w:val="24"/>
                <w:highlight w:val="none"/>
                <w:lang w:val="en-US" w:eastAsia="zh-CN" w:bidi="ar"/>
              </w:rPr>
              <w:t>200</w:t>
            </w:r>
            <w:r>
              <w:rPr>
                <w:color w:val="FF0000"/>
                <w:kern w:val="0"/>
                <w:sz w:val="24"/>
                <w:highlight w:val="none"/>
                <w:lang w:bidi="ar"/>
              </w:rPr>
              <w:t>万元，环保投资为</w:t>
            </w:r>
            <w:r>
              <w:rPr>
                <w:rFonts w:hint="eastAsia"/>
                <w:color w:val="FF0000"/>
                <w:kern w:val="0"/>
                <w:sz w:val="24"/>
                <w:highlight w:val="none"/>
                <w:lang w:val="en-US" w:eastAsia="zh-CN" w:bidi="ar"/>
              </w:rPr>
              <w:t>31.1</w:t>
            </w:r>
            <w:r>
              <w:rPr>
                <w:color w:val="FF0000"/>
                <w:kern w:val="0"/>
                <w:sz w:val="24"/>
                <w:highlight w:val="none"/>
                <w:lang w:bidi="ar"/>
              </w:rPr>
              <w:t>万元，占总投资的</w:t>
            </w:r>
            <w:r>
              <w:rPr>
                <w:rFonts w:hint="eastAsia"/>
                <w:color w:val="FF0000"/>
                <w:kern w:val="0"/>
                <w:sz w:val="24"/>
                <w:highlight w:val="none"/>
                <w:lang w:val="en-US" w:eastAsia="zh-CN" w:bidi="ar"/>
              </w:rPr>
              <w:t>15.55</w:t>
            </w:r>
            <w:r>
              <w:rPr>
                <w:color w:val="FF0000"/>
                <w:kern w:val="0"/>
                <w:sz w:val="24"/>
                <w:highlight w:val="none"/>
                <w:lang w:bidi="ar"/>
              </w:rPr>
              <w:t>%。环保投资详见下表。</w:t>
            </w:r>
          </w:p>
          <w:p w14:paraId="56C5F41C">
            <w:pPr>
              <w:widowControl/>
              <w:jc w:val="center"/>
              <w:rPr>
                <w:color w:val="FF0000"/>
                <w:szCs w:val="21"/>
                <w:highlight w:val="none"/>
              </w:rPr>
            </w:pPr>
            <w:r>
              <w:rPr>
                <w:rFonts w:hint="eastAsia" w:ascii="宋体" w:hAnsi="宋体" w:cs="宋体"/>
                <w:b/>
                <w:bCs/>
                <w:color w:val="FF0000"/>
                <w:kern w:val="0"/>
                <w:szCs w:val="21"/>
                <w:highlight w:val="none"/>
                <w:lang w:bidi="ar"/>
              </w:rPr>
              <w:t>表</w:t>
            </w:r>
            <w:r>
              <w:rPr>
                <w:b/>
                <w:bCs/>
                <w:color w:val="FF0000"/>
                <w:kern w:val="0"/>
                <w:szCs w:val="21"/>
                <w:highlight w:val="none"/>
                <w:lang w:bidi="ar"/>
              </w:rPr>
              <w:t>4-1</w:t>
            </w:r>
            <w:r>
              <w:rPr>
                <w:rFonts w:hint="eastAsia"/>
                <w:b/>
                <w:bCs/>
                <w:color w:val="FF0000"/>
                <w:kern w:val="0"/>
                <w:szCs w:val="21"/>
                <w:highlight w:val="none"/>
                <w:lang w:val="en-US" w:eastAsia="zh-CN" w:bidi="ar"/>
              </w:rPr>
              <w:t>9</w:t>
            </w:r>
            <w:r>
              <w:rPr>
                <w:rFonts w:hint="eastAsia"/>
                <w:b/>
                <w:bCs/>
                <w:color w:val="FF0000"/>
                <w:kern w:val="0"/>
                <w:szCs w:val="21"/>
                <w:highlight w:val="none"/>
                <w:lang w:bidi="ar"/>
              </w:rPr>
              <w:t xml:space="preserve"> </w:t>
            </w:r>
            <w:r>
              <w:rPr>
                <w:b/>
                <w:bCs/>
                <w:color w:val="FF0000"/>
                <w:kern w:val="0"/>
                <w:szCs w:val="21"/>
                <w:highlight w:val="none"/>
                <w:lang w:bidi="ar"/>
              </w:rPr>
              <w:t xml:space="preserve"> </w:t>
            </w:r>
            <w:r>
              <w:rPr>
                <w:rFonts w:hint="eastAsia" w:ascii="宋体" w:hAnsi="宋体" w:cs="宋体"/>
                <w:b/>
                <w:bCs/>
                <w:color w:val="FF0000"/>
                <w:kern w:val="0"/>
                <w:szCs w:val="21"/>
                <w:highlight w:val="none"/>
                <w:lang w:bidi="ar"/>
              </w:rPr>
              <w:t>环保投资一览表</w:t>
            </w:r>
          </w:p>
          <w:tbl>
            <w:tblPr>
              <w:tblStyle w:val="19"/>
              <w:tblW w:w="7946"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4"/>
              <w:gridCol w:w="675"/>
              <w:gridCol w:w="2162"/>
              <w:gridCol w:w="3163"/>
              <w:gridCol w:w="1512"/>
            </w:tblGrid>
            <w:tr w14:paraId="6909AC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tcBorders>
                    <w:tl2br w:val="nil"/>
                    <w:tr2bl w:val="nil"/>
                  </w:tcBorders>
                  <w:vAlign w:val="center"/>
                </w:tcPr>
                <w:p w14:paraId="59E79CA0">
                  <w:pPr>
                    <w:widowControl/>
                    <w:jc w:val="center"/>
                    <w:rPr>
                      <w:b/>
                      <w:bCs/>
                      <w:color w:val="FF0000"/>
                      <w:szCs w:val="21"/>
                      <w:highlight w:val="none"/>
                    </w:rPr>
                  </w:pPr>
                  <w:r>
                    <w:rPr>
                      <w:rFonts w:hint="eastAsia"/>
                      <w:b/>
                      <w:bCs/>
                      <w:color w:val="FF0000"/>
                      <w:szCs w:val="21"/>
                      <w:highlight w:val="none"/>
                    </w:rPr>
                    <w:t>类别</w:t>
                  </w:r>
                </w:p>
              </w:tc>
              <w:tc>
                <w:tcPr>
                  <w:tcW w:w="2837" w:type="dxa"/>
                  <w:gridSpan w:val="2"/>
                  <w:tcBorders>
                    <w:tl2br w:val="nil"/>
                    <w:tr2bl w:val="nil"/>
                  </w:tcBorders>
                  <w:vAlign w:val="center"/>
                </w:tcPr>
                <w:p w14:paraId="5D08FCCD">
                  <w:pPr>
                    <w:widowControl/>
                    <w:jc w:val="center"/>
                    <w:rPr>
                      <w:b/>
                      <w:bCs/>
                      <w:color w:val="FF0000"/>
                      <w:szCs w:val="21"/>
                      <w:highlight w:val="none"/>
                    </w:rPr>
                  </w:pPr>
                  <w:r>
                    <w:rPr>
                      <w:rFonts w:hint="eastAsia"/>
                      <w:b/>
                      <w:bCs/>
                      <w:color w:val="FF0000"/>
                      <w:szCs w:val="21"/>
                      <w:highlight w:val="none"/>
                    </w:rPr>
                    <w:t>污染源</w:t>
                  </w:r>
                </w:p>
              </w:tc>
              <w:tc>
                <w:tcPr>
                  <w:tcW w:w="3163" w:type="dxa"/>
                  <w:tcBorders>
                    <w:tl2br w:val="nil"/>
                    <w:tr2bl w:val="nil"/>
                  </w:tcBorders>
                  <w:vAlign w:val="center"/>
                </w:tcPr>
                <w:p w14:paraId="648285C8">
                  <w:pPr>
                    <w:widowControl/>
                    <w:jc w:val="center"/>
                    <w:rPr>
                      <w:b/>
                      <w:bCs/>
                      <w:color w:val="FF0000"/>
                      <w:szCs w:val="21"/>
                      <w:highlight w:val="none"/>
                    </w:rPr>
                  </w:pPr>
                  <w:r>
                    <w:rPr>
                      <w:rFonts w:hint="eastAsia"/>
                      <w:b/>
                      <w:bCs/>
                      <w:color w:val="FF0000"/>
                      <w:szCs w:val="21"/>
                      <w:highlight w:val="none"/>
                    </w:rPr>
                    <w:t>环保措施</w:t>
                  </w:r>
                </w:p>
              </w:tc>
              <w:tc>
                <w:tcPr>
                  <w:tcW w:w="1512" w:type="dxa"/>
                  <w:tcBorders>
                    <w:tl2br w:val="nil"/>
                    <w:tr2bl w:val="nil"/>
                  </w:tcBorders>
                  <w:vAlign w:val="center"/>
                </w:tcPr>
                <w:p w14:paraId="77B8B65B">
                  <w:pPr>
                    <w:widowControl/>
                    <w:jc w:val="center"/>
                    <w:rPr>
                      <w:b/>
                      <w:bCs/>
                      <w:color w:val="FF0000"/>
                      <w:szCs w:val="21"/>
                      <w:highlight w:val="none"/>
                    </w:rPr>
                  </w:pPr>
                  <w:r>
                    <w:rPr>
                      <w:rFonts w:hint="eastAsia"/>
                      <w:b/>
                      <w:bCs/>
                      <w:color w:val="FF0000"/>
                      <w:szCs w:val="21"/>
                      <w:highlight w:val="none"/>
                    </w:rPr>
                    <w:t>投资</w:t>
                  </w:r>
                </w:p>
                <w:p w14:paraId="058A682C">
                  <w:pPr>
                    <w:widowControl/>
                    <w:jc w:val="center"/>
                    <w:rPr>
                      <w:b/>
                      <w:bCs/>
                      <w:color w:val="FF0000"/>
                      <w:szCs w:val="21"/>
                      <w:highlight w:val="none"/>
                    </w:rPr>
                  </w:pPr>
                  <w:r>
                    <w:rPr>
                      <w:rFonts w:hint="eastAsia"/>
                      <w:b/>
                      <w:bCs/>
                      <w:color w:val="FF0000"/>
                      <w:szCs w:val="21"/>
                      <w:highlight w:val="none"/>
                    </w:rPr>
                    <w:t>（万元）</w:t>
                  </w:r>
                </w:p>
              </w:tc>
            </w:tr>
            <w:tr w14:paraId="340F7C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vMerge w:val="restart"/>
                  <w:tcBorders>
                    <w:tl2br w:val="nil"/>
                    <w:tr2bl w:val="nil"/>
                  </w:tcBorders>
                  <w:vAlign w:val="center"/>
                </w:tcPr>
                <w:p w14:paraId="472315C0">
                  <w:pPr>
                    <w:widowControl/>
                    <w:jc w:val="center"/>
                    <w:rPr>
                      <w:color w:val="FF0000"/>
                      <w:szCs w:val="21"/>
                      <w:highlight w:val="none"/>
                    </w:rPr>
                  </w:pPr>
                  <w:r>
                    <w:rPr>
                      <w:rFonts w:hint="eastAsia"/>
                      <w:color w:val="FF0000"/>
                      <w:szCs w:val="21"/>
                      <w:highlight w:val="none"/>
                    </w:rPr>
                    <w:t>运营期</w:t>
                  </w:r>
                </w:p>
              </w:tc>
              <w:tc>
                <w:tcPr>
                  <w:tcW w:w="675" w:type="dxa"/>
                  <w:vMerge w:val="restart"/>
                  <w:tcBorders>
                    <w:tl2br w:val="nil"/>
                    <w:tr2bl w:val="nil"/>
                  </w:tcBorders>
                  <w:vAlign w:val="center"/>
                </w:tcPr>
                <w:p w14:paraId="58A5327B">
                  <w:pPr>
                    <w:widowControl/>
                    <w:jc w:val="center"/>
                    <w:rPr>
                      <w:color w:val="FF0000"/>
                      <w:szCs w:val="21"/>
                      <w:highlight w:val="none"/>
                    </w:rPr>
                  </w:pPr>
                  <w:r>
                    <w:rPr>
                      <w:rFonts w:hint="eastAsia"/>
                      <w:color w:val="FF0000"/>
                      <w:szCs w:val="21"/>
                      <w:highlight w:val="none"/>
                    </w:rPr>
                    <w:t>废气</w:t>
                  </w:r>
                </w:p>
              </w:tc>
              <w:tc>
                <w:tcPr>
                  <w:tcW w:w="2162" w:type="dxa"/>
                  <w:tcBorders>
                    <w:tl2br w:val="nil"/>
                    <w:tr2bl w:val="nil"/>
                  </w:tcBorders>
                  <w:vAlign w:val="center"/>
                </w:tcPr>
                <w:p w14:paraId="065BF9CB">
                  <w:pPr>
                    <w:widowControl/>
                    <w:jc w:val="center"/>
                    <w:rPr>
                      <w:color w:val="FF0000"/>
                      <w:szCs w:val="21"/>
                      <w:highlight w:val="none"/>
                    </w:rPr>
                  </w:pPr>
                  <w:r>
                    <w:rPr>
                      <w:rFonts w:hint="eastAsia"/>
                      <w:color w:val="FF0000"/>
                      <w:szCs w:val="21"/>
                      <w:highlight w:val="none"/>
                    </w:rPr>
                    <w:t>有组织粉尘</w:t>
                  </w:r>
                </w:p>
              </w:tc>
              <w:tc>
                <w:tcPr>
                  <w:tcW w:w="3163" w:type="dxa"/>
                  <w:tcBorders>
                    <w:tl2br w:val="nil"/>
                    <w:tr2bl w:val="nil"/>
                  </w:tcBorders>
                  <w:vAlign w:val="center"/>
                </w:tcPr>
                <w:p w14:paraId="06670135">
                  <w:pPr>
                    <w:widowControl/>
                    <w:jc w:val="center"/>
                    <w:rPr>
                      <w:color w:val="FF0000"/>
                      <w:szCs w:val="21"/>
                      <w:highlight w:val="none"/>
                    </w:rPr>
                  </w:pPr>
                  <w:r>
                    <w:rPr>
                      <w:rFonts w:hint="eastAsia" w:ascii="宋体" w:hAnsi="宋体" w:cs="宋体"/>
                      <w:color w:val="FF0000"/>
                      <w:kern w:val="0"/>
                      <w:szCs w:val="21"/>
                      <w:highlight w:val="none"/>
                      <w:lang w:bidi="ar"/>
                    </w:rPr>
                    <w:t>集气罩+袋式除尘器+</w:t>
                  </w:r>
                  <w:r>
                    <w:rPr>
                      <w:color w:val="FF0000"/>
                      <w:kern w:val="0"/>
                      <w:szCs w:val="21"/>
                      <w:highlight w:val="none"/>
                      <w:lang w:bidi="ar"/>
                    </w:rPr>
                    <w:t>15m</w:t>
                  </w:r>
                  <w:r>
                    <w:rPr>
                      <w:rFonts w:hint="eastAsia" w:ascii="宋体" w:hAnsi="宋体" w:cs="宋体"/>
                      <w:color w:val="FF0000"/>
                      <w:kern w:val="0"/>
                      <w:szCs w:val="21"/>
                      <w:highlight w:val="none"/>
                      <w:lang w:bidi="ar"/>
                    </w:rPr>
                    <w:t>排气筒</w:t>
                  </w:r>
                </w:p>
              </w:tc>
              <w:tc>
                <w:tcPr>
                  <w:tcW w:w="1512" w:type="dxa"/>
                  <w:tcBorders>
                    <w:tl2br w:val="nil"/>
                    <w:tr2bl w:val="nil"/>
                  </w:tcBorders>
                  <w:vAlign w:val="center"/>
                </w:tcPr>
                <w:p w14:paraId="2E4B35B0">
                  <w:pPr>
                    <w:widowControl/>
                    <w:jc w:val="center"/>
                    <w:rPr>
                      <w:rFonts w:hint="default" w:eastAsia="宋体"/>
                      <w:color w:val="FF0000"/>
                      <w:szCs w:val="21"/>
                      <w:highlight w:val="none"/>
                      <w:lang w:val="en-US" w:eastAsia="zh-CN"/>
                    </w:rPr>
                  </w:pPr>
                  <w:r>
                    <w:rPr>
                      <w:rFonts w:hint="eastAsia"/>
                      <w:color w:val="FF0000"/>
                      <w:szCs w:val="21"/>
                      <w:highlight w:val="none"/>
                      <w:lang w:val="en-US" w:eastAsia="zh-CN"/>
                    </w:rPr>
                    <w:t>10</w:t>
                  </w:r>
                </w:p>
              </w:tc>
            </w:tr>
            <w:tr w14:paraId="228CE4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vMerge w:val="continue"/>
                  <w:tcBorders>
                    <w:tl2br w:val="nil"/>
                    <w:tr2bl w:val="nil"/>
                  </w:tcBorders>
                  <w:vAlign w:val="center"/>
                </w:tcPr>
                <w:p w14:paraId="1C28FCDF">
                  <w:pPr>
                    <w:widowControl/>
                    <w:jc w:val="center"/>
                    <w:rPr>
                      <w:color w:val="FF0000"/>
                      <w:szCs w:val="21"/>
                      <w:highlight w:val="none"/>
                    </w:rPr>
                  </w:pPr>
                </w:p>
              </w:tc>
              <w:tc>
                <w:tcPr>
                  <w:tcW w:w="675" w:type="dxa"/>
                  <w:vMerge w:val="continue"/>
                  <w:tcBorders>
                    <w:tl2br w:val="nil"/>
                    <w:tr2bl w:val="nil"/>
                  </w:tcBorders>
                  <w:vAlign w:val="center"/>
                </w:tcPr>
                <w:p w14:paraId="42087CE4">
                  <w:pPr>
                    <w:widowControl/>
                    <w:jc w:val="center"/>
                    <w:rPr>
                      <w:color w:val="FF0000"/>
                      <w:szCs w:val="21"/>
                      <w:highlight w:val="none"/>
                    </w:rPr>
                  </w:pPr>
                </w:p>
              </w:tc>
              <w:tc>
                <w:tcPr>
                  <w:tcW w:w="2162" w:type="dxa"/>
                  <w:tcBorders>
                    <w:tl2br w:val="nil"/>
                    <w:tr2bl w:val="nil"/>
                  </w:tcBorders>
                  <w:vAlign w:val="center"/>
                </w:tcPr>
                <w:p w14:paraId="720042F5">
                  <w:pPr>
                    <w:widowControl/>
                    <w:jc w:val="center"/>
                    <w:rPr>
                      <w:color w:val="FF0000"/>
                      <w:szCs w:val="21"/>
                      <w:highlight w:val="none"/>
                    </w:rPr>
                  </w:pPr>
                  <w:r>
                    <w:rPr>
                      <w:rFonts w:hint="eastAsia"/>
                      <w:color w:val="FF0000"/>
                      <w:szCs w:val="21"/>
                      <w:highlight w:val="none"/>
                    </w:rPr>
                    <w:t>无组织粉尘</w:t>
                  </w:r>
                </w:p>
              </w:tc>
              <w:tc>
                <w:tcPr>
                  <w:tcW w:w="3163" w:type="dxa"/>
                  <w:tcBorders>
                    <w:tl2br w:val="nil"/>
                    <w:tr2bl w:val="nil"/>
                  </w:tcBorders>
                  <w:vAlign w:val="center"/>
                </w:tcPr>
                <w:p w14:paraId="03AB2F81">
                  <w:pPr>
                    <w:widowControl/>
                    <w:jc w:val="center"/>
                    <w:rPr>
                      <w:rFonts w:hint="eastAsia" w:eastAsia="宋体"/>
                      <w:color w:val="FF0000"/>
                      <w:szCs w:val="21"/>
                      <w:highlight w:val="none"/>
                      <w:lang w:eastAsia="zh-CN"/>
                    </w:rPr>
                  </w:pPr>
                  <w:r>
                    <w:rPr>
                      <w:rFonts w:hint="eastAsia"/>
                      <w:color w:val="FF0000"/>
                      <w:szCs w:val="21"/>
                      <w:highlight w:val="none"/>
                      <w:lang w:val="en-US" w:eastAsia="zh-CN"/>
                    </w:rPr>
                    <w:t>清洗平台，雾炮机</w:t>
                  </w:r>
                  <w:r>
                    <w:rPr>
                      <w:rFonts w:hint="eastAsia"/>
                      <w:color w:val="FF0000"/>
                      <w:szCs w:val="21"/>
                      <w:highlight w:val="none"/>
                    </w:rPr>
                    <w:t>洒水抑尘</w:t>
                  </w:r>
                  <w:r>
                    <w:rPr>
                      <w:rFonts w:hint="eastAsia"/>
                      <w:color w:val="FF0000"/>
                      <w:szCs w:val="21"/>
                      <w:highlight w:val="none"/>
                      <w:lang w:eastAsia="zh-CN"/>
                    </w:rPr>
                    <w:t>，</w:t>
                  </w:r>
                  <w:r>
                    <w:rPr>
                      <w:rFonts w:hint="eastAsia"/>
                      <w:color w:val="FF0000"/>
                      <w:szCs w:val="21"/>
                      <w:highlight w:val="none"/>
                      <w:lang w:val="en-US" w:eastAsia="zh-CN"/>
                    </w:rPr>
                    <w:t>传送带全封闭</w:t>
                  </w:r>
                </w:p>
              </w:tc>
              <w:tc>
                <w:tcPr>
                  <w:tcW w:w="1512" w:type="dxa"/>
                  <w:tcBorders>
                    <w:tl2br w:val="nil"/>
                    <w:tr2bl w:val="nil"/>
                  </w:tcBorders>
                  <w:vAlign w:val="center"/>
                </w:tcPr>
                <w:p w14:paraId="4FFD46D0">
                  <w:pPr>
                    <w:widowControl/>
                    <w:jc w:val="center"/>
                    <w:rPr>
                      <w:rFonts w:hint="default" w:eastAsia="宋体"/>
                      <w:color w:val="FF0000"/>
                      <w:szCs w:val="21"/>
                      <w:highlight w:val="none"/>
                      <w:lang w:val="en-US" w:eastAsia="zh-CN"/>
                    </w:rPr>
                  </w:pPr>
                  <w:r>
                    <w:rPr>
                      <w:rFonts w:hint="eastAsia"/>
                      <w:color w:val="FF0000"/>
                      <w:szCs w:val="21"/>
                      <w:highlight w:val="none"/>
                      <w:lang w:val="en-US" w:eastAsia="zh-CN"/>
                    </w:rPr>
                    <w:t>15</w:t>
                  </w:r>
                </w:p>
              </w:tc>
            </w:tr>
            <w:tr w14:paraId="2F959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vMerge w:val="continue"/>
                  <w:tcBorders>
                    <w:tl2br w:val="nil"/>
                    <w:tr2bl w:val="nil"/>
                  </w:tcBorders>
                  <w:vAlign w:val="center"/>
                </w:tcPr>
                <w:p w14:paraId="1C646367">
                  <w:pPr>
                    <w:widowControl/>
                    <w:jc w:val="center"/>
                    <w:rPr>
                      <w:color w:val="FF0000"/>
                      <w:szCs w:val="21"/>
                      <w:highlight w:val="none"/>
                    </w:rPr>
                  </w:pPr>
                </w:p>
              </w:tc>
              <w:tc>
                <w:tcPr>
                  <w:tcW w:w="675" w:type="dxa"/>
                  <w:tcBorders>
                    <w:tl2br w:val="nil"/>
                    <w:tr2bl w:val="nil"/>
                  </w:tcBorders>
                  <w:vAlign w:val="center"/>
                </w:tcPr>
                <w:p w14:paraId="395AFFF7">
                  <w:pPr>
                    <w:widowControl/>
                    <w:jc w:val="center"/>
                    <w:rPr>
                      <w:color w:val="FF0000"/>
                      <w:szCs w:val="21"/>
                      <w:highlight w:val="none"/>
                    </w:rPr>
                  </w:pPr>
                  <w:r>
                    <w:rPr>
                      <w:rFonts w:hint="eastAsia"/>
                      <w:color w:val="FF0000"/>
                      <w:szCs w:val="21"/>
                      <w:highlight w:val="none"/>
                    </w:rPr>
                    <w:t>噪声</w:t>
                  </w:r>
                </w:p>
              </w:tc>
              <w:tc>
                <w:tcPr>
                  <w:tcW w:w="2162" w:type="dxa"/>
                  <w:tcBorders>
                    <w:tl2br w:val="nil"/>
                    <w:tr2bl w:val="nil"/>
                  </w:tcBorders>
                  <w:vAlign w:val="center"/>
                </w:tcPr>
                <w:p w14:paraId="0A84ABA6">
                  <w:pPr>
                    <w:widowControl/>
                    <w:jc w:val="center"/>
                    <w:rPr>
                      <w:color w:val="FF0000"/>
                      <w:szCs w:val="21"/>
                      <w:highlight w:val="none"/>
                    </w:rPr>
                  </w:pPr>
                  <w:r>
                    <w:rPr>
                      <w:rFonts w:hint="eastAsia"/>
                      <w:color w:val="FF0000"/>
                      <w:szCs w:val="21"/>
                      <w:highlight w:val="none"/>
                    </w:rPr>
                    <w:t>生产设备</w:t>
                  </w:r>
                </w:p>
              </w:tc>
              <w:tc>
                <w:tcPr>
                  <w:tcW w:w="3163" w:type="dxa"/>
                  <w:tcBorders>
                    <w:tl2br w:val="nil"/>
                    <w:tr2bl w:val="nil"/>
                  </w:tcBorders>
                  <w:vAlign w:val="center"/>
                </w:tcPr>
                <w:p w14:paraId="7E6C8192">
                  <w:pPr>
                    <w:widowControl/>
                    <w:jc w:val="center"/>
                    <w:rPr>
                      <w:color w:val="FF0000"/>
                      <w:szCs w:val="21"/>
                      <w:highlight w:val="none"/>
                    </w:rPr>
                  </w:pPr>
                  <w:r>
                    <w:rPr>
                      <w:rFonts w:hint="eastAsia" w:ascii="宋体" w:hAnsi="宋体" w:cs="宋体"/>
                      <w:color w:val="FF0000"/>
                      <w:kern w:val="0"/>
                      <w:szCs w:val="21"/>
                      <w:highlight w:val="none"/>
                      <w:lang w:bidi="ar"/>
                    </w:rPr>
                    <w:t>基础减振、厂房隔声</w:t>
                  </w:r>
                </w:p>
              </w:tc>
              <w:tc>
                <w:tcPr>
                  <w:tcW w:w="1512" w:type="dxa"/>
                  <w:tcBorders>
                    <w:tl2br w:val="nil"/>
                    <w:tr2bl w:val="nil"/>
                  </w:tcBorders>
                  <w:vAlign w:val="center"/>
                </w:tcPr>
                <w:p w14:paraId="67817916">
                  <w:pPr>
                    <w:widowControl/>
                    <w:jc w:val="center"/>
                    <w:rPr>
                      <w:rFonts w:hint="eastAsia" w:eastAsia="宋体"/>
                      <w:color w:val="FF0000"/>
                      <w:szCs w:val="21"/>
                      <w:highlight w:val="none"/>
                      <w:lang w:eastAsia="zh-CN"/>
                    </w:rPr>
                  </w:pPr>
                  <w:r>
                    <w:rPr>
                      <w:rFonts w:hint="eastAsia"/>
                      <w:color w:val="FF0000"/>
                      <w:szCs w:val="21"/>
                      <w:highlight w:val="none"/>
                      <w:lang w:val="en-US" w:eastAsia="zh-CN"/>
                    </w:rPr>
                    <w:t>2</w:t>
                  </w:r>
                </w:p>
              </w:tc>
            </w:tr>
            <w:tr w14:paraId="4890B7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vMerge w:val="continue"/>
                  <w:tcBorders>
                    <w:tl2br w:val="nil"/>
                    <w:tr2bl w:val="nil"/>
                  </w:tcBorders>
                  <w:vAlign w:val="center"/>
                </w:tcPr>
                <w:p w14:paraId="3CFF3F1D">
                  <w:pPr>
                    <w:widowControl/>
                    <w:jc w:val="center"/>
                    <w:rPr>
                      <w:color w:val="FF0000"/>
                      <w:szCs w:val="21"/>
                      <w:highlight w:val="none"/>
                    </w:rPr>
                  </w:pPr>
                </w:p>
              </w:tc>
              <w:tc>
                <w:tcPr>
                  <w:tcW w:w="675" w:type="dxa"/>
                  <w:vMerge w:val="restart"/>
                  <w:tcBorders>
                    <w:tl2br w:val="nil"/>
                    <w:tr2bl w:val="nil"/>
                  </w:tcBorders>
                  <w:vAlign w:val="center"/>
                </w:tcPr>
                <w:p w14:paraId="4A178B6C">
                  <w:pPr>
                    <w:widowControl/>
                    <w:jc w:val="center"/>
                    <w:rPr>
                      <w:color w:val="FF0000"/>
                      <w:szCs w:val="21"/>
                      <w:highlight w:val="none"/>
                    </w:rPr>
                  </w:pPr>
                  <w:r>
                    <w:rPr>
                      <w:rFonts w:hint="eastAsia"/>
                      <w:color w:val="FF0000"/>
                      <w:szCs w:val="21"/>
                      <w:highlight w:val="none"/>
                    </w:rPr>
                    <w:t>固废</w:t>
                  </w:r>
                </w:p>
              </w:tc>
              <w:tc>
                <w:tcPr>
                  <w:tcW w:w="2162" w:type="dxa"/>
                  <w:tcBorders>
                    <w:tl2br w:val="nil"/>
                    <w:tr2bl w:val="nil"/>
                  </w:tcBorders>
                  <w:vAlign w:val="center"/>
                </w:tcPr>
                <w:p w14:paraId="7B516556">
                  <w:pPr>
                    <w:widowControl/>
                    <w:jc w:val="center"/>
                    <w:rPr>
                      <w:color w:val="FF0000"/>
                      <w:szCs w:val="21"/>
                      <w:highlight w:val="none"/>
                    </w:rPr>
                  </w:pPr>
                  <w:r>
                    <w:rPr>
                      <w:rFonts w:hint="eastAsia"/>
                      <w:color w:val="FF0000"/>
                      <w:szCs w:val="21"/>
                      <w:highlight w:val="none"/>
                    </w:rPr>
                    <w:t>危险废物</w:t>
                  </w:r>
                </w:p>
              </w:tc>
              <w:tc>
                <w:tcPr>
                  <w:tcW w:w="3163" w:type="dxa"/>
                  <w:tcBorders>
                    <w:tl2br w:val="nil"/>
                    <w:tr2bl w:val="nil"/>
                  </w:tcBorders>
                  <w:vAlign w:val="center"/>
                </w:tcPr>
                <w:p w14:paraId="04ECD4C6">
                  <w:pPr>
                    <w:widowControl/>
                    <w:jc w:val="center"/>
                    <w:rPr>
                      <w:rFonts w:hint="eastAsia" w:eastAsia="宋体"/>
                      <w:color w:val="FF0000"/>
                      <w:szCs w:val="21"/>
                      <w:highlight w:val="none"/>
                      <w:lang w:eastAsia="zh-CN"/>
                    </w:rPr>
                  </w:pPr>
                  <w:r>
                    <w:rPr>
                      <w:rFonts w:hint="eastAsia" w:ascii="宋体" w:hAnsi="宋体" w:cs="宋体"/>
                      <w:color w:val="FF0000"/>
                      <w:kern w:val="0"/>
                      <w:szCs w:val="21"/>
                      <w:highlight w:val="none"/>
                      <w:lang w:bidi="ar"/>
                    </w:rPr>
                    <w:t>危废贮存点</w:t>
                  </w:r>
                </w:p>
              </w:tc>
              <w:tc>
                <w:tcPr>
                  <w:tcW w:w="1512" w:type="dxa"/>
                  <w:tcBorders>
                    <w:tl2br w:val="nil"/>
                    <w:tr2bl w:val="nil"/>
                  </w:tcBorders>
                  <w:vAlign w:val="center"/>
                </w:tcPr>
                <w:p w14:paraId="345BC6A1">
                  <w:pPr>
                    <w:widowControl/>
                    <w:jc w:val="center"/>
                    <w:rPr>
                      <w:color w:val="FF0000"/>
                      <w:szCs w:val="21"/>
                      <w:highlight w:val="none"/>
                    </w:rPr>
                  </w:pPr>
                  <w:r>
                    <w:rPr>
                      <w:rFonts w:hint="eastAsia"/>
                      <w:color w:val="FF0000"/>
                      <w:szCs w:val="21"/>
                      <w:highlight w:val="none"/>
                    </w:rPr>
                    <w:t>2</w:t>
                  </w:r>
                </w:p>
              </w:tc>
            </w:tr>
            <w:tr w14:paraId="062ABDF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vMerge w:val="continue"/>
                  <w:tcBorders>
                    <w:tl2br w:val="nil"/>
                    <w:tr2bl w:val="nil"/>
                  </w:tcBorders>
                  <w:vAlign w:val="center"/>
                </w:tcPr>
                <w:p w14:paraId="444D56AC">
                  <w:pPr>
                    <w:widowControl/>
                    <w:jc w:val="center"/>
                    <w:rPr>
                      <w:color w:val="FF0000"/>
                      <w:szCs w:val="21"/>
                      <w:highlight w:val="none"/>
                    </w:rPr>
                  </w:pPr>
                </w:p>
              </w:tc>
              <w:tc>
                <w:tcPr>
                  <w:tcW w:w="675" w:type="dxa"/>
                  <w:vMerge w:val="continue"/>
                  <w:tcBorders>
                    <w:tl2br w:val="nil"/>
                    <w:tr2bl w:val="nil"/>
                  </w:tcBorders>
                  <w:vAlign w:val="center"/>
                </w:tcPr>
                <w:p w14:paraId="4F6F6F29">
                  <w:pPr>
                    <w:widowControl/>
                    <w:jc w:val="center"/>
                    <w:rPr>
                      <w:color w:val="FF0000"/>
                      <w:szCs w:val="21"/>
                      <w:highlight w:val="none"/>
                    </w:rPr>
                  </w:pPr>
                </w:p>
              </w:tc>
              <w:tc>
                <w:tcPr>
                  <w:tcW w:w="2162" w:type="dxa"/>
                  <w:tcBorders>
                    <w:tl2br w:val="nil"/>
                    <w:tr2bl w:val="nil"/>
                  </w:tcBorders>
                  <w:vAlign w:val="center"/>
                </w:tcPr>
                <w:p w14:paraId="314F34DB">
                  <w:pPr>
                    <w:widowControl/>
                    <w:jc w:val="center"/>
                    <w:rPr>
                      <w:color w:val="FF0000"/>
                      <w:szCs w:val="21"/>
                      <w:highlight w:val="none"/>
                    </w:rPr>
                  </w:pPr>
                  <w:r>
                    <w:rPr>
                      <w:rFonts w:hint="eastAsia"/>
                      <w:color w:val="FF0000"/>
                      <w:szCs w:val="21"/>
                      <w:highlight w:val="none"/>
                    </w:rPr>
                    <w:t>生活垃圾</w:t>
                  </w:r>
                </w:p>
              </w:tc>
              <w:tc>
                <w:tcPr>
                  <w:tcW w:w="3163" w:type="dxa"/>
                  <w:tcBorders>
                    <w:tl2br w:val="nil"/>
                    <w:tr2bl w:val="nil"/>
                  </w:tcBorders>
                  <w:vAlign w:val="center"/>
                </w:tcPr>
                <w:p w14:paraId="2D74FF02">
                  <w:pPr>
                    <w:widowControl/>
                    <w:jc w:val="center"/>
                    <w:rPr>
                      <w:rFonts w:ascii="宋体" w:hAnsi="宋体" w:cs="宋体"/>
                      <w:color w:val="FF0000"/>
                      <w:kern w:val="0"/>
                      <w:szCs w:val="21"/>
                      <w:highlight w:val="none"/>
                      <w:lang w:bidi="ar"/>
                    </w:rPr>
                  </w:pPr>
                  <w:r>
                    <w:rPr>
                      <w:rFonts w:hint="eastAsia" w:ascii="宋体" w:hAnsi="宋体" w:cs="宋体"/>
                      <w:color w:val="FF0000"/>
                      <w:kern w:val="0"/>
                      <w:szCs w:val="21"/>
                      <w:highlight w:val="none"/>
                      <w:lang w:bidi="ar"/>
                    </w:rPr>
                    <w:t>垃圾分类收集箱</w:t>
                  </w:r>
                </w:p>
              </w:tc>
              <w:tc>
                <w:tcPr>
                  <w:tcW w:w="1512" w:type="dxa"/>
                  <w:tcBorders>
                    <w:tl2br w:val="nil"/>
                    <w:tr2bl w:val="nil"/>
                  </w:tcBorders>
                  <w:vAlign w:val="center"/>
                </w:tcPr>
                <w:p w14:paraId="43B826F2">
                  <w:pPr>
                    <w:widowControl/>
                    <w:jc w:val="center"/>
                    <w:rPr>
                      <w:color w:val="FF0000"/>
                      <w:szCs w:val="21"/>
                      <w:highlight w:val="none"/>
                    </w:rPr>
                  </w:pPr>
                  <w:r>
                    <w:rPr>
                      <w:rFonts w:hint="eastAsia"/>
                      <w:color w:val="FF0000"/>
                      <w:szCs w:val="21"/>
                      <w:highlight w:val="none"/>
                    </w:rPr>
                    <w:t>0.1</w:t>
                  </w:r>
                </w:p>
              </w:tc>
            </w:tr>
            <w:tr w14:paraId="717D27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vMerge w:val="continue"/>
                  <w:tcBorders>
                    <w:tl2br w:val="nil"/>
                    <w:tr2bl w:val="nil"/>
                  </w:tcBorders>
                  <w:vAlign w:val="center"/>
                </w:tcPr>
                <w:p w14:paraId="3937454E">
                  <w:pPr>
                    <w:widowControl/>
                    <w:jc w:val="center"/>
                    <w:rPr>
                      <w:color w:val="FF0000"/>
                      <w:szCs w:val="21"/>
                      <w:highlight w:val="none"/>
                    </w:rPr>
                  </w:pPr>
                </w:p>
              </w:tc>
              <w:tc>
                <w:tcPr>
                  <w:tcW w:w="2837" w:type="dxa"/>
                  <w:gridSpan w:val="2"/>
                  <w:tcBorders>
                    <w:tl2br w:val="nil"/>
                    <w:tr2bl w:val="nil"/>
                  </w:tcBorders>
                  <w:vAlign w:val="center"/>
                </w:tcPr>
                <w:p w14:paraId="45AE310E">
                  <w:pPr>
                    <w:widowControl/>
                    <w:jc w:val="center"/>
                    <w:rPr>
                      <w:color w:val="FF0000"/>
                      <w:szCs w:val="21"/>
                      <w:highlight w:val="none"/>
                    </w:rPr>
                  </w:pPr>
                  <w:r>
                    <w:rPr>
                      <w:rFonts w:hint="eastAsia"/>
                      <w:color w:val="FF0000"/>
                      <w:szCs w:val="21"/>
                      <w:highlight w:val="none"/>
                    </w:rPr>
                    <w:t>环境管理</w:t>
                  </w:r>
                </w:p>
              </w:tc>
              <w:tc>
                <w:tcPr>
                  <w:tcW w:w="3163" w:type="dxa"/>
                  <w:tcBorders>
                    <w:tl2br w:val="nil"/>
                    <w:tr2bl w:val="nil"/>
                  </w:tcBorders>
                  <w:vAlign w:val="center"/>
                </w:tcPr>
                <w:p w14:paraId="39875602">
                  <w:pPr>
                    <w:widowControl/>
                    <w:jc w:val="center"/>
                    <w:rPr>
                      <w:color w:val="FF0000"/>
                      <w:szCs w:val="21"/>
                      <w:highlight w:val="none"/>
                    </w:rPr>
                  </w:pPr>
                  <w:r>
                    <w:rPr>
                      <w:rFonts w:hint="eastAsia" w:ascii="宋体" w:hAnsi="宋体" w:cs="宋体"/>
                      <w:color w:val="FF0000"/>
                      <w:kern w:val="0"/>
                      <w:szCs w:val="21"/>
                      <w:highlight w:val="none"/>
                      <w:lang w:bidi="ar"/>
                    </w:rPr>
                    <w:t>规范化排污口、设置采样口等</w:t>
                  </w:r>
                </w:p>
              </w:tc>
              <w:tc>
                <w:tcPr>
                  <w:tcW w:w="1512" w:type="dxa"/>
                  <w:tcBorders>
                    <w:tl2br w:val="nil"/>
                    <w:tr2bl w:val="nil"/>
                  </w:tcBorders>
                  <w:vAlign w:val="center"/>
                </w:tcPr>
                <w:p w14:paraId="608470C8">
                  <w:pPr>
                    <w:widowControl/>
                    <w:jc w:val="center"/>
                    <w:rPr>
                      <w:color w:val="FF0000"/>
                      <w:szCs w:val="21"/>
                      <w:highlight w:val="none"/>
                    </w:rPr>
                  </w:pPr>
                  <w:r>
                    <w:rPr>
                      <w:rFonts w:hint="eastAsia"/>
                      <w:color w:val="FF0000"/>
                      <w:szCs w:val="21"/>
                      <w:highlight w:val="none"/>
                    </w:rPr>
                    <w:t>0.5</w:t>
                  </w:r>
                </w:p>
              </w:tc>
            </w:tr>
            <w:tr w14:paraId="3F2248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34" w:type="dxa"/>
                  <w:vMerge w:val="continue"/>
                  <w:tcBorders>
                    <w:tl2br w:val="nil"/>
                    <w:tr2bl w:val="nil"/>
                  </w:tcBorders>
                  <w:vAlign w:val="center"/>
                </w:tcPr>
                <w:p w14:paraId="51F39176">
                  <w:pPr>
                    <w:widowControl/>
                    <w:jc w:val="center"/>
                    <w:rPr>
                      <w:color w:val="FF0000"/>
                      <w:szCs w:val="21"/>
                      <w:highlight w:val="none"/>
                    </w:rPr>
                  </w:pPr>
                </w:p>
              </w:tc>
              <w:tc>
                <w:tcPr>
                  <w:tcW w:w="2837" w:type="dxa"/>
                  <w:gridSpan w:val="2"/>
                  <w:tcBorders>
                    <w:tl2br w:val="nil"/>
                    <w:tr2bl w:val="nil"/>
                  </w:tcBorders>
                  <w:vAlign w:val="center"/>
                </w:tcPr>
                <w:p w14:paraId="00189499">
                  <w:pPr>
                    <w:widowControl/>
                    <w:jc w:val="center"/>
                    <w:rPr>
                      <w:color w:val="FF0000"/>
                      <w:szCs w:val="21"/>
                      <w:highlight w:val="none"/>
                    </w:rPr>
                  </w:pPr>
                  <w:r>
                    <w:rPr>
                      <w:rFonts w:hint="eastAsia"/>
                      <w:color w:val="FF0000"/>
                      <w:szCs w:val="21"/>
                      <w:highlight w:val="none"/>
                    </w:rPr>
                    <w:t>地下水、土壤</w:t>
                  </w:r>
                </w:p>
              </w:tc>
              <w:tc>
                <w:tcPr>
                  <w:tcW w:w="3163" w:type="dxa"/>
                  <w:tcBorders>
                    <w:tl2br w:val="nil"/>
                    <w:tr2bl w:val="nil"/>
                  </w:tcBorders>
                  <w:vAlign w:val="center"/>
                </w:tcPr>
                <w:p w14:paraId="59D7538F">
                  <w:pPr>
                    <w:widowControl/>
                    <w:jc w:val="center"/>
                    <w:rPr>
                      <w:color w:val="FF0000"/>
                      <w:szCs w:val="21"/>
                      <w:highlight w:val="none"/>
                    </w:rPr>
                  </w:pPr>
                  <w:r>
                    <w:rPr>
                      <w:rFonts w:hint="eastAsia" w:ascii="宋体" w:hAnsi="宋体" w:cs="宋体"/>
                      <w:color w:val="FF0000"/>
                      <w:kern w:val="0"/>
                      <w:szCs w:val="21"/>
                      <w:highlight w:val="none"/>
                      <w:lang w:bidi="ar"/>
                    </w:rPr>
                    <w:t>分区防渗</w:t>
                  </w:r>
                </w:p>
              </w:tc>
              <w:tc>
                <w:tcPr>
                  <w:tcW w:w="1512" w:type="dxa"/>
                  <w:tcBorders>
                    <w:tl2br w:val="nil"/>
                    <w:tr2bl w:val="nil"/>
                  </w:tcBorders>
                  <w:vAlign w:val="center"/>
                </w:tcPr>
                <w:p w14:paraId="09F15D36">
                  <w:pPr>
                    <w:widowControl/>
                    <w:jc w:val="center"/>
                    <w:rPr>
                      <w:color w:val="FF0000"/>
                      <w:szCs w:val="21"/>
                      <w:highlight w:val="none"/>
                    </w:rPr>
                  </w:pPr>
                  <w:r>
                    <w:rPr>
                      <w:rFonts w:hint="eastAsia"/>
                      <w:color w:val="FF0000"/>
                      <w:szCs w:val="21"/>
                      <w:highlight w:val="none"/>
                    </w:rPr>
                    <w:t>1.5</w:t>
                  </w:r>
                </w:p>
              </w:tc>
            </w:tr>
            <w:tr w14:paraId="5C7BFE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6434" w:type="dxa"/>
                  <w:gridSpan w:val="4"/>
                  <w:tcBorders>
                    <w:tl2br w:val="nil"/>
                    <w:tr2bl w:val="nil"/>
                  </w:tcBorders>
                  <w:vAlign w:val="center"/>
                </w:tcPr>
                <w:p w14:paraId="3ED0EAE5">
                  <w:pPr>
                    <w:widowControl/>
                    <w:jc w:val="center"/>
                    <w:rPr>
                      <w:color w:val="FF0000"/>
                      <w:szCs w:val="21"/>
                      <w:highlight w:val="none"/>
                    </w:rPr>
                  </w:pPr>
                  <w:r>
                    <w:rPr>
                      <w:rFonts w:hint="eastAsia"/>
                      <w:color w:val="FF0000"/>
                      <w:szCs w:val="21"/>
                      <w:highlight w:val="none"/>
                    </w:rPr>
                    <w:t>环保投资合计</w:t>
                  </w:r>
                </w:p>
              </w:tc>
              <w:tc>
                <w:tcPr>
                  <w:tcW w:w="1512" w:type="dxa"/>
                  <w:tcBorders>
                    <w:tl2br w:val="nil"/>
                    <w:tr2bl w:val="nil"/>
                  </w:tcBorders>
                  <w:vAlign w:val="center"/>
                </w:tcPr>
                <w:p w14:paraId="03EEB3CF">
                  <w:pPr>
                    <w:widowControl/>
                    <w:jc w:val="center"/>
                    <w:rPr>
                      <w:rFonts w:hint="default" w:eastAsia="宋体"/>
                      <w:color w:val="FF0000"/>
                      <w:szCs w:val="21"/>
                      <w:highlight w:val="none"/>
                      <w:lang w:val="en-US" w:eastAsia="zh-CN"/>
                    </w:rPr>
                  </w:pPr>
                  <w:r>
                    <w:rPr>
                      <w:rFonts w:hint="eastAsia"/>
                      <w:color w:val="FF0000"/>
                      <w:szCs w:val="21"/>
                      <w:highlight w:val="none"/>
                      <w:lang w:val="en-US" w:eastAsia="zh-CN"/>
                    </w:rPr>
                    <w:t>31.1</w:t>
                  </w:r>
                </w:p>
              </w:tc>
            </w:tr>
          </w:tbl>
          <w:p w14:paraId="2D728F99">
            <w:pPr>
              <w:pStyle w:val="13"/>
              <w:rPr>
                <w:color w:val="auto"/>
                <w:highlight w:val="none"/>
              </w:rPr>
            </w:pPr>
          </w:p>
        </w:tc>
      </w:tr>
    </w:tbl>
    <w:p w14:paraId="4041F3B1">
      <w:pPr>
        <w:adjustRightInd w:val="0"/>
        <w:snapToGrid w:val="0"/>
        <w:spacing w:line="360" w:lineRule="auto"/>
        <w:rPr>
          <w:rFonts w:ascii="宋体" w:cs="宋体"/>
          <w:b/>
          <w:color w:val="000000" w:themeColor="text1"/>
          <w:kern w:val="0"/>
          <w:sz w:val="28"/>
          <w:szCs w:val="28"/>
          <w:highlight w:val="none"/>
          <w14:textFill>
            <w14:solidFill>
              <w14:schemeClr w14:val="tx1"/>
            </w14:solidFill>
          </w14:textFill>
        </w:rPr>
        <w:sectPr>
          <w:pgSz w:w="11907" w:h="16840"/>
          <w:pgMar w:top="1701" w:right="1531" w:bottom="2127" w:left="1531" w:header="851" w:footer="851" w:gutter="0"/>
          <w:pgNumType w:fmt="decimal"/>
          <w:cols w:space="720" w:num="1"/>
          <w:docGrid w:linePitch="312" w:charSpace="0"/>
        </w:sectPr>
      </w:pPr>
    </w:p>
    <w:p w14:paraId="3B3AF57F">
      <w:pPr>
        <w:pStyle w:val="16"/>
        <w:jc w:val="center"/>
        <w:outlineLvl w:val="0"/>
        <w:rPr>
          <w:rFonts w:ascii="黑体" w:hAnsi="黑体" w:eastAsia="黑体"/>
          <w:snapToGrid w:val="0"/>
          <w:color w:val="000000" w:themeColor="text1"/>
          <w:sz w:val="30"/>
          <w:szCs w:val="30"/>
          <w:highlight w:val="none"/>
          <w14:textFill>
            <w14:solidFill>
              <w14:schemeClr w14:val="tx1"/>
            </w14:solidFill>
          </w14:textFill>
        </w:rPr>
      </w:pPr>
      <w:r>
        <w:rPr>
          <w:rFonts w:hint="eastAsia" w:ascii="黑体" w:hAnsi="黑体" w:eastAsia="黑体"/>
          <w:snapToGrid w:val="0"/>
          <w:color w:val="000000" w:themeColor="text1"/>
          <w:sz w:val="30"/>
          <w:szCs w:val="30"/>
          <w:highlight w:val="none"/>
          <w14:textFill>
            <w14:solidFill>
              <w14:schemeClr w14:val="tx1"/>
            </w14:solidFill>
          </w14:textFill>
        </w:rPr>
        <w:t>五、</w:t>
      </w:r>
      <w:bookmarkStart w:id="6" w:name="_Hlk54167917"/>
      <w:r>
        <w:rPr>
          <w:rFonts w:hint="eastAsia" w:ascii="黑体" w:hAnsi="黑体" w:eastAsia="黑体"/>
          <w:snapToGrid w:val="0"/>
          <w:color w:val="000000" w:themeColor="text1"/>
          <w:sz w:val="30"/>
          <w:szCs w:val="30"/>
          <w:highlight w:val="none"/>
          <w14:textFill>
            <w14:solidFill>
              <w14:schemeClr w14:val="tx1"/>
            </w14:solidFill>
          </w14:textFill>
        </w:rPr>
        <w:t>环境保护措施监督检查清单</w:t>
      </w:r>
      <w:bookmarkEnd w:id="6"/>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64"/>
        <w:gridCol w:w="1911"/>
        <w:gridCol w:w="1037"/>
        <w:gridCol w:w="3118"/>
        <w:gridCol w:w="1770"/>
      </w:tblGrid>
      <w:tr w14:paraId="78CBCCD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64" w:type="dxa"/>
            <w:tcBorders>
              <w:tl2br w:val="single" w:color="auto" w:sz="4" w:space="0"/>
            </w:tcBorders>
          </w:tcPr>
          <w:p w14:paraId="55999179">
            <w:pPr>
              <w:adjustRightInd w:val="0"/>
              <w:snapToGrid w:val="0"/>
              <w:ind w:firstLine="240" w:firstLineChars="10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内容</w:t>
            </w:r>
          </w:p>
          <w:p w14:paraId="63E72661">
            <w:pPr>
              <w:adjustRightInd w:val="0"/>
              <w:snapToGrid w:val="0"/>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要素</w:t>
            </w:r>
          </w:p>
        </w:tc>
        <w:tc>
          <w:tcPr>
            <w:tcW w:w="1911" w:type="dxa"/>
            <w:vAlign w:val="center"/>
          </w:tcPr>
          <w:p w14:paraId="2CA73FC9">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排放口(编号名称)/污染源</w:t>
            </w:r>
          </w:p>
        </w:tc>
        <w:tc>
          <w:tcPr>
            <w:tcW w:w="1037" w:type="dxa"/>
            <w:vAlign w:val="center"/>
          </w:tcPr>
          <w:p w14:paraId="4AD1B81D">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污染物项目</w:t>
            </w:r>
          </w:p>
        </w:tc>
        <w:tc>
          <w:tcPr>
            <w:tcW w:w="3118" w:type="dxa"/>
            <w:vAlign w:val="center"/>
          </w:tcPr>
          <w:p w14:paraId="45346278">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环境保护措施</w:t>
            </w:r>
          </w:p>
        </w:tc>
        <w:tc>
          <w:tcPr>
            <w:tcW w:w="1770" w:type="dxa"/>
            <w:vAlign w:val="center"/>
          </w:tcPr>
          <w:p w14:paraId="5E8B067C">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执行标准</w:t>
            </w:r>
          </w:p>
        </w:tc>
      </w:tr>
      <w:tr w14:paraId="3238F1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65" w:hRule="atLeast"/>
          <w:jc w:val="center"/>
        </w:trPr>
        <w:tc>
          <w:tcPr>
            <w:tcW w:w="964" w:type="dxa"/>
            <w:vMerge w:val="restart"/>
            <w:vAlign w:val="center"/>
          </w:tcPr>
          <w:p w14:paraId="3B2C0B62">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大气</w:t>
            </w:r>
          </w:p>
          <w:p w14:paraId="56BA1D1C">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环境</w:t>
            </w:r>
          </w:p>
        </w:tc>
        <w:tc>
          <w:tcPr>
            <w:tcW w:w="1911" w:type="dxa"/>
            <w:vAlign w:val="center"/>
          </w:tcPr>
          <w:p w14:paraId="6D55BDF7">
            <w:pPr>
              <w:widowControl/>
              <w:jc w:val="center"/>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DA001</w:t>
            </w:r>
          </w:p>
        </w:tc>
        <w:tc>
          <w:tcPr>
            <w:tcW w:w="1037" w:type="dxa"/>
            <w:vAlign w:val="center"/>
          </w:tcPr>
          <w:p w14:paraId="5EC2EC37">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颗粒物</w:t>
            </w:r>
          </w:p>
        </w:tc>
        <w:tc>
          <w:tcPr>
            <w:tcW w:w="3118" w:type="dxa"/>
            <w:vAlign w:val="center"/>
          </w:tcPr>
          <w:p w14:paraId="593CF828">
            <w:pPr>
              <w:widowControl/>
              <w:jc w:val="center"/>
              <w:rPr>
                <w:color w:val="000000" w:themeColor="text1"/>
                <w:sz w:val="24"/>
                <w:highlight w:val="none"/>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集气罩收集、袋式</w:t>
            </w:r>
            <w:r>
              <w:rPr>
                <w:color w:val="000000" w:themeColor="text1"/>
                <w:kern w:val="0"/>
                <w:sz w:val="24"/>
                <w:highlight w:val="none"/>
                <w:lang w:bidi="ar"/>
                <w14:textFill>
                  <w14:solidFill>
                    <w14:schemeClr w14:val="tx1"/>
                  </w14:solidFill>
                </w14:textFill>
              </w:rPr>
              <w:t>除尘器处理后，经过1根15m高的排气筒（DA001）进行有组织排放</w:t>
            </w:r>
          </w:p>
        </w:tc>
        <w:tc>
          <w:tcPr>
            <w:tcW w:w="1770" w:type="dxa"/>
            <w:vMerge w:val="restart"/>
            <w:vAlign w:val="center"/>
          </w:tcPr>
          <w:p w14:paraId="1F024C49">
            <w:pPr>
              <w:widowControl/>
              <w:jc w:val="center"/>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《大气污染物综合排放标准》（GB16297-1996）表2新污染源大气污染物排放限值</w:t>
            </w:r>
          </w:p>
        </w:tc>
      </w:tr>
      <w:tr w14:paraId="154D1EE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64" w:type="dxa"/>
            <w:vMerge w:val="continue"/>
            <w:vAlign w:val="center"/>
          </w:tcPr>
          <w:p w14:paraId="0AA91D25">
            <w:pPr>
              <w:adjustRightInd w:val="0"/>
              <w:snapToGrid w:val="0"/>
              <w:jc w:val="center"/>
              <w:rPr>
                <w:color w:val="000000" w:themeColor="text1"/>
                <w:sz w:val="24"/>
                <w:highlight w:val="none"/>
                <w14:textFill>
                  <w14:solidFill>
                    <w14:schemeClr w14:val="tx1"/>
                  </w14:solidFill>
                </w14:textFill>
              </w:rPr>
            </w:pPr>
          </w:p>
        </w:tc>
        <w:tc>
          <w:tcPr>
            <w:tcW w:w="1911" w:type="dxa"/>
            <w:vAlign w:val="center"/>
          </w:tcPr>
          <w:p w14:paraId="7B3F1753">
            <w:pPr>
              <w:widowControl/>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无组织</w:t>
            </w:r>
          </w:p>
        </w:tc>
        <w:tc>
          <w:tcPr>
            <w:tcW w:w="1037" w:type="dxa"/>
            <w:vAlign w:val="center"/>
          </w:tcPr>
          <w:p w14:paraId="309781CB">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颗粒物</w:t>
            </w:r>
          </w:p>
        </w:tc>
        <w:tc>
          <w:tcPr>
            <w:tcW w:w="3118" w:type="dxa"/>
            <w:vAlign w:val="center"/>
          </w:tcPr>
          <w:p w14:paraId="3811113B">
            <w:pPr>
              <w:widowControl/>
              <w:jc w:val="center"/>
              <w:rPr>
                <w:color w:val="000000" w:themeColor="text1"/>
                <w:sz w:val="24"/>
                <w:highlight w:val="none"/>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出入口设置清洗平台</w:t>
            </w:r>
            <w:r>
              <w:rPr>
                <w:rFonts w:hint="eastAsia"/>
                <w:color w:val="000000" w:themeColor="text1"/>
                <w:kern w:val="0"/>
                <w:sz w:val="24"/>
                <w:highlight w:val="none"/>
                <w:lang w:eastAsia="zh-CN" w:bidi="ar"/>
                <w14:textFill>
                  <w14:solidFill>
                    <w14:schemeClr w14:val="tx1"/>
                  </w14:solidFill>
                </w14:textFill>
              </w:rPr>
              <w:t>，</w:t>
            </w:r>
            <w:r>
              <w:rPr>
                <w:rFonts w:hint="eastAsia"/>
                <w:color w:val="auto"/>
                <w:kern w:val="0"/>
                <w:sz w:val="24"/>
                <w:highlight w:val="none"/>
                <w:lang w:bidi="ar"/>
              </w:rPr>
              <w:t>原料区为</w:t>
            </w:r>
            <w:r>
              <w:rPr>
                <w:rFonts w:hint="eastAsia"/>
                <w:color w:val="auto"/>
                <w:kern w:val="0"/>
                <w:sz w:val="24"/>
                <w:highlight w:val="none"/>
                <w:lang w:val="en-US" w:eastAsia="zh-CN" w:bidi="ar"/>
              </w:rPr>
              <w:t>半</w:t>
            </w:r>
            <w:r>
              <w:rPr>
                <w:rFonts w:hint="eastAsia"/>
                <w:color w:val="auto"/>
                <w:kern w:val="0"/>
                <w:sz w:val="24"/>
                <w:highlight w:val="none"/>
                <w:lang w:bidi="ar"/>
              </w:rPr>
              <w:t>敞开式，</w:t>
            </w:r>
            <w:r>
              <w:rPr>
                <w:color w:val="auto"/>
                <w:sz w:val="24"/>
                <w:highlight w:val="none"/>
              </w:rPr>
              <w:t>通过</w:t>
            </w:r>
            <w:r>
              <w:rPr>
                <w:rFonts w:hint="eastAsia"/>
                <w:color w:val="auto"/>
                <w:sz w:val="24"/>
                <w:highlight w:val="none"/>
                <w:lang w:val="en-US" w:eastAsia="zh-CN"/>
              </w:rPr>
              <w:t>设置顶棚、四周设置5m高围挡、围挡与顶棚连接采取防尘网、</w:t>
            </w:r>
            <w:r>
              <w:rPr>
                <w:color w:val="auto"/>
                <w:sz w:val="24"/>
                <w:highlight w:val="none"/>
              </w:rPr>
              <w:t>加强管理</w:t>
            </w:r>
            <w:r>
              <w:rPr>
                <w:rFonts w:hint="eastAsia"/>
                <w:color w:val="auto"/>
                <w:sz w:val="24"/>
                <w:highlight w:val="none"/>
                <w:lang w:val="en-US" w:eastAsia="zh-CN"/>
              </w:rPr>
              <w:t>等措施，</w:t>
            </w:r>
            <w:r>
              <w:rPr>
                <w:rFonts w:hint="eastAsia"/>
                <w:color w:val="000000" w:themeColor="text1"/>
                <w:kern w:val="0"/>
                <w:sz w:val="24"/>
                <w:highlight w:val="none"/>
                <w:lang w:bidi="ar"/>
                <w14:textFill>
                  <w14:solidFill>
                    <w14:schemeClr w14:val="tx1"/>
                  </w14:solidFill>
                </w14:textFill>
              </w:rPr>
              <w:t>生产车间、传送带、成品库</w:t>
            </w:r>
            <w:r>
              <w:rPr>
                <w:rFonts w:hint="eastAsia" w:cs="Times New Roman"/>
                <w:color w:val="auto"/>
                <w:kern w:val="0"/>
                <w:sz w:val="24"/>
                <w:szCs w:val="24"/>
                <w:highlight w:val="none"/>
                <w:lang w:val="en-US" w:eastAsia="zh-CN" w:bidi="ar"/>
              </w:rPr>
              <w:t>全封闭</w:t>
            </w:r>
            <w:r>
              <w:rPr>
                <w:rFonts w:hint="eastAsia"/>
                <w:color w:val="000000" w:themeColor="text1"/>
                <w:kern w:val="0"/>
                <w:sz w:val="24"/>
                <w:highlight w:val="none"/>
                <w:lang w:bidi="ar"/>
                <w14:textFill>
                  <w14:solidFill>
                    <w14:schemeClr w14:val="tx1"/>
                  </w14:solidFill>
                </w14:textFill>
              </w:rPr>
              <w:t>，定期洒水抑尘</w:t>
            </w:r>
            <w:r>
              <w:rPr>
                <w:rFonts w:hint="eastAsia"/>
                <w:color w:val="000000" w:themeColor="text1"/>
                <w:kern w:val="0"/>
                <w:sz w:val="24"/>
                <w:highlight w:val="none"/>
                <w:lang w:eastAsia="zh-CN" w:bidi="ar"/>
                <w14:textFill>
                  <w14:solidFill>
                    <w14:schemeClr w14:val="tx1"/>
                  </w14:solidFill>
                </w14:textFill>
              </w:rPr>
              <w:t>，</w:t>
            </w:r>
            <w:r>
              <w:rPr>
                <w:color w:val="000000" w:themeColor="text1"/>
                <w:kern w:val="0"/>
                <w:sz w:val="24"/>
                <w:highlight w:val="none"/>
                <w:lang w:bidi="ar"/>
                <w14:textFill>
                  <w14:solidFill>
                    <w14:schemeClr w14:val="tx1"/>
                  </w14:solidFill>
                </w14:textFill>
              </w:rPr>
              <w:t>运输产品及原料的车辆加盖苫布，厂区内地面进行硬化</w:t>
            </w:r>
          </w:p>
        </w:tc>
        <w:tc>
          <w:tcPr>
            <w:tcW w:w="1770" w:type="dxa"/>
            <w:vMerge w:val="continue"/>
            <w:vAlign w:val="center"/>
          </w:tcPr>
          <w:p w14:paraId="342AB8A0">
            <w:pPr>
              <w:adjustRightInd w:val="0"/>
              <w:snapToGrid w:val="0"/>
              <w:jc w:val="center"/>
              <w:rPr>
                <w:color w:val="000000" w:themeColor="text1"/>
                <w:sz w:val="24"/>
                <w:highlight w:val="none"/>
                <w14:textFill>
                  <w14:solidFill>
                    <w14:schemeClr w14:val="tx1"/>
                  </w14:solidFill>
                </w14:textFill>
              </w:rPr>
            </w:pPr>
          </w:p>
        </w:tc>
      </w:tr>
      <w:tr w14:paraId="05CFDA9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964" w:type="dxa"/>
            <w:vAlign w:val="center"/>
          </w:tcPr>
          <w:p w14:paraId="7B06DEDE">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地表水环境</w:t>
            </w:r>
          </w:p>
        </w:tc>
        <w:tc>
          <w:tcPr>
            <w:tcW w:w="1911" w:type="dxa"/>
            <w:vAlign w:val="center"/>
          </w:tcPr>
          <w:p w14:paraId="5902870E">
            <w:pPr>
              <w:adjustRightInd w:val="0"/>
              <w:snapToGrid w:val="0"/>
              <w:jc w:val="center"/>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运输车辆清洗废水</w:t>
            </w:r>
          </w:p>
        </w:tc>
        <w:tc>
          <w:tcPr>
            <w:tcW w:w="1037" w:type="dxa"/>
            <w:vAlign w:val="center"/>
          </w:tcPr>
          <w:p w14:paraId="55461596">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SS</w:t>
            </w:r>
            <w:r>
              <w:rPr>
                <w:rFonts w:hint="eastAsia"/>
                <w:color w:val="000000" w:themeColor="text1"/>
                <w:sz w:val="24"/>
                <w:highlight w:val="none"/>
                <w14:textFill>
                  <w14:solidFill>
                    <w14:schemeClr w14:val="tx1"/>
                  </w14:solidFill>
                </w14:textFill>
              </w:rPr>
              <w:t>、石油类</w:t>
            </w:r>
          </w:p>
        </w:tc>
        <w:tc>
          <w:tcPr>
            <w:tcW w:w="3118" w:type="dxa"/>
            <w:vAlign w:val="center"/>
          </w:tcPr>
          <w:p w14:paraId="4D55C723">
            <w:pPr>
              <w:adjustRightInd w:val="0"/>
              <w:snapToGrid w:val="0"/>
              <w:jc w:val="center"/>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沉淀池循环使用</w:t>
            </w:r>
          </w:p>
        </w:tc>
        <w:tc>
          <w:tcPr>
            <w:tcW w:w="1770" w:type="dxa"/>
            <w:vAlign w:val="center"/>
          </w:tcPr>
          <w:p w14:paraId="78C4B91A">
            <w:pPr>
              <w:adjustRightInd w:val="0"/>
              <w:snapToGrid w:val="0"/>
              <w:jc w:val="center"/>
              <w:rPr>
                <w:color w:val="000000" w:themeColor="text1"/>
                <w:sz w:val="24"/>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不外排</w:t>
            </w:r>
          </w:p>
        </w:tc>
      </w:tr>
      <w:tr w14:paraId="42FA372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64" w:type="dxa"/>
            <w:vAlign w:val="center"/>
          </w:tcPr>
          <w:p w14:paraId="715AED2B">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声环境</w:t>
            </w:r>
          </w:p>
        </w:tc>
        <w:tc>
          <w:tcPr>
            <w:tcW w:w="1911" w:type="dxa"/>
            <w:vAlign w:val="center"/>
          </w:tcPr>
          <w:p w14:paraId="79E43CCA">
            <w:pPr>
              <w:widowControl/>
              <w:jc w:val="center"/>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各类生产设备</w:t>
            </w:r>
            <w:r>
              <w:rPr>
                <w:rFonts w:hint="eastAsia"/>
                <w:color w:val="000000" w:themeColor="text1"/>
                <w:kern w:val="0"/>
                <w:sz w:val="24"/>
                <w:highlight w:val="none"/>
                <w:lang w:bidi="ar"/>
                <w14:textFill>
                  <w14:solidFill>
                    <w14:schemeClr w14:val="tx1"/>
                  </w14:solidFill>
                </w14:textFill>
              </w:rPr>
              <w:t>、</w:t>
            </w:r>
            <w:r>
              <w:rPr>
                <w:color w:val="000000" w:themeColor="text1"/>
                <w:kern w:val="0"/>
                <w:sz w:val="24"/>
                <w:highlight w:val="none"/>
                <w:lang w:bidi="ar"/>
                <w14:textFill>
                  <w14:solidFill>
                    <w14:schemeClr w14:val="tx1"/>
                  </w14:solidFill>
                </w14:textFill>
              </w:rPr>
              <w:t>风机等</w:t>
            </w:r>
          </w:p>
        </w:tc>
        <w:tc>
          <w:tcPr>
            <w:tcW w:w="1037" w:type="dxa"/>
            <w:vAlign w:val="center"/>
          </w:tcPr>
          <w:p w14:paraId="5DD6104D">
            <w:pPr>
              <w:widowControl/>
              <w:jc w:val="center"/>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Leq（A）</w:t>
            </w:r>
          </w:p>
        </w:tc>
        <w:tc>
          <w:tcPr>
            <w:tcW w:w="3118" w:type="dxa"/>
            <w:vAlign w:val="center"/>
          </w:tcPr>
          <w:p w14:paraId="7967CB17">
            <w:pPr>
              <w:widowControl/>
              <w:jc w:val="center"/>
              <w:rPr>
                <w:color w:val="000000" w:themeColor="text1"/>
                <w:sz w:val="24"/>
                <w:highlight w:val="none"/>
                <w14:textFill>
                  <w14:solidFill>
                    <w14:schemeClr w14:val="tx1"/>
                  </w14:solidFill>
                </w14:textFill>
              </w:rPr>
            </w:pPr>
            <w:r>
              <w:rPr>
                <w:rFonts w:hint="eastAsia"/>
                <w:color w:val="000000" w:themeColor="text1"/>
                <w:kern w:val="0"/>
                <w:sz w:val="24"/>
                <w:highlight w:val="none"/>
                <w:lang w:bidi="ar"/>
                <w14:textFill>
                  <w14:solidFill>
                    <w14:schemeClr w14:val="tx1"/>
                  </w14:solidFill>
                </w14:textFill>
              </w:rPr>
              <w:t>选用低噪声设备、建筑隔声、合理布局、基础减振、车辆限速限制鸣笛</w:t>
            </w:r>
          </w:p>
        </w:tc>
        <w:tc>
          <w:tcPr>
            <w:tcW w:w="1770" w:type="dxa"/>
            <w:vAlign w:val="center"/>
          </w:tcPr>
          <w:p w14:paraId="248E5BBE">
            <w:pPr>
              <w:widowControl/>
              <w:jc w:val="center"/>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《工业企业厂界环境噪声排放标准》（GB 12348-2008）</w:t>
            </w:r>
            <w:r>
              <w:rPr>
                <w:rFonts w:hint="eastAsia"/>
                <w:color w:val="000000" w:themeColor="text1"/>
                <w:kern w:val="0"/>
                <w:sz w:val="24"/>
                <w:highlight w:val="none"/>
                <w:lang w:val="en-US" w:eastAsia="zh-CN" w:bidi="ar"/>
                <w14:textFill>
                  <w14:solidFill>
                    <w14:schemeClr w14:val="tx1"/>
                  </w14:solidFill>
                </w14:textFill>
              </w:rPr>
              <w:t>2</w:t>
            </w:r>
            <w:r>
              <w:rPr>
                <w:color w:val="000000" w:themeColor="text1"/>
                <w:kern w:val="0"/>
                <w:sz w:val="24"/>
                <w:highlight w:val="none"/>
                <w:lang w:bidi="ar"/>
                <w14:textFill>
                  <w14:solidFill>
                    <w14:schemeClr w14:val="tx1"/>
                  </w14:solidFill>
                </w14:textFill>
              </w:rPr>
              <w:t>类</w:t>
            </w:r>
          </w:p>
        </w:tc>
      </w:tr>
      <w:tr w14:paraId="31A476C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964" w:type="dxa"/>
            <w:vAlign w:val="center"/>
          </w:tcPr>
          <w:p w14:paraId="7C7268FD">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电磁辐射</w:t>
            </w:r>
          </w:p>
        </w:tc>
        <w:tc>
          <w:tcPr>
            <w:tcW w:w="1911" w:type="dxa"/>
            <w:vAlign w:val="center"/>
          </w:tcPr>
          <w:p w14:paraId="4EAB4229">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w:t>
            </w:r>
          </w:p>
        </w:tc>
        <w:tc>
          <w:tcPr>
            <w:tcW w:w="1037" w:type="dxa"/>
            <w:vAlign w:val="center"/>
          </w:tcPr>
          <w:p w14:paraId="4F25E12F">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w:t>
            </w:r>
          </w:p>
        </w:tc>
        <w:tc>
          <w:tcPr>
            <w:tcW w:w="3118" w:type="dxa"/>
            <w:vAlign w:val="center"/>
          </w:tcPr>
          <w:p w14:paraId="7D77E0B0">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w:t>
            </w:r>
          </w:p>
        </w:tc>
        <w:tc>
          <w:tcPr>
            <w:tcW w:w="1770" w:type="dxa"/>
            <w:vAlign w:val="center"/>
          </w:tcPr>
          <w:p w14:paraId="3F792015">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w:t>
            </w:r>
          </w:p>
        </w:tc>
      </w:tr>
      <w:tr w14:paraId="587A32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64" w:type="dxa"/>
            <w:vAlign w:val="center"/>
          </w:tcPr>
          <w:p w14:paraId="41AEFE1A">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固体废物</w:t>
            </w:r>
          </w:p>
        </w:tc>
        <w:tc>
          <w:tcPr>
            <w:tcW w:w="7836" w:type="dxa"/>
            <w:gridSpan w:val="4"/>
            <w:vAlign w:val="center"/>
          </w:tcPr>
          <w:p w14:paraId="4B9F3D9F">
            <w:pPr>
              <w:pStyle w:val="23"/>
              <w:ind w:left="0" w:leftChars="0"/>
              <w:jc w:val="both"/>
              <w:rPr>
                <w:color w:val="000000" w:themeColor="text1"/>
                <w:sz w:val="24"/>
                <w:highlight w:val="none"/>
                <w14:textFill>
                  <w14:solidFill>
                    <w14:schemeClr w14:val="tx1"/>
                  </w14:solidFill>
                </w14:textFill>
              </w:rPr>
            </w:pP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本项目固废均得到合理处置：除尘灰、地面沉积灰</w:t>
            </w:r>
            <w:r>
              <w:rPr>
                <w:rFonts w:hint="eastAsia" w:ascii="Times New Roman" w:hAnsi="Times New Roman" w:cs="Times New Roman"/>
                <w:color w:val="000000" w:themeColor="text1"/>
                <w:kern w:val="0"/>
                <w:sz w:val="24"/>
                <w:szCs w:val="24"/>
                <w:highlight w:val="none"/>
                <w:lang w:val="en-US" w:eastAsia="zh-CN" w:bidi="ar"/>
                <w14:textFill>
                  <w14:solidFill>
                    <w14:schemeClr w14:val="tx1"/>
                  </w14:solidFill>
                </w14:textFill>
              </w:rPr>
              <w:t>、</w:t>
            </w:r>
            <w:r>
              <w:rPr>
                <w:rFonts w:hint="eastAsia" w:ascii="Times New Roman" w:hAnsi="Times New Roman" w:cs="Times New Roman"/>
                <w:color w:val="FF0000"/>
                <w:kern w:val="0"/>
                <w:sz w:val="24"/>
                <w:szCs w:val="24"/>
                <w:highlight w:val="none"/>
                <w:lang w:val="en-US" w:eastAsia="zh-CN" w:bidi="ar"/>
              </w:rPr>
              <w:t>沉淀池泥渣沥水后</w:t>
            </w:r>
            <w:r>
              <w:rPr>
                <w:rFonts w:hint="eastAsia" w:ascii="Times New Roman" w:hAnsi="Times New Roman" w:eastAsia="宋体" w:cs="Times New Roman"/>
                <w:color w:val="000000" w:themeColor="text1"/>
                <w:kern w:val="0"/>
                <w:sz w:val="24"/>
                <w:szCs w:val="24"/>
                <w:highlight w:val="none"/>
                <w:lang w:val="en-US" w:eastAsia="zh-CN" w:bidi="ar"/>
                <w14:textFill>
                  <w14:solidFill>
                    <w14:schemeClr w14:val="tx1"/>
                  </w14:solidFill>
                </w14:textFill>
              </w:rPr>
              <w:t>统一收集到一般固废暂存区外售综合利用，废布袋由厂家定期更换回收；废润滑油、废油桶统一收集至危废贮存点，定期交由有资质单位处置；生活垃圾定期由环卫部门统一清运处理。</w:t>
            </w:r>
          </w:p>
        </w:tc>
      </w:tr>
      <w:tr w14:paraId="31073E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64" w:type="dxa"/>
            <w:vAlign w:val="center"/>
          </w:tcPr>
          <w:p w14:paraId="68CC0871">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土壤及地下水污染防治措施</w:t>
            </w:r>
          </w:p>
        </w:tc>
        <w:tc>
          <w:tcPr>
            <w:tcW w:w="7836" w:type="dxa"/>
            <w:gridSpan w:val="4"/>
            <w:vAlign w:val="center"/>
          </w:tcPr>
          <w:p w14:paraId="0FD3C6DD">
            <w:pPr>
              <w:widowControl/>
              <w:jc w:val="both"/>
              <w:rPr>
                <w:color w:val="000000" w:themeColor="text1"/>
                <w:sz w:val="24"/>
                <w:highlight w:val="none"/>
                <w14:textFill>
                  <w14:solidFill>
                    <w14:schemeClr w14:val="tx1"/>
                  </w14:solidFill>
                </w14:textFill>
              </w:rPr>
            </w:pPr>
            <w:r>
              <w:rPr>
                <w:rFonts w:hint="eastAsia"/>
                <w:color w:val="000000" w:themeColor="text1"/>
                <w:kern w:val="0"/>
                <w:sz w:val="24"/>
                <w:highlight w:val="none"/>
                <w:lang w:val="en-US" w:eastAsia="zh-CN" w:bidi="ar"/>
                <w14:textFill>
                  <w14:solidFill>
                    <w14:schemeClr w14:val="tx1"/>
                  </w14:solidFill>
                </w14:textFill>
              </w:rPr>
              <w:t>采取源头控制、</w:t>
            </w:r>
            <w:r>
              <w:rPr>
                <w:rFonts w:hint="eastAsia"/>
                <w:color w:val="000000" w:themeColor="text1"/>
                <w:kern w:val="0"/>
                <w:sz w:val="24"/>
                <w:highlight w:val="none"/>
                <w:lang w:bidi="ar"/>
                <w14:textFill>
                  <w14:solidFill>
                    <w14:schemeClr w14:val="tx1"/>
                  </w14:solidFill>
                </w14:textFill>
              </w:rPr>
              <w:t>分区防渗</w:t>
            </w:r>
            <w:r>
              <w:rPr>
                <w:rFonts w:hint="eastAsia"/>
                <w:color w:val="000000" w:themeColor="text1"/>
                <w:kern w:val="0"/>
                <w:sz w:val="24"/>
                <w:highlight w:val="none"/>
                <w:lang w:val="en-US" w:eastAsia="zh-CN" w:bidi="ar"/>
                <w14:textFill>
                  <w14:solidFill>
                    <w14:schemeClr w14:val="tx1"/>
                  </w14:solidFill>
                </w14:textFill>
              </w:rPr>
              <w:t>措施</w:t>
            </w:r>
            <w:r>
              <w:rPr>
                <w:rFonts w:hint="eastAsia"/>
                <w:color w:val="000000" w:themeColor="text1"/>
                <w:kern w:val="0"/>
                <w:sz w:val="24"/>
                <w:highlight w:val="none"/>
                <w:lang w:bidi="ar"/>
                <w14:textFill>
                  <w14:solidFill>
                    <w14:schemeClr w14:val="tx1"/>
                  </w14:solidFill>
                </w14:textFill>
              </w:rPr>
              <w:t>：危废贮存点</w:t>
            </w:r>
            <w:r>
              <w:rPr>
                <w:color w:val="000000" w:themeColor="text1"/>
                <w:kern w:val="0"/>
                <w:sz w:val="24"/>
                <w:highlight w:val="none"/>
                <w:lang w:bidi="ar"/>
                <w14:textFill>
                  <w14:solidFill>
                    <w14:schemeClr w14:val="tx1"/>
                  </w14:solidFill>
                </w14:textFill>
              </w:rPr>
              <w:t>实行重点防渗；生产车间、原料区、成品库实行一般防渗</w:t>
            </w:r>
            <w:r>
              <w:rPr>
                <w:rFonts w:hint="eastAsia"/>
                <w:color w:val="000000" w:themeColor="text1"/>
                <w:kern w:val="0"/>
                <w:sz w:val="24"/>
                <w:highlight w:val="none"/>
                <w:lang w:bidi="ar"/>
                <w14:textFill>
                  <w14:solidFill>
                    <w14:schemeClr w14:val="tx1"/>
                  </w14:solidFill>
                </w14:textFill>
              </w:rPr>
              <w:t>。</w:t>
            </w:r>
          </w:p>
        </w:tc>
      </w:tr>
      <w:tr w14:paraId="6044C80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79" w:hRule="atLeast"/>
          <w:jc w:val="center"/>
        </w:trPr>
        <w:tc>
          <w:tcPr>
            <w:tcW w:w="964" w:type="dxa"/>
            <w:vAlign w:val="center"/>
          </w:tcPr>
          <w:p w14:paraId="3EAFC8ED">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生态保护措施</w:t>
            </w:r>
          </w:p>
        </w:tc>
        <w:tc>
          <w:tcPr>
            <w:tcW w:w="7836" w:type="dxa"/>
            <w:gridSpan w:val="4"/>
            <w:vAlign w:val="center"/>
          </w:tcPr>
          <w:p w14:paraId="67CC2A09">
            <w:pPr>
              <w:adjustRightInd w:val="0"/>
              <w:snapToGrid w:val="0"/>
              <w:jc w:val="cente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w:t>
            </w:r>
          </w:p>
        </w:tc>
      </w:tr>
      <w:tr w14:paraId="26B6055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76" w:hRule="atLeast"/>
          <w:jc w:val="center"/>
        </w:trPr>
        <w:tc>
          <w:tcPr>
            <w:tcW w:w="964" w:type="dxa"/>
            <w:vAlign w:val="center"/>
          </w:tcPr>
          <w:p w14:paraId="22DCA976">
            <w:pPr>
              <w:adjustRightInd w:val="0"/>
              <w:snapToGrid w:val="0"/>
              <w:jc w:val="center"/>
              <w:rPr>
                <w:color w:val="000000" w:themeColor="text1"/>
                <w:spacing w:val="-8"/>
                <w:sz w:val="24"/>
                <w:highlight w:val="none"/>
                <w14:textFill>
                  <w14:solidFill>
                    <w14:schemeClr w14:val="tx1"/>
                  </w14:solidFill>
                </w14:textFill>
              </w:rPr>
            </w:pPr>
            <w:r>
              <w:rPr>
                <w:color w:val="000000" w:themeColor="text1"/>
                <w:spacing w:val="-8"/>
                <w:sz w:val="24"/>
                <w:highlight w:val="none"/>
                <w14:textFill>
                  <w14:solidFill>
                    <w14:schemeClr w14:val="tx1"/>
                  </w14:solidFill>
                </w14:textFill>
              </w:rPr>
              <w:t>环境</w:t>
            </w:r>
          </w:p>
          <w:p w14:paraId="5DFC4AC6">
            <w:pPr>
              <w:adjustRightInd w:val="0"/>
              <w:snapToGrid w:val="0"/>
              <w:jc w:val="center"/>
              <w:rPr>
                <w:color w:val="000000" w:themeColor="text1"/>
                <w:spacing w:val="-8"/>
                <w:sz w:val="24"/>
                <w:highlight w:val="none"/>
                <w14:textFill>
                  <w14:solidFill>
                    <w14:schemeClr w14:val="tx1"/>
                  </w14:solidFill>
                </w14:textFill>
              </w:rPr>
            </w:pPr>
            <w:r>
              <w:rPr>
                <w:color w:val="000000" w:themeColor="text1"/>
                <w:spacing w:val="-8"/>
                <w:sz w:val="24"/>
                <w:highlight w:val="none"/>
                <w14:textFill>
                  <w14:solidFill>
                    <w14:schemeClr w14:val="tx1"/>
                  </w14:solidFill>
                </w14:textFill>
              </w:rPr>
              <w:t>风险</w:t>
            </w:r>
          </w:p>
          <w:p w14:paraId="482FDB24">
            <w:pPr>
              <w:adjustRightInd w:val="0"/>
              <w:snapToGrid w:val="0"/>
              <w:jc w:val="center"/>
              <w:rPr>
                <w:color w:val="000000" w:themeColor="text1"/>
                <w:spacing w:val="-8"/>
                <w:sz w:val="24"/>
                <w:highlight w:val="none"/>
                <w14:textFill>
                  <w14:solidFill>
                    <w14:schemeClr w14:val="tx1"/>
                  </w14:solidFill>
                </w14:textFill>
              </w:rPr>
            </w:pPr>
            <w:r>
              <w:rPr>
                <w:color w:val="000000" w:themeColor="text1"/>
                <w:spacing w:val="-8"/>
                <w:sz w:val="24"/>
                <w:highlight w:val="none"/>
                <w14:textFill>
                  <w14:solidFill>
                    <w14:schemeClr w14:val="tx1"/>
                  </w14:solidFill>
                </w14:textFill>
              </w:rPr>
              <w:t>防范</w:t>
            </w:r>
          </w:p>
          <w:p w14:paraId="519CEA65">
            <w:pPr>
              <w:adjustRightInd w:val="0"/>
              <w:snapToGrid w:val="0"/>
              <w:jc w:val="center"/>
              <w:rPr>
                <w:color w:val="000000" w:themeColor="text1"/>
                <w:spacing w:val="-8"/>
                <w:sz w:val="24"/>
                <w:highlight w:val="none"/>
                <w14:textFill>
                  <w14:solidFill>
                    <w14:schemeClr w14:val="tx1"/>
                  </w14:solidFill>
                </w14:textFill>
              </w:rPr>
            </w:pPr>
            <w:r>
              <w:rPr>
                <w:color w:val="000000" w:themeColor="text1"/>
                <w:spacing w:val="-8"/>
                <w:sz w:val="24"/>
                <w:highlight w:val="none"/>
                <w14:textFill>
                  <w14:solidFill>
                    <w14:schemeClr w14:val="tx1"/>
                  </w14:solidFill>
                </w14:textFill>
              </w:rPr>
              <w:t>措施</w:t>
            </w:r>
          </w:p>
        </w:tc>
        <w:tc>
          <w:tcPr>
            <w:tcW w:w="7836" w:type="dxa"/>
            <w:gridSpan w:val="4"/>
            <w:vAlign w:val="center"/>
          </w:tcPr>
          <w:p w14:paraId="23FC4A06">
            <w:pPr>
              <w:widowControl/>
              <w:jc w:val="left"/>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1）风险防范措施</w:t>
            </w:r>
          </w:p>
          <w:p w14:paraId="4B1471E8">
            <w:pPr>
              <w:widowControl/>
              <w:jc w:val="left"/>
              <w:rPr>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①</w:t>
            </w:r>
            <w:r>
              <w:rPr>
                <w:color w:val="000000" w:themeColor="text1"/>
                <w:kern w:val="0"/>
                <w:sz w:val="24"/>
                <w:highlight w:val="none"/>
                <w:lang w:bidi="ar"/>
                <w14:textFill>
                  <w14:solidFill>
                    <w14:schemeClr w14:val="tx1"/>
                  </w14:solidFill>
                </w14:textFill>
              </w:rPr>
              <w:t>油桶不得超量储存废料；</w:t>
            </w:r>
          </w:p>
          <w:p w14:paraId="14B60773">
            <w:pPr>
              <w:widowControl/>
              <w:jc w:val="left"/>
              <w:rPr>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②</w:t>
            </w:r>
            <w:r>
              <w:rPr>
                <w:color w:val="000000" w:themeColor="text1"/>
                <w:kern w:val="0"/>
                <w:sz w:val="24"/>
                <w:highlight w:val="none"/>
                <w:lang w:bidi="ar"/>
                <w14:textFill>
                  <w14:solidFill>
                    <w14:schemeClr w14:val="tx1"/>
                  </w14:solidFill>
                </w14:textFill>
              </w:rPr>
              <w:t>配备消防器材及自动灭火装置，定期更换灭火器材；</w:t>
            </w:r>
          </w:p>
          <w:p w14:paraId="621A6FF7">
            <w:pPr>
              <w:widowControl/>
              <w:jc w:val="left"/>
              <w:rPr>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③</w:t>
            </w:r>
            <w:r>
              <w:rPr>
                <w:color w:val="000000" w:themeColor="text1"/>
                <w:kern w:val="0"/>
                <w:sz w:val="24"/>
                <w:highlight w:val="none"/>
                <w:lang w:bidi="ar"/>
                <w14:textFill>
                  <w14:solidFill>
                    <w14:schemeClr w14:val="tx1"/>
                  </w14:solidFill>
                </w14:textFill>
              </w:rPr>
              <w:t>安装防静电设施，各类电机、照明均为防爆型产品；</w:t>
            </w:r>
          </w:p>
          <w:p w14:paraId="316A63CD">
            <w:pPr>
              <w:widowControl/>
              <w:jc w:val="left"/>
              <w:rPr>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④</w:t>
            </w:r>
            <w:r>
              <w:rPr>
                <w:color w:val="000000" w:themeColor="text1"/>
                <w:kern w:val="0"/>
                <w:sz w:val="24"/>
                <w:highlight w:val="none"/>
                <w:lang w:bidi="ar"/>
                <w14:textFill>
                  <w14:solidFill>
                    <w14:schemeClr w14:val="tx1"/>
                  </w14:solidFill>
                </w14:textFill>
              </w:rPr>
              <w:t>暂存区必须按规定定期检查、维修，杜绝跑、冒、滴、漏；</w:t>
            </w:r>
          </w:p>
          <w:p w14:paraId="4D1670A7">
            <w:pPr>
              <w:widowControl/>
              <w:jc w:val="left"/>
              <w:rPr>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⑤</w:t>
            </w:r>
            <w:r>
              <w:rPr>
                <w:color w:val="000000" w:themeColor="text1"/>
                <w:kern w:val="0"/>
                <w:sz w:val="24"/>
                <w:highlight w:val="none"/>
                <w:lang w:bidi="ar"/>
                <w14:textFill>
                  <w14:solidFill>
                    <w14:schemeClr w14:val="tx1"/>
                  </w14:solidFill>
                </w14:textFill>
              </w:rPr>
              <w:t>加强登记制度，预防无序存放，造成乱扔乱放现象；</w:t>
            </w:r>
          </w:p>
          <w:p w14:paraId="2269F020">
            <w:pPr>
              <w:widowControl/>
              <w:jc w:val="left"/>
              <w:rPr>
                <w:color w:val="000000" w:themeColor="text1"/>
                <w:kern w:val="0"/>
                <w:sz w:val="24"/>
                <w:highlight w:val="none"/>
                <w:lang w:bidi="ar"/>
                <w14:textFill>
                  <w14:solidFill>
                    <w14:schemeClr w14:val="tx1"/>
                  </w14:solidFill>
                </w14:textFill>
              </w:rPr>
            </w:pPr>
            <w:r>
              <w:rPr>
                <w:rFonts w:hint="eastAsia" w:ascii="宋体" w:hAnsi="宋体" w:cs="宋体"/>
                <w:color w:val="000000" w:themeColor="text1"/>
                <w:kern w:val="0"/>
                <w:sz w:val="24"/>
                <w:highlight w:val="none"/>
                <w:lang w:bidi="ar"/>
                <w14:textFill>
                  <w14:solidFill>
                    <w14:schemeClr w14:val="tx1"/>
                  </w14:solidFill>
                </w14:textFill>
              </w:rPr>
              <w:t>⑥</w:t>
            </w:r>
            <w:r>
              <w:rPr>
                <w:color w:val="000000" w:themeColor="text1"/>
                <w:kern w:val="0"/>
                <w:sz w:val="24"/>
                <w:highlight w:val="none"/>
                <w:lang w:bidi="ar"/>
                <w14:textFill>
                  <w14:solidFill>
                    <w14:schemeClr w14:val="tx1"/>
                  </w14:solidFill>
                </w14:textFill>
              </w:rPr>
              <w:t>当发生事故时，为不使事故扩大，防止二次灾害的发生，要求即时抢险抢修。必须对各种险情进行事故前预测，并有针对性演练，做到遇险不乱，才能化险为夷。</w:t>
            </w:r>
          </w:p>
          <w:p w14:paraId="59A35AF3">
            <w:pPr>
              <w:widowControl/>
              <w:jc w:val="left"/>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2）应急措施</w:t>
            </w:r>
          </w:p>
          <w:p w14:paraId="6E05B3B7">
            <w:pPr>
              <w:widowControl/>
              <w:jc w:val="left"/>
              <w:rPr>
                <w:color w:val="000000" w:themeColor="text1"/>
                <w:kern w:val="0"/>
                <w:sz w:val="24"/>
                <w:highlight w:val="none"/>
                <w:lang w:bidi="ar"/>
                <w14:textFill>
                  <w14:solidFill>
                    <w14:schemeClr w14:val="tx1"/>
                  </w14:solidFill>
                </w14:textFill>
              </w:rPr>
            </w:pPr>
            <w:r>
              <w:rPr>
                <w:color w:val="000000" w:themeColor="text1"/>
                <w:kern w:val="0"/>
                <w:sz w:val="24"/>
                <w:highlight w:val="none"/>
                <w:lang w:bidi="ar"/>
                <w14:textFill>
                  <w14:solidFill>
                    <w14:schemeClr w14:val="tx1"/>
                  </w14:solidFill>
                </w14:textFill>
              </w:rPr>
              <w:t>提高工作人员环境风险意识，制定各项环保制度。对从业人员进行岗位职工教育与培训，使他们均具备危险意识及如何应对危险的知识，并进行相关泄露事故的教育。设立应急事故专门记录，建立档案和报告制度，由专门部门或人员负责管理。</w:t>
            </w:r>
          </w:p>
          <w:p w14:paraId="485A1D94">
            <w:pPr>
              <w:widowControl/>
              <w:jc w:val="left"/>
              <w:rPr>
                <w:color w:val="000000" w:themeColor="text1"/>
                <w:sz w:val="24"/>
                <w:highlight w:val="none"/>
                <w14:textFill>
                  <w14:solidFill>
                    <w14:schemeClr w14:val="tx1"/>
                  </w14:solidFill>
                </w14:textFill>
              </w:rPr>
            </w:pPr>
            <w:r>
              <w:rPr>
                <w:color w:val="000000" w:themeColor="text1"/>
                <w:kern w:val="0"/>
                <w:sz w:val="24"/>
                <w:highlight w:val="none"/>
                <w:lang w:bidi="ar"/>
                <w14:textFill>
                  <w14:solidFill>
                    <w14:schemeClr w14:val="tx1"/>
                  </w14:solidFill>
                </w14:textFill>
              </w:rPr>
              <w:t>项目主体单位应成立本厂的突发环境事件应急小组指挥部，责任到人，确保应急小组分工明确，以有效应对突发事件的发生，同时，项目应依据《中华人民共和国突发事件应对法》、《企业事业单位突发环境事件应急预案备案管理办法》（试行）的相关要求，进行《突发环境事件应急预案》的编制及备案工作。</w:t>
            </w:r>
          </w:p>
        </w:tc>
      </w:tr>
      <w:tr w14:paraId="62A4EC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02" w:hRule="atLeast"/>
          <w:jc w:val="center"/>
        </w:trPr>
        <w:tc>
          <w:tcPr>
            <w:tcW w:w="964" w:type="dxa"/>
            <w:vAlign w:val="center"/>
          </w:tcPr>
          <w:p w14:paraId="79C0F9F9">
            <w:pPr>
              <w:adjustRightInd w:val="0"/>
              <w:snapToGrid w:val="0"/>
              <w:jc w:val="center"/>
              <w:rPr>
                <w:color w:val="000000" w:themeColor="text1"/>
                <w:spacing w:val="-8"/>
                <w:sz w:val="24"/>
                <w:highlight w:val="none"/>
                <w14:textFill>
                  <w14:solidFill>
                    <w14:schemeClr w14:val="tx1"/>
                  </w14:solidFill>
                </w14:textFill>
              </w:rPr>
            </w:pPr>
            <w:r>
              <w:rPr>
                <w:color w:val="000000" w:themeColor="text1"/>
                <w:spacing w:val="-8"/>
                <w:sz w:val="24"/>
                <w:highlight w:val="none"/>
                <w14:textFill>
                  <w14:solidFill>
                    <w14:schemeClr w14:val="tx1"/>
                  </w14:solidFill>
                </w14:textFill>
              </w:rPr>
              <w:t>其他</w:t>
            </w:r>
          </w:p>
          <w:p w14:paraId="202D2068">
            <w:pPr>
              <w:adjustRightInd w:val="0"/>
              <w:snapToGrid w:val="0"/>
              <w:jc w:val="center"/>
              <w:rPr>
                <w:color w:val="000000" w:themeColor="text1"/>
                <w:spacing w:val="-8"/>
                <w:sz w:val="24"/>
                <w:highlight w:val="none"/>
                <w14:textFill>
                  <w14:solidFill>
                    <w14:schemeClr w14:val="tx1"/>
                  </w14:solidFill>
                </w14:textFill>
              </w:rPr>
            </w:pPr>
            <w:r>
              <w:rPr>
                <w:color w:val="000000" w:themeColor="text1"/>
                <w:spacing w:val="-8"/>
                <w:sz w:val="24"/>
                <w:highlight w:val="none"/>
                <w14:textFill>
                  <w14:solidFill>
                    <w14:schemeClr w14:val="tx1"/>
                  </w14:solidFill>
                </w14:textFill>
              </w:rPr>
              <w:t>环境</w:t>
            </w:r>
          </w:p>
          <w:p w14:paraId="564494BD">
            <w:pPr>
              <w:adjustRightInd w:val="0"/>
              <w:snapToGrid w:val="0"/>
              <w:jc w:val="center"/>
              <w:rPr>
                <w:color w:val="000000" w:themeColor="text1"/>
                <w:spacing w:val="-8"/>
                <w:sz w:val="24"/>
                <w:highlight w:val="none"/>
                <w14:textFill>
                  <w14:solidFill>
                    <w14:schemeClr w14:val="tx1"/>
                  </w14:solidFill>
                </w14:textFill>
              </w:rPr>
            </w:pPr>
            <w:r>
              <w:rPr>
                <w:color w:val="000000" w:themeColor="text1"/>
                <w:spacing w:val="-8"/>
                <w:sz w:val="24"/>
                <w:highlight w:val="none"/>
                <w14:textFill>
                  <w14:solidFill>
                    <w14:schemeClr w14:val="tx1"/>
                  </w14:solidFill>
                </w14:textFill>
              </w:rPr>
              <w:t>管理</w:t>
            </w:r>
          </w:p>
          <w:p w14:paraId="4212C6BF">
            <w:pPr>
              <w:adjustRightInd w:val="0"/>
              <w:snapToGrid w:val="0"/>
              <w:jc w:val="center"/>
              <w:rPr>
                <w:color w:val="000000" w:themeColor="text1"/>
                <w:spacing w:val="-8"/>
                <w:sz w:val="24"/>
                <w:highlight w:val="none"/>
                <w14:textFill>
                  <w14:solidFill>
                    <w14:schemeClr w14:val="tx1"/>
                  </w14:solidFill>
                </w14:textFill>
              </w:rPr>
            </w:pPr>
            <w:r>
              <w:rPr>
                <w:color w:val="000000" w:themeColor="text1"/>
                <w:spacing w:val="-8"/>
                <w:sz w:val="24"/>
                <w:highlight w:val="none"/>
                <w14:textFill>
                  <w14:solidFill>
                    <w14:schemeClr w14:val="tx1"/>
                  </w14:solidFill>
                </w14:textFill>
              </w:rPr>
              <w:t>要求</w:t>
            </w:r>
          </w:p>
        </w:tc>
        <w:tc>
          <w:tcPr>
            <w:tcW w:w="7836" w:type="dxa"/>
            <w:gridSpan w:val="4"/>
            <w:vAlign w:val="center"/>
          </w:tcPr>
          <w:p w14:paraId="57D006DA">
            <w:pPr>
              <w:widowControl/>
              <w:numPr>
                <w:ilvl w:val="0"/>
                <w:numId w:val="8"/>
              </w:numP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根据《固定污染源排污许可分类管理名录（2019年版）》，本项目属于“二十五、非金属矿物制品业30--砖瓦、石材等建筑材料制造303--粘土砖瓦及建筑砌块制造3031（除以煤或者煤矸石为燃料的 烧结砖瓦以外的），建筑用石加工3032，防水建筑材料制造 3033，隔热和隔音材料制造 3034，其他建筑材料制造3039，以上均不含仅切割加工的”，应于生产运营前办理排污许可证</w:t>
            </w:r>
            <w:r>
              <w:rPr>
                <w:rFonts w:hint="eastAsia"/>
                <w:color w:val="000000" w:themeColor="text1"/>
                <w:sz w:val="24"/>
                <w:highlight w:val="none"/>
                <w14:textFill>
                  <w14:solidFill>
                    <w14:schemeClr w14:val="tx1"/>
                  </w14:solidFill>
                </w14:textFill>
              </w:rPr>
              <w:t>简化</w:t>
            </w:r>
            <w:r>
              <w:rPr>
                <w:color w:val="000000" w:themeColor="text1"/>
                <w:sz w:val="24"/>
                <w:highlight w:val="none"/>
                <w14:textFill>
                  <w14:solidFill>
                    <w14:schemeClr w14:val="tx1"/>
                  </w14:solidFill>
                </w14:textFill>
              </w:rPr>
              <w:t>管理，并持证排污。</w:t>
            </w:r>
          </w:p>
          <w:p w14:paraId="15692319">
            <w:pPr>
              <w:widowControl/>
              <w:numPr>
                <w:ilvl w:val="0"/>
                <w:numId w:val="8"/>
              </w:numPr>
              <w:rPr>
                <w:color w:val="000000" w:themeColor="text1"/>
                <w:sz w:val="24"/>
                <w:highlight w:val="none"/>
                <w14:textFill>
                  <w14:solidFill>
                    <w14:schemeClr w14:val="tx1"/>
                  </w14:solidFill>
                </w14:textFill>
              </w:rPr>
            </w:pPr>
            <w:r>
              <w:rPr>
                <w:color w:val="000000" w:themeColor="text1"/>
                <w:sz w:val="24"/>
                <w:highlight w:val="none"/>
                <w14:textFill>
                  <w14:solidFill>
                    <w14:schemeClr w14:val="tx1"/>
                  </w14:solidFill>
                </w14:textFill>
              </w:rPr>
              <w:t>根据《建设项目环境保护管理条例》（国务院第682号）、《建设项目竣工环境保护验收暂行办法》（国环规环评〔2017〕4号）可知，验收的主体由环保部门调整为建设单位，建设单位应当按照规定编制验收报告，对配套建设的环境保护设施进行验收。因此项目在取得环评批复后，并配套环评要求的环保设施，在具备投入正常生产的条件下应根据《建设项目竣工环境保护验收技术指南 污染影响类》的相关要求尽快完成本项目的废气、废水、噪声、固体废物等验收工作。</w:t>
            </w:r>
          </w:p>
          <w:p w14:paraId="06DBA97B">
            <w:pPr>
              <w:widowControl/>
              <w:numPr>
                <w:ilvl w:val="0"/>
                <w:numId w:val="0"/>
              </w:numPr>
              <w:rPr>
                <w:rFonts w:ascii="Times New Roman" w:hAnsi="Times New Roman" w:eastAsia="宋体" w:cs="Times New Roman"/>
                <w:color w:val="FF0000"/>
                <w:sz w:val="24"/>
                <w:highlight w:val="none"/>
              </w:rPr>
            </w:pPr>
            <w:r>
              <w:rPr>
                <w:rFonts w:hint="eastAsia" w:ascii="Times New Roman" w:hAnsi="Times New Roman" w:eastAsia="宋体" w:cs="Times New Roman"/>
                <w:color w:val="FF0000"/>
                <w:sz w:val="24"/>
                <w:highlight w:val="none"/>
                <w:lang w:eastAsia="zh-CN"/>
              </w:rPr>
              <w:t>（</w:t>
            </w:r>
            <w:r>
              <w:rPr>
                <w:rFonts w:hint="eastAsia" w:ascii="Times New Roman" w:hAnsi="Times New Roman" w:eastAsia="宋体" w:cs="Times New Roman"/>
                <w:color w:val="FF0000"/>
                <w:sz w:val="24"/>
                <w:highlight w:val="none"/>
                <w:lang w:val="en-US" w:eastAsia="zh-CN"/>
              </w:rPr>
              <w:t>3</w:t>
            </w:r>
            <w:r>
              <w:rPr>
                <w:rFonts w:hint="eastAsia" w:ascii="Times New Roman" w:hAnsi="Times New Roman" w:eastAsia="宋体" w:cs="Times New Roman"/>
                <w:color w:val="FF0000"/>
                <w:sz w:val="24"/>
                <w:highlight w:val="none"/>
                <w:lang w:eastAsia="zh-CN"/>
              </w:rPr>
              <w:t>）建设单位应按《环境保护图形标志排放口》（GB15562.1-1995）、《环境保护图形标志一固体废物贮存（处置）场》（GB 15562.2-1995）修改单中有关规定中有关规定，在各污染排放口设置规范化排放口图形标志牌。</w:t>
            </w:r>
          </w:p>
          <w:p w14:paraId="49AF70C7">
            <w:pPr>
              <w:jc w:val="center"/>
              <w:rPr>
                <w:rFonts w:ascii="Times New Roman" w:hAnsi="Times New Roman" w:eastAsia="宋体" w:cs="Times New Roman"/>
                <w:b/>
                <w:color w:val="auto"/>
                <w:sz w:val="18"/>
                <w:szCs w:val="18"/>
                <w:highlight w:val="none"/>
              </w:rPr>
            </w:pPr>
            <w:r>
              <w:rPr>
                <w:rFonts w:ascii="Times New Roman" w:hAnsi="Times New Roman" w:eastAsia="宋体" w:cs="Times New Roman"/>
                <w:b/>
                <w:color w:val="auto"/>
                <w:sz w:val="18"/>
                <w:szCs w:val="18"/>
                <w:highlight w:val="none"/>
              </w:rPr>
              <w:t>表5-1 环境保护图形标志—排放口（源）</w:t>
            </w:r>
          </w:p>
          <w:tbl>
            <w:tblPr>
              <w:tblStyle w:val="18"/>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626"/>
              <w:gridCol w:w="3138"/>
              <w:gridCol w:w="1321"/>
              <w:gridCol w:w="2532"/>
            </w:tblGrid>
            <w:tr w14:paraId="182BBE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30" w:hRule="atLeast"/>
                <w:jc w:val="center"/>
              </w:trPr>
              <w:tc>
                <w:tcPr>
                  <w:tcW w:w="411" w:type="pct"/>
                  <w:vAlign w:val="center"/>
                </w:tcPr>
                <w:p w14:paraId="1BCCF06D">
                  <w:pPr>
                    <w:widowControl w:val="0"/>
                    <w:adjustRightInd/>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序号</w:t>
                  </w:r>
                </w:p>
              </w:tc>
              <w:tc>
                <w:tcPr>
                  <w:tcW w:w="2059" w:type="pct"/>
                  <w:vAlign w:val="center"/>
                </w:tcPr>
                <w:p w14:paraId="21804D79">
                  <w:pPr>
                    <w:widowControl w:val="0"/>
                    <w:adjustRightInd/>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图像符号</w:t>
                  </w:r>
                </w:p>
              </w:tc>
              <w:tc>
                <w:tcPr>
                  <w:tcW w:w="867" w:type="pct"/>
                  <w:vAlign w:val="center"/>
                </w:tcPr>
                <w:p w14:paraId="478E85B2">
                  <w:pPr>
                    <w:widowControl w:val="0"/>
                    <w:adjustRightInd/>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名称</w:t>
                  </w:r>
                </w:p>
              </w:tc>
              <w:tc>
                <w:tcPr>
                  <w:tcW w:w="1661" w:type="pct"/>
                  <w:vAlign w:val="center"/>
                </w:tcPr>
                <w:p w14:paraId="2E855F4A">
                  <w:pPr>
                    <w:widowControl w:val="0"/>
                    <w:adjustRightInd/>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功能</w:t>
                  </w:r>
                </w:p>
              </w:tc>
            </w:tr>
            <w:tr w14:paraId="48377B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40" w:hRule="atLeast"/>
                <w:jc w:val="center"/>
              </w:trPr>
              <w:tc>
                <w:tcPr>
                  <w:tcW w:w="411" w:type="pct"/>
                  <w:vAlign w:val="center"/>
                </w:tcPr>
                <w:p w14:paraId="3DD53E28">
                  <w:pPr>
                    <w:widowControl w:val="0"/>
                    <w:adjustRightInd w:val="0"/>
                    <w:snapToGrid w:val="0"/>
                    <w:spacing w:beforeLines="0" w:afterLines="0" w:line="240" w:lineRule="auto"/>
                    <w:ind w:firstLine="0"/>
                    <w:jc w:val="both"/>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1</w:t>
                  </w:r>
                </w:p>
              </w:tc>
              <w:tc>
                <w:tcPr>
                  <w:tcW w:w="2059" w:type="pct"/>
                  <w:vAlign w:val="center"/>
                </w:tcPr>
                <w:p w14:paraId="22BA5770">
                  <w:pPr>
                    <w:widowControl w:val="0"/>
                    <w:adjustRightInd w:val="0"/>
                    <w:snapToGrid w:val="0"/>
                    <w:spacing w:beforeLines="0" w:afterLines="0" w:line="240" w:lineRule="auto"/>
                    <w:ind w:firstLine="0"/>
                    <w:jc w:val="both"/>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drawing>
                      <wp:inline distT="0" distB="0" distL="114300" distR="114300">
                        <wp:extent cx="1778000" cy="946150"/>
                        <wp:effectExtent l="0" t="0" r="12700" b="6350"/>
                        <wp:docPr id="8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9"/>
                                <pic:cNvPicPr>
                                  <a:picLocks noChangeAspect="1"/>
                                </pic:cNvPicPr>
                              </pic:nvPicPr>
                              <pic:blipFill>
                                <a:blip r:embed="rId43"/>
                                <a:stretch>
                                  <a:fillRect/>
                                </a:stretch>
                              </pic:blipFill>
                              <pic:spPr>
                                <a:xfrm>
                                  <a:off x="0" y="0"/>
                                  <a:ext cx="1778000" cy="946150"/>
                                </a:xfrm>
                                <a:prstGeom prst="rect">
                                  <a:avLst/>
                                </a:prstGeom>
                                <a:noFill/>
                                <a:ln>
                                  <a:noFill/>
                                </a:ln>
                              </pic:spPr>
                            </pic:pic>
                          </a:graphicData>
                        </a:graphic>
                      </wp:inline>
                    </w:drawing>
                  </w:r>
                </w:p>
              </w:tc>
              <w:tc>
                <w:tcPr>
                  <w:tcW w:w="867" w:type="pct"/>
                  <w:vAlign w:val="center"/>
                </w:tcPr>
                <w:p w14:paraId="4303D427">
                  <w:pPr>
                    <w:widowControl w:val="0"/>
                    <w:adjustRightInd w:val="0"/>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废气排放口</w:t>
                  </w:r>
                </w:p>
              </w:tc>
              <w:tc>
                <w:tcPr>
                  <w:tcW w:w="1661" w:type="pct"/>
                  <w:vAlign w:val="center"/>
                </w:tcPr>
                <w:p w14:paraId="33930FA5">
                  <w:pPr>
                    <w:widowControl w:val="0"/>
                    <w:adjustRightInd w:val="0"/>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表示废气向大气排放</w:t>
                  </w:r>
                </w:p>
              </w:tc>
            </w:tr>
            <w:tr w14:paraId="0E2835F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1" w:type="pct"/>
                  <w:vAlign w:val="center"/>
                </w:tcPr>
                <w:p w14:paraId="1A5E6359">
                  <w:pPr>
                    <w:widowControl w:val="0"/>
                    <w:adjustRightInd w:val="0"/>
                    <w:snapToGrid w:val="0"/>
                    <w:spacing w:beforeLines="0" w:afterLines="0" w:line="240" w:lineRule="auto"/>
                    <w:ind w:firstLine="0"/>
                    <w:jc w:val="both"/>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2</w:t>
                  </w:r>
                </w:p>
              </w:tc>
              <w:tc>
                <w:tcPr>
                  <w:tcW w:w="2059" w:type="pct"/>
                  <w:vAlign w:val="center"/>
                </w:tcPr>
                <w:p w14:paraId="5B3BAFFB">
                  <w:pPr>
                    <w:widowControl w:val="0"/>
                    <w:adjustRightInd w:val="0"/>
                    <w:snapToGrid w:val="0"/>
                    <w:spacing w:beforeLines="0" w:afterLines="0" w:line="240" w:lineRule="auto"/>
                    <w:ind w:firstLine="0"/>
                    <w:jc w:val="both"/>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drawing>
                      <wp:inline distT="0" distB="0" distL="114300" distR="114300">
                        <wp:extent cx="1779905" cy="947420"/>
                        <wp:effectExtent l="0" t="0" r="10795" b="5080"/>
                        <wp:docPr id="8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1"/>
                                <pic:cNvPicPr>
                                  <a:picLocks noChangeAspect="1"/>
                                </pic:cNvPicPr>
                              </pic:nvPicPr>
                              <pic:blipFill>
                                <a:blip r:embed="rId44"/>
                                <a:stretch>
                                  <a:fillRect/>
                                </a:stretch>
                              </pic:blipFill>
                              <pic:spPr>
                                <a:xfrm>
                                  <a:off x="0" y="0"/>
                                  <a:ext cx="1779905" cy="947420"/>
                                </a:xfrm>
                                <a:prstGeom prst="rect">
                                  <a:avLst/>
                                </a:prstGeom>
                                <a:noFill/>
                                <a:ln>
                                  <a:noFill/>
                                </a:ln>
                              </pic:spPr>
                            </pic:pic>
                          </a:graphicData>
                        </a:graphic>
                      </wp:inline>
                    </w:drawing>
                  </w:r>
                </w:p>
              </w:tc>
              <w:tc>
                <w:tcPr>
                  <w:tcW w:w="867" w:type="pct"/>
                  <w:vAlign w:val="center"/>
                </w:tcPr>
                <w:p w14:paraId="18A92335">
                  <w:pPr>
                    <w:widowControl w:val="0"/>
                    <w:adjustRightInd w:val="0"/>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噪声排放源</w:t>
                  </w:r>
                </w:p>
              </w:tc>
              <w:tc>
                <w:tcPr>
                  <w:tcW w:w="1661" w:type="pct"/>
                  <w:vAlign w:val="center"/>
                </w:tcPr>
                <w:p w14:paraId="1F53086E">
                  <w:pPr>
                    <w:widowControl w:val="0"/>
                    <w:adjustRightInd w:val="0"/>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表示噪声向声环境排放</w:t>
                  </w:r>
                </w:p>
              </w:tc>
            </w:tr>
            <w:tr w14:paraId="1BD4A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40" w:hRule="atLeast"/>
                <w:jc w:val="center"/>
              </w:trPr>
              <w:tc>
                <w:tcPr>
                  <w:tcW w:w="411" w:type="pct"/>
                  <w:vAlign w:val="center"/>
                </w:tcPr>
                <w:p w14:paraId="354A31E2">
                  <w:pPr>
                    <w:widowControl w:val="0"/>
                    <w:adjustRightInd w:val="0"/>
                    <w:snapToGrid w:val="0"/>
                    <w:spacing w:beforeLines="0" w:afterLines="0" w:line="240" w:lineRule="auto"/>
                    <w:ind w:firstLine="0"/>
                    <w:jc w:val="both"/>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3</w:t>
                  </w:r>
                </w:p>
              </w:tc>
              <w:tc>
                <w:tcPr>
                  <w:tcW w:w="2059" w:type="pct"/>
                  <w:vAlign w:val="center"/>
                </w:tcPr>
                <w:p w14:paraId="18D2A8BA">
                  <w:pPr>
                    <w:widowControl w:val="0"/>
                    <w:adjustRightInd w:val="0"/>
                    <w:snapToGrid w:val="0"/>
                    <w:spacing w:beforeLines="0" w:afterLines="0" w:line="240" w:lineRule="auto"/>
                    <w:ind w:firstLine="0"/>
                    <w:jc w:val="both"/>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drawing>
                      <wp:inline distT="0" distB="0" distL="114300" distR="114300">
                        <wp:extent cx="1779905" cy="941070"/>
                        <wp:effectExtent l="0" t="0" r="10795" b="11430"/>
                        <wp:docPr id="107"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2"/>
                                <pic:cNvPicPr>
                                  <a:picLocks noChangeAspect="1"/>
                                </pic:cNvPicPr>
                              </pic:nvPicPr>
                              <pic:blipFill>
                                <a:blip r:embed="rId45"/>
                                <a:stretch>
                                  <a:fillRect/>
                                </a:stretch>
                              </pic:blipFill>
                              <pic:spPr>
                                <a:xfrm>
                                  <a:off x="0" y="0"/>
                                  <a:ext cx="1779905" cy="941070"/>
                                </a:xfrm>
                                <a:prstGeom prst="rect">
                                  <a:avLst/>
                                </a:prstGeom>
                                <a:noFill/>
                                <a:ln>
                                  <a:noFill/>
                                </a:ln>
                              </pic:spPr>
                            </pic:pic>
                          </a:graphicData>
                        </a:graphic>
                      </wp:inline>
                    </w:drawing>
                  </w:r>
                </w:p>
              </w:tc>
              <w:tc>
                <w:tcPr>
                  <w:tcW w:w="867" w:type="pct"/>
                  <w:vAlign w:val="center"/>
                </w:tcPr>
                <w:p w14:paraId="3A81C385">
                  <w:pPr>
                    <w:widowControl w:val="0"/>
                    <w:adjustRightInd w:val="0"/>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一般固体废物</w:t>
                  </w:r>
                </w:p>
              </w:tc>
              <w:tc>
                <w:tcPr>
                  <w:tcW w:w="1661" w:type="pct"/>
                  <w:vAlign w:val="center"/>
                </w:tcPr>
                <w:p w14:paraId="63E5F470">
                  <w:pPr>
                    <w:widowControl w:val="0"/>
                    <w:adjustRightInd w:val="0"/>
                    <w:snapToGrid w:val="0"/>
                    <w:spacing w:beforeLines="0" w:afterLines="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w:t>
                  </w:r>
                </w:p>
              </w:tc>
            </w:tr>
            <w:tr w14:paraId="3FDC280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03" w:hRule="atLeast"/>
                <w:jc w:val="center"/>
              </w:trPr>
              <w:tc>
                <w:tcPr>
                  <w:tcW w:w="411" w:type="pct"/>
                  <w:vAlign w:val="center"/>
                </w:tcPr>
                <w:p w14:paraId="064EC1D8">
                  <w:pPr>
                    <w:widowControl w:val="0"/>
                    <w:adjustRightInd w:val="0"/>
                    <w:snapToGrid w:val="0"/>
                    <w:spacing w:beforeLines="0" w:afterLines="0" w:line="240" w:lineRule="auto"/>
                    <w:ind w:firstLine="0"/>
                    <w:jc w:val="both"/>
                    <w:textAlignment w:val="baseline"/>
                    <w:rPr>
                      <w:rFonts w:hint="eastAsia" w:ascii="Times New Roman" w:hAnsi="Times New Roman" w:eastAsia="宋体" w:cs="Times New Roman"/>
                      <w:color w:val="auto"/>
                      <w:kern w:val="0"/>
                      <w:sz w:val="21"/>
                      <w:szCs w:val="21"/>
                      <w:highlight w:val="none"/>
                      <w:lang w:val="en-US" w:eastAsia="zh-CN" w:bidi="ar-SA"/>
                    </w:rPr>
                  </w:pPr>
                  <w:r>
                    <w:rPr>
                      <w:rFonts w:hint="eastAsia" w:ascii="Times New Roman" w:hAnsi="Times New Roman" w:eastAsia="宋体" w:cs="Times New Roman"/>
                      <w:color w:val="auto"/>
                      <w:kern w:val="0"/>
                      <w:sz w:val="21"/>
                      <w:szCs w:val="21"/>
                      <w:highlight w:val="none"/>
                      <w:lang w:val="en-US" w:eastAsia="zh-CN" w:bidi="ar-SA"/>
                    </w:rPr>
                    <w:t>4</w:t>
                  </w:r>
                </w:p>
              </w:tc>
              <w:tc>
                <w:tcPr>
                  <w:tcW w:w="2059" w:type="pct"/>
                  <w:vAlign w:val="center"/>
                </w:tcPr>
                <w:p w14:paraId="4243A424">
                  <w:pPr>
                    <w:widowControl w:val="0"/>
                    <w:adjustRightInd w:val="0"/>
                    <w:snapToGrid w:val="0"/>
                    <w:spacing w:before="31" w:beforeLines="10" w:after="31" w:afterLines="10" w:line="240" w:lineRule="auto"/>
                    <w:ind w:firstLine="0"/>
                    <w:jc w:val="both"/>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drawing>
                      <wp:inline distT="0" distB="0" distL="114300" distR="114300">
                        <wp:extent cx="1889760" cy="1186180"/>
                        <wp:effectExtent l="0" t="0" r="15240" b="13970"/>
                        <wp:docPr id="11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3"/>
                                <pic:cNvPicPr>
                                  <a:picLocks noChangeAspect="1"/>
                                </pic:cNvPicPr>
                              </pic:nvPicPr>
                              <pic:blipFill>
                                <a:blip r:embed="rId46"/>
                                <a:stretch>
                                  <a:fillRect/>
                                </a:stretch>
                              </pic:blipFill>
                              <pic:spPr>
                                <a:xfrm>
                                  <a:off x="0" y="0"/>
                                  <a:ext cx="1889760" cy="1186180"/>
                                </a:xfrm>
                                <a:prstGeom prst="rect">
                                  <a:avLst/>
                                </a:prstGeom>
                                <a:noFill/>
                                <a:ln>
                                  <a:noFill/>
                                </a:ln>
                              </pic:spPr>
                            </pic:pic>
                          </a:graphicData>
                        </a:graphic>
                      </wp:inline>
                    </w:drawing>
                  </w:r>
                </w:p>
              </w:tc>
              <w:tc>
                <w:tcPr>
                  <w:tcW w:w="867" w:type="pct"/>
                  <w:vAlign w:val="center"/>
                </w:tcPr>
                <w:p w14:paraId="7214E3CB">
                  <w:pPr>
                    <w:widowControl w:val="0"/>
                    <w:adjustRightInd w:val="0"/>
                    <w:snapToGrid w:val="0"/>
                    <w:spacing w:before="31" w:beforeLines="10" w:after="31" w:afterLines="1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危险废物</w:t>
                  </w:r>
                </w:p>
              </w:tc>
              <w:tc>
                <w:tcPr>
                  <w:tcW w:w="1661" w:type="pct"/>
                  <w:vAlign w:val="center"/>
                </w:tcPr>
                <w:p w14:paraId="38C14526">
                  <w:pPr>
                    <w:widowControl w:val="0"/>
                    <w:adjustRightInd w:val="0"/>
                    <w:snapToGrid w:val="0"/>
                    <w:spacing w:before="31" w:beforeLines="10" w:after="31" w:afterLines="10" w:line="240" w:lineRule="auto"/>
                    <w:ind w:firstLine="0"/>
                    <w:jc w:val="center"/>
                    <w:textAlignment w:val="baseline"/>
                    <w:rPr>
                      <w:rFonts w:ascii="Times New Roman" w:hAnsi="Times New Roman" w:eastAsia="宋体" w:cs="Times New Roman"/>
                      <w:color w:val="auto"/>
                      <w:kern w:val="0"/>
                      <w:sz w:val="21"/>
                      <w:szCs w:val="21"/>
                      <w:highlight w:val="none"/>
                      <w:lang w:val="en-US" w:eastAsia="zh-CN" w:bidi="ar-SA"/>
                    </w:rPr>
                  </w:pPr>
                  <w:r>
                    <w:rPr>
                      <w:rFonts w:ascii="Times New Roman" w:hAnsi="Times New Roman" w:eastAsia="宋体" w:cs="Times New Roman"/>
                      <w:color w:val="auto"/>
                      <w:kern w:val="0"/>
                      <w:sz w:val="21"/>
                      <w:szCs w:val="21"/>
                      <w:highlight w:val="none"/>
                      <w:lang w:val="en-US" w:eastAsia="zh-CN" w:bidi="ar-SA"/>
                    </w:rPr>
                    <w:t>危险废物贮存设施</w:t>
                  </w:r>
                </w:p>
              </w:tc>
            </w:tr>
          </w:tbl>
          <w:p w14:paraId="431FD612">
            <w:pPr>
              <w:pStyle w:val="9"/>
              <w:rPr>
                <w:highlight w:val="none"/>
              </w:rPr>
            </w:pPr>
          </w:p>
        </w:tc>
      </w:tr>
    </w:tbl>
    <w:p w14:paraId="4EF25CD7">
      <w:pPr>
        <w:pStyle w:val="16"/>
        <w:jc w:val="center"/>
        <w:outlineLvl w:val="0"/>
        <w:rPr>
          <w:rFonts w:ascii="黑体" w:hAnsi="黑体" w:eastAsia="黑体"/>
          <w:snapToGrid w:val="0"/>
          <w:color w:val="000000" w:themeColor="text1"/>
          <w:sz w:val="30"/>
          <w:szCs w:val="30"/>
          <w:highlight w:val="none"/>
          <w14:textFill>
            <w14:solidFill>
              <w14:schemeClr w14:val="tx1"/>
            </w14:solidFill>
          </w14:textFill>
        </w:rPr>
      </w:pPr>
      <w:r>
        <w:rPr>
          <w:snapToGrid w:val="0"/>
          <w:color w:val="000000" w:themeColor="text1"/>
          <w:highlight w:val="none"/>
          <w14:textFill>
            <w14:solidFill>
              <w14:schemeClr w14:val="tx1"/>
            </w14:solidFill>
          </w14:textFill>
        </w:rPr>
        <w:br w:type="page"/>
      </w:r>
      <w:r>
        <w:rPr>
          <w:rFonts w:hint="eastAsia" w:ascii="黑体" w:hAnsi="黑体" w:eastAsia="黑体"/>
          <w:snapToGrid w:val="0"/>
          <w:color w:val="000000" w:themeColor="text1"/>
          <w:sz w:val="30"/>
          <w:szCs w:val="30"/>
          <w:highlight w:val="none"/>
          <w14:textFill>
            <w14:solidFill>
              <w14:schemeClr w14:val="tx1"/>
            </w14:solidFill>
          </w14:textFill>
        </w:rPr>
        <w:t>六、结论</w:t>
      </w:r>
    </w:p>
    <w:tbl>
      <w:tblPr>
        <w:tblStyle w:val="18"/>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0125D39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265D9417">
            <w:pPr>
              <w:spacing w:line="360" w:lineRule="auto"/>
              <w:ind w:firstLine="480" w:firstLineChars="200"/>
              <w:rPr>
                <w:color w:val="000000" w:themeColor="text1"/>
                <w:sz w:val="24"/>
                <w:szCs w:val="32"/>
                <w:highlight w:val="none"/>
                <w14:textFill>
                  <w14:solidFill>
                    <w14:schemeClr w14:val="tx1"/>
                  </w14:solidFill>
                </w14:textFill>
              </w:rPr>
            </w:pPr>
            <w:r>
              <w:rPr>
                <w:rFonts w:hint="eastAsia"/>
                <w:color w:val="000000" w:themeColor="text1"/>
                <w:sz w:val="24"/>
                <w:szCs w:val="32"/>
                <w:highlight w:val="none"/>
                <w14:textFill>
                  <w14:solidFill>
                    <w14:schemeClr w14:val="tx1"/>
                  </w14:solidFill>
                </w14:textFill>
              </w:rPr>
              <w:t>本项目符合当前国家产业政策要求，选址符合要求，通过采取各项完善的污染治理措施后，可有效地确保各类污染物达标排放。项目实施后，不会对周围环境产生明显的环境影响。</w:t>
            </w:r>
          </w:p>
          <w:p w14:paraId="084A1E13">
            <w:pPr>
              <w:spacing w:line="360" w:lineRule="auto"/>
              <w:ind w:firstLine="480" w:firstLineChars="200"/>
              <w:rPr>
                <w:color w:val="000000" w:themeColor="text1"/>
                <w:sz w:val="24"/>
                <w:szCs w:val="32"/>
                <w:highlight w:val="none"/>
                <w14:textFill>
                  <w14:solidFill>
                    <w14:schemeClr w14:val="tx1"/>
                  </w14:solidFill>
                </w14:textFill>
              </w:rPr>
            </w:pPr>
            <w:r>
              <w:rPr>
                <w:rFonts w:hint="eastAsia"/>
                <w:color w:val="000000" w:themeColor="text1"/>
                <w:sz w:val="24"/>
                <w:szCs w:val="32"/>
                <w:highlight w:val="none"/>
                <w14:textFill>
                  <w14:solidFill>
                    <w14:schemeClr w14:val="tx1"/>
                  </w14:solidFill>
                </w14:textFill>
              </w:rPr>
              <w:t>本次评价从环境保护的角度认为，该项目的建设可行。</w:t>
            </w:r>
          </w:p>
          <w:p w14:paraId="6AEDD582">
            <w:pPr>
              <w:spacing w:line="360" w:lineRule="auto"/>
              <w:rPr>
                <w:rFonts w:ascii="宋体" w:cs="宋体"/>
                <w:color w:val="000000" w:themeColor="text1"/>
                <w:sz w:val="24"/>
                <w:highlight w:val="none"/>
                <w14:textFill>
                  <w14:solidFill>
                    <w14:schemeClr w14:val="tx1"/>
                  </w14:solidFill>
                </w14:textFill>
              </w:rPr>
            </w:pPr>
          </w:p>
        </w:tc>
      </w:tr>
    </w:tbl>
    <w:p w14:paraId="5B13224E">
      <w:pPr>
        <w:rPr>
          <w:rFonts w:ascii="宋体"/>
          <w:color w:val="000000" w:themeColor="text1"/>
          <w:highlight w:val="none"/>
          <w14:textFill>
            <w14:solidFill>
              <w14:schemeClr w14:val="tx1"/>
            </w14:solidFill>
          </w14:textFill>
        </w:rPr>
        <w:sectPr>
          <w:pgSz w:w="11906" w:h="16838"/>
          <w:pgMar w:top="1701" w:right="1531" w:bottom="1701" w:left="1531" w:header="851" w:footer="851" w:gutter="0"/>
          <w:pgNumType w:fmt="decimal"/>
          <w:cols w:space="720" w:num="1"/>
          <w:docGrid w:linePitch="312" w:charSpace="0"/>
        </w:sectPr>
      </w:pPr>
    </w:p>
    <w:p w14:paraId="3DEFD42C">
      <w:pPr>
        <w:pStyle w:val="16"/>
        <w:adjustRightInd w:val="0"/>
        <w:snapToGrid w:val="0"/>
        <w:spacing w:before="0" w:beforeAutospacing="0" w:after="0" w:afterAutospacing="0" w:line="648" w:lineRule="auto"/>
        <w:outlineLvl w:val="0"/>
        <w:rPr>
          <w:rFonts w:ascii="黑体" w:hAnsi="黑体" w:eastAsia="黑体"/>
          <w:snapToGrid w:val="0"/>
          <w:color w:val="000000" w:themeColor="text1"/>
          <w:sz w:val="32"/>
          <w:szCs w:val="32"/>
          <w:highlight w:val="none"/>
          <w14:textFill>
            <w14:solidFill>
              <w14:schemeClr w14:val="tx1"/>
            </w14:solidFill>
          </w14:textFill>
        </w:rPr>
      </w:pPr>
      <w:r>
        <w:rPr>
          <w:rFonts w:hint="eastAsia" w:ascii="黑体" w:hAnsi="黑体" w:eastAsia="黑体"/>
          <w:snapToGrid w:val="0"/>
          <w:color w:val="000000" w:themeColor="text1"/>
          <w:sz w:val="32"/>
          <w:szCs w:val="32"/>
          <w:highlight w:val="none"/>
          <w14:textFill>
            <w14:solidFill>
              <w14:schemeClr w14:val="tx1"/>
            </w14:solidFill>
          </w14:textFill>
        </w:rPr>
        <w:t>附表</w:t>
      </w:r>
    </w:p>
    <w:p w14:paraId="326B1D25">
      <w:pPr>
        <w:pStyle w:val="16"/>
        <w:adjustRightInd w:val="0"/>
        <w:snapToGrid w:val="0"/>
        <w:spacing w:before="0" w:beforeAutospacing="0" w:after="0" w:afterAutospacing="0" w:line="552" w:lineRule="auto"/>
        <w:jc w:val="center"/>
        <w:outlineLvl w:val="0"/>
        <w:rPr>
          <w:rFonts w:ascii="方正小标宋_GBK" w:hAnsi="黑体" w:eastAsia="方正小标宋_GBK"/>
          <w:snapToGrid w:val="0"/>
          <w:color w:val="000000" w:themeColor="text1"/>
          <w:sz w:val="38"/>
          <w:szCs w:val="38"/>
          <w:highlight w:val="none"/>
          <w14:textFill>
            <w14:solidFill>
              <w14:schemeClr w14:val="tx1"/>
            </w14:solidFill>
          </w14:textFill>
        </w:rPr>
      </w:pPr>
      <w:r>
        <w:rPr>
          <w:rFonts w:hint="eastAsia" w:ascii="方正小标宋_GBK" w:hAnsi="黑体" w:eastAsia="方正小标宋_GBK"/>
          <w:snapToGrid w:val="0"/>
          <w:color w:val="000000" w:themeColor="text1"/>
          <w:sz w:val="38"/>
          <w:szCs w:val="38"/>
          <w:highlight w:val="none"/>
          <w14:textFill>
            <w14:solidFill>
              <w14:schemeClr w14:val="tx1"/>
            </w14:solidFill>
          </w14:textFill>
        </w:rPr>
        <w:t>建设项目污染物排放量汇总表</w:t>
      </w:r>
    </w:p>
    <w:tbl>
      <w:tblPr>
        <w:tblStyle w:val="18"/>
        <w:tblW w:w="0" w:type="auto"/>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588"/>
        <w:gridCol w:w="1417"/>
        <w:gridCol w:w="1701"/>
        <w:gridCol w:w="1276"/>
        <w:gridCol w:w="1701"/>
        <w:gridCol w:w="1559"/>
        <w:gridCol w:w="1619"/>
        <w:gridCol w:w="1738"/>
        <w:gridCol w:w="1189"/>
      </w:tblGrid>
      <w:tr w14:paraId="7ED89A8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588" w:type="dxa"/>
            <w:tcBorders>
              <w:tl2br w:val="single" w:color="auto" w:sz="4" w:space="0"/>
            </w:tcBorders>
            <w:tcMar>
              <w:left w:w="28" w:type="dxa"/>
              <w:right w:w="28" w:type="dxa"/>
            </w:tcMar>
            <w:vAlign w:val="center"/>
          </w:tcPr>
          <w:p w14:paraId="3075F599">
            <w:pPr>
              <w:pStyle w:val="38"/>
              <w:spacing w:beforeLines="0" w:afterLines="0" w:line="240" w:lineRule="auto"/>
              <w:jc w:val="right"/>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项目</w:t>
            </w:r>
          </w:p>
          <w:p w14:paraId="0A834E4B">
            <w:pPr>
              <w:pStyle w:val="38"/>
              <w:spacing w:beforeLines="0" w:afterLines="0" w:line="240" w:lineRule="auto"/>
              <w:jc w:val="left"/>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分类</w:t>
            </w:r>
          </w:p>
        </w:tc>
        <w:tc>
          <w:tcPr>
            <w:tcW w:w="1417" w:type="dxa"/>
            <w:tcMar>
              <w:left w:w="28" w:type="dxa"/>
              <w:right w:w="28" w:type="dxa"/>
            </w:tcMar>
            <w:vAlign w:val="center"/>
          </w:tcPr>
          <w:p w14:paraId="1FD6B19F">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污染物名称</w:t>
            </w:r>
          </w:p>
        </w:tc>
        <w:tc>
          <w:tcPr>
            <w:tcW w:w="1701" w:type="dxa"/>
            <w:tcMar>
              <w:left w:w="28" w:type="dxa"/>
              <w:right w:w="28" w:type="dxa"/>
            </w:tcMar>
            <w:vAlign w:val="center"/>
          </w:tcPr>
          <w:p w14:paraId="6983DBAC">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现有工程</w:t>
            </w:r>
          </w:p>
          <w:p w14:paraId="70679A07">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排放量（固体废物产生量）</w:t>
            </w:r>
            <w:r>
              <w:rPr>
                <w:rFonts w:ascii="Times New Roman"/>
                <w:snapToGrid w:val="0"/>
                <w:color w:val="000000" w:themeColor="text1"/>
                <w:spacing w:val="-6"/>
                <w:kern w:val="21"/>
                <w:sz w:val="24"/>
                <w:szCs w:val="24"/>
                <w:highlight w:val="none"/>
                <w14:textFill>
                  <w14:solidFill>
                    <w14:schemeClr w14:val="tx1"/>
                  </w14:solidFill>
                </w14:textFill>
              </w:rPr>
              <w:fldChar w:fldCharType="begin"/>
            </w:r>
            <w:r>
              <w:rPr>
                <w:rFonts w:ascii="Times New Roman"/>
                <w:snapToGrid w:val="0"/>
                <w:color w:val="000000" w:themeColor="text1"/>
                <w:spacing w:val="-6"/>
                <w:kern w:val="21"/>
                <w:sz w:val="24"/>
                <w:szCs w:val="24"/>
                <w:highlight w:val="none"/>
                <w14:textFill>
                  <w14:solidFill>
                    <w14:schemeClr w14:val="tx1"/>
                  </w14:solidFill>
                </w14:textFill>
              </w:rPr>
              <w:instrText xml:space="preserve"> = 1 \* GB3 \* MERGEFORMAT </w:instrText>
            </w:r>
            <w:r>
              <w:rPr>
                <w:rFonts w:ascii="Times New Roman"/>
                <w:snapToGrid w:val="0"/>
                <w:color w:val="000000" w:themeColor="text1"/>
                <w:spacing w:val="-6"/>
                <w:kern w:val="21"/>
                <w:sz w:val="24"/>
                <w:szCs w:val="24"/>
                <w:highlight w:val="none"/>
                <w14:textFill>
                  <w14:solidFill>
                    <w14:schemeClr w14:val="tx1"/>
                  </w14:solidFill>
                </w14:textFill>
              </w:rPr>
              <w:fldChar w:fldCharType="separate"/>
            </w:r>
            <w:r>
              <w:rPr>
                <w:rFonts w:ascii="Times New Roman"/>
                <w:color w:val="000000" w:themeColor="text1"/>
                <w:kern w:val="2"/>
                <w:sz w:val="24"/>
                <w:szCs w:val="24"/>
                <w:highlight w:val="none"/>
                <w14:textFill>
                  <w14:solidFill>
                    <w14:schemeClr w14:val="tx1"/>
                  </w14:solidFill>
                </w14:textFill>
              </w:rPr>
              <w:t>①</w:t>
            </w:r>
            <w:r>
              <w:rPr>
                <w:rFonts w:ascii="Times New Roman"/>
                <w:snapToGrid w:val="0"/>
                <w:color w:val="000000" w:themeColor="text1"/>
                <w:spacing w:val="-6"/>
                <w:kern w:val="21"/>
                <w:sz w:val="24"/>
                <w:szCs w:val="24"/>
                <w:highlight w:val="none"/>
                <w14:textFill>
                  <w14:solidFill>
                    <w14:schemeClr w14:val="tx1"/>
                  </w14:solidFill>
                </w14:textFill>
              </w:rPr>
              <w:fldChar w:fldCharType="end"/>
            </w:r>
          </w:p>
        </w:tc>
        <w:tc>
          <w:tcPr>
            <w:tcW w:w="1276" w:type="dxa"/>
            <w:tcMar>
              <w:left w:w="28" w:type="dxa"/>
              <w:right w:w="28" w:type="dxa"/>
            </w:tcMar>
            <w:vAlign w:val="center"/>
          </w:tcPr>
          <w:p w14:paraId="0A212435">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现有工程</w:t>
            </w:r>
          </w:p>
          <w:p w14:paraId="5989A42C">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许可排放量</w:t>
            </w:r>
          </w:p>
          <w:p w14:paraId="14AC987F">
            <w:pPr>
              <w:pStyle w:val="38"/>
              <w:spacing w:beforeLines="0" w:afterLines="0"/>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fldChar w:fldCharType="begin"/>
            </w:r>
            <w:r>
              <w:rPr>
                <w:rFonts w:ascii="Times New Roman"/>
                <w:snapToGrid w:val="0"/>
                <w:color w:val="000000" w:themeColor="text1"/>
                <w:spacing w:val="-6"/>
                <w:kern w:val="21"/>
                <w:sz w:val="24"/>
                <w:szCs w:val="24"/>
                <w:highlight w:val="none"/>
                <w14:textFill>
                  <w14:solidFill>
                    <w14:schemeClr w14:val="tx1"/>
                  </w14:solidFill>
                </w14:textFill>
              </w:rPr>
              <w:instrText xml:space="preserve"> = 2 \* GB3 \* MERGEFORMAT </w:instrText>
            </w:r>
            <w:r>
              <w:rPr>
                <w:rFonts w:ascii="Times New Roman"/>
                <w:snapToGrid w:val="0"/>
                <w:color w:val="000000" w:themeColor="text1"/>
                <w:spacing w:val="-6"/>
                <w:kern w:val="21"/>
                <w:sz w:val="24"/>
                <w:szCs w:val="24"/>
                <w:highlight w:val="none"/>
                <w14:textFill>
                  <w14:solidFill>
                    <w14:schemeClr w14:val="tx1"/>
                  </w14:solidFill>
                </w14:textFill>
              </w:rPr>
              <w:fldChar w:fldCharType="separate"/>
            </w:r>
            <w:r>
              <w:rPr>
                <w:rFonts w:ascii="Times New Roman"/>
                <w:snapToGrid w:val="0"/>
                <w:color w:val="000000" w:themeColor="text1"/>
                <w:spacing w:val="-6"/>
                <w:kern w:val="21"/>
                <w:sz w:val="24"/>
                <w:szCs w:val="24"/>
                <w:highlight w:val="none"/>
                <w14:textFill>
                  <w14:solidFill>
                    <w14:schemeClr w14:val="tx1"/>
                  </w14:solidFill>
                </w14:textFill>
              </w:rPr>
              <w:t>②</w:t>
            </w:r>
            <w:r>
              <w:rPr>
                <w:rFonts w:ascii="Times New Roman"/>
                <w:snapToGrid w:val="0"/>
                <w:color w:val="000000" w:themeColor="text1"/>
                <w:spacing w:val="-6"/>
                <w:kern w:val="21"/>
                <w:sz w:val="24"/>
                <w:szCs w:val="24"/>
                <w:highlight w:val="none"/>
                <w14:textFill>
                  <w14:solidFill>
                    <w14:schemeClr w14:val="tx1"/>
                  </w14:solidFill>
                </w14:textFill>
              </w:rPr>
              <w:fldChar w:fldCharType="end"/>
            </w:r>
          </w:p>
        </w:tc>
        <w:tc>
          <w:tcPr>
            <w:tcW w:w="1701" w:type="dxa"/>
            <w:tcMar>
              <w:left w:w="28" w:type="dxa"/>
              <w:right w:w="28" w:type="dxa"/>
            </w:tcMar>
            <w:vAlign w:val="center"/>
          </w:tcPr>
          <w:p w14:paraId="29B58BE4">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在建工程</w:t>
            </w:r>
          </w:p>
          <w:p w14:paraId="700CDE76">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排放量（固体废物产生量）</w:t>
            </w:r>
            <w:r>
              <w:rPr>
                <w:rFonts w:ascii="Times New Roman"/>
                <w:snapToGrid w:val="0"/>
                <w:color w:val="000000" w:themeColor="text1"/>
                <w:spacing w:val="-6"/>
                <w:kern w:val="21"/>
                <w:sz w:val="24"/>
                <w:szCs w:val="24"/>
                <w:highlight w:val="none"/>
                <w14:textFill>
                  <w14:solidFill>
                    <w14:schemeClr w14:val="tx1"/>
                  </w14:solidFill>
                </w14:textFill>
              </w:rPr>
              <w:fldChar w:fldCharType="begin"/>
            </w:r>
            <w:r>
              <w:rPr>
                <w:rFonts w:ascii="Times New Roman"/>
                <w:snapToGrid w:val="0"/>
                <w:color w:val="000000" w:themeColor="text1"/>
                <w:spacing w:val="-6"/>
                <w:kern w:val="21"/>
                <w:sz w:val="24"/>
                <w:szCs w:val="24"/>
                <w:highlight w:val="none"/>
                <w14:textFill>
                  <w14:solidFill>
                    <w14:schemeClr w14:val="tx1"/>
                  </w14:solidFill>
                </w14:textFill>
              </w:rPr>
              <w:instrText xml:space="preserve"> = 3 \* GB3 \* MERGEFORMAT </w:instrText>
            </w:r>
            <w:r>
              <w:rPr>
                <w:rFonts w:ascii="Times New Roman"/>
                <w:snapToGrid w:val="0"/>
                <w:color w:val="000000" w:themeColor="text1"/>
                <w:spacing w:val="-6"/>
                <w:kern w:val="21"/>
                <w:sz w:val="24"/>
                <w:szCs w:val="24"/>
                <w:highlight w:val="none"/>
                <w14:textFill>
                  <w14:solidFill>
                    <w14:schemeClr w14:val="tx1"/>
                  </w14:solidFill>
                </w14:textFill>
              </w:rPr>
              <w:fldChar w:fldCharType="separate"/>
            </w:r>
            <w:r>
              <w:rPr>
                <w:rFonts w:ascii="Times New Roman"/>
                <w:color w:val="000000" w:themeColor="text1"/>
                <w:kern w:val="2"/>
                <w:sz w:val="24"/>
                <w:szCs w:val="24"/>
                <w:highlight w:val="none"/>
                <w14:textFill>
                  <w14:solidFill>
                    <w14:schemeClr w14:val="tx1"/>
                  </w14:solidFill>
                </w14:textFill>
              </w:rPr>
              <w:t>③</w:t>
            </w:r>
            <w:r>
              <w:rPr>
                <w:rFonts w:ascii="Times New Roman"/>
                <w:snapToGrid w:val="0"/>
                <w:color w:val="000000" w:themeColor="text1"/>
                <w:spacing w:val="-6"/>
                <w:kern w:val="21"/>
                <w:sz w:val="24"/>
                <w:szCs w:val="24"/>
                <w:highlight w:val="none"/>
                <w14:textFill>
                  <w14:solidFill>
                    <w14:schemeClr w14:val="tx1"/>
                  </w14:solidFill>
                </w14:textFill>
              </w:rPr>
              <w:fldChar w:fldCharType="end"/>
            </w:r>
          </w:p>
        </w:tc>
        <w:tc>
          <w:tcPr>
            <w:tcW w:w="1559" w:type="dxa"/>
            <w:tcMar>
              <w:left w:w="28" w:type="dxa"/>
              <w:right w:w="28" w:type="dxa"/>
            </w:tcMar>
            <w:vAlign w:val="center"/>
          </w:tcPr>
          <w:p w14:paraId="1150B97C">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本项目</w:t>
            </w:r>
          </w:p>
          <w:p w14:paraId="1F8B0D73">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排放量（固体废物产生量）</w:t>
            </w:r>
            <w:r>
              <w:rPr>
                <w:rFonts w:ascii="Times New Roman"/>
                <w:snapToGrid w:val="0"/>
                <w:color w:val="000000" w:themeColor="text1"/>
                <w:spacing w:val="-6"/>
                <w:kern w:val="21"/>
                <w:sz w:val="24"/>
                <w:szCs w:val="24"/>
                <w:highlight w:val="none"/>
                <w14:textFill>
                  <w14:solidFill>
                    <w14:schemeClr w14:val="tx1"/>
                  </w14:solidFill>
                </w14:textFill>
              </w:rPr>
              <w:fldChar w:fldCharType="begin"/>
            </w:r>
            <w:r>
              <w:rPr>
                <w:rFonts w:ascii="Times New Roman"/>
                <w:snapToGrid w:val="0"/>
                <w:color w:val="000000" w:themeColor="text1"/>
                <w:spacing w:val="-6"/>
                <w:kern w:val="21"/>
                <w:sz w:val="24"/>
                <w:szCs w:val="24"/>
                <w:highlight w:val="none"/>
                <w14:textFill>
                  <w14:solidFill>
                    <w14:schemeClr w14:val="tx1"/>
                  </w14:solidFill>
                </w14:textFill>
              </w:rPr>
              <w:instrText xml:space="preserve"> = 4 \* GB3 \* MERGEFORMAT </w:instrText>
            </w:r>
            <w:r>
              <w:rPr>
                <w:rFonts w:ascii="Times New Roman"/>
                <w:snapToGrid w:val="0"/>
                <w:color w:val="000000" w:themeColor="text1"/>
                <w:spacing w:val="-6"/>
                <w:kern w:val="21"/>
                <w:sz w:val="24"/>
                <w:szCs w:val="24"/>
                <w:highlight w:val="none"/>
                <w14:textFill>
                  <w14:solidFill>
                    <w14:schemeClr w14:val="tx1"/>
                  </w14:solidFill>
                </w14:textFill>
              </w:rPr>
              <w:fldChar w:fldCharType="separate"/>
            </w:r>
            <w:r>
              <w:rPr>
                <w:rFonts w:ascii="Times New Roman"/>
                <w:color w:val="000000" w:themeColor="text1"/>
                <w:kern w:val="2"/>
                <w:sz w:val="24"/>
                <w:szCs w:val="24"/>
                <w:highlight w:val="none"/>
                <w14:textFill>
                  <w14:solidFill>
                    <w14:schemeClr w14:val="tx1"/>
                  </w14:solidFill>
                </w14:textFill>
              </w:rPr>
              <w:t>④</w:t>
            </w:r>
            <w:r>
              <w:rPr>
                <w:rFonts w:ascii="Times New Roman"/>
                <w:snapToGrid w:val="0"/>
                <w:color w:val="000000" w:themeColor="text1"/>
                <w:spacing w:val="-6"/>
                <w:kern w:val="21"/>
                <w:sz w:val="24"/>
                <w:szCs w:val="24"/>
                <w:highlight w:val="none"/>
                <w14:textFill>
                  <w14:solidFill>
                    <w14:schemeClr w14:val="tx1"/>
                  </w14:solidFill>
                </w14:textFill>
              </w:rPr>
              <w:fldChar w:fldCharType="end"/>
            </w:r>
          </w:p>
        </w:tc>
        <w:tc>
          <w:tcPr>
            <w:tcW w:w="1619" w:type="dxa"/>
            <w:tcMar>
              <w:left w:w="28" w:type="dxa"/>
              <w:right w:w="28" w:type="dxa"/>
            </w:tcMar>
            <w:vAlign w:val="center"/>
          </w:tcPr>
          <w:p w14:paraId="5EF871C2">
            <w:pPr>
              <w:pStyle w:val="38"/>
              <w:spacing w:beforeLines="0" w:afterLines="0" w:line="240" w:lineRule="auto"/>
              <w:rPr>
                <w:rFonts w:ascii="Times New Roman"/>
                <w:snapToGrid w:val="0"/>
                <w:color w:val="000000" w:themeColor="text1"/>
                <w:spacing w:val="-16"/>
                <w:kern w:val="21"/>
                <w:sz w:val="24"/>
                <w:szCs w:val="24"/>
                <w:highlight w:val="none"/>
                <w14:textFill>
                  <w14:solidFill>
                    <w14:schemeClr w14:val="tx1"/>
                  </w14:solidFill>
                </w14:textFill>
              </w:rPr>
            </w:pPr>
            <w:r>
              <w:rPr>
                <w:rFonts w:ascii="Times New Roman"/>
                <w:snapToGrid w:val="0"/>
                <w:color w:val="000000" w:themeColor="text1"/>
                <w:spacing w:val="-16"/>
                <w:kern w:val="21"/>
                <w:sz w:val="24"/>
                <w:szCs w:val="24"/>
                <w:highlight w:val="none"/>
                <w14:textFill>
                  <w14:solidFill>
                    <w14:schemeClr w14:val="tx1"/>
                  </w14:solidFill>
                </w14:textFill>
              </w:rPr>
              <w:t>以新带老削减量</w:t>
            </w:r>
          </w:p>
          <w:p w14:paraId="3E60E100">
            <w:pPr>
              <w:pStyle w:val="38"/>
              <w:spacing w:beforeLines="0" w:afterLines="0" w:line="240" w:lineRule="auto"/>
              <w:rPr>
                <w:rFonts w:ascii="Times New Roman"/>
                <w:snapToGrid w:val="0"/>
                <w:color w:val="000000" w:themeColor="text1"/>
                <w:spacing w:val="-16"/>
                <w:kern w:val="21"/>
                <w:sz w:val="24"/>
                <w:szCs w:val="24"/>
                <w:highlight w:val="none"/>
                <w14:textFill>
                  <w14:solidFill>
                    <w14:schemeClr w14:val="tx1"/>
                  </w14:solidFill>
                </w14:textFill>
              </w:rPr>
            </w:pPr>
            <w:r>
              <w:rPr>
                <w:rFonts w:ascii="Times New Roman"/>
                <w:snapToGrid w:val="0"/>
                <w:color w:val="000000" w:themeColor="text1"/>
                <w:spacing w:val="-16"/>
                <w:kern w:val="21"/>
                <w:sz w:val="24"/>
                <w:szCs w:val="24"/>
                <w:highlight w:val="none"/>
                <w14:textFill>
                  <w14:solidFill>
                    <w14:schemeClr w14:val="tx1"/>
                  </w14:solidFill>
                </w14:textFill>
              </w:rPr>
              <w:t>（新建项目不填）</w:t>
            </w:r>
            <w:r>
              <w:rPr>
                <w:rFonts w:ascii="Times New Roman"/>
                <w:snapToGrid w:val="0"/>
                <w:color w:val="000000" w:themeColor="text1"/>
                <w:spacing w:val="-16"/>
                <w:kern w:val="21"/>
                <w:sz w:val="24"/>
                <w:szCs w:val="24"/>
                <w:highlight w:val="none"/>
                <w14:textFill>
                  <w14:solidFill>
                    <w14:schemeClr w14:val="tx1"/>
                  </w14:solidFill>
                </w14:textFill>
              </w:rPr>
              <w:fldChar w:fldCharType="begin"/>
            </w:r>
            <w:r>
              <w:rPr>
                <w:rFonts w:ascii="Times New Roman"/>
                <w:snapToGrid w:val="0"/>
                <w:color w:val="000000" w:themeColor="text1"/>
                <w:spacing w:val="-16"/>
                <w:kern w:val="21"/>
                <w:sz w:val="24"/>
                <w:szCs w:val="24"/>
                <w:highlight w:val="none"/>
                <w14:textFill>
                  <w14:solidFill>
                    <w14:schemeClr w14:val="tx1"/>
                  </w14:solidFill>
                </w14:textFill>
              </w:rPr>
              <w:instrText xml:space="preserve"> = 5 \* GB3 \* MERGEFORMAT </w:instrText>
            </w:r>
            <w:r>
              <w:rPr>
                <w:rFonts w:ascii="Times New Roman"/>
                <w:snapToGrid w:val="0"/>
                <w:color w:val="000000" w:themeColor="text1"/>
                <w:spacing w:val="-16"/>
                <w:kern w:val="21"/>
                <w:sz w:val="24"/>
                <w:szCs w:val="24"/>
                <w:highlight w:val="none"/>
                <w14:textFill>
                  <w14:solidFill>
                    <w14:schemeClr w14:val="tx1"/>
                  </w14:solidFill>
                </w14:textFill>
              </w:rPr>
              <w:fldChar w:fldCharType="separate"/>
            </w:r>
            <w:r>
              <w:rPr>
                <w:rFonts w:ascii="Times New Roman"/>
                <w:color w:val="000000" w:themeColor="text1"/>
                <w:kern w:val="2"/>
                <w:sz w:val="24"/>
                <w:szCs w:val="24"/>
                <w:highlight w:val="none"/>
                <w14:textFill>
                  <w14:solidFill>
                    <w14:schemeClr w14:val="tx1"/>
                  </w14:solidFill>
                </w14:textFill>
              </w:rPr>
              <w:t>⑤</w:t>
            </w:r>
            <w:r>
              <w:rPr>
                <w:rFonts w:ascii="Times New Roman"/>
                <w:snapToGrid w:val="0"/>
                <w:color w:val="000000" w:themeColor="text1"/>
                <w:spacing w:val="-16"/>
                <w:kern w:val="21"/>
                <w:sz w:val="24"/>
                <w:szCs w:val="24"/>
                <w:highlight w:val="none"/>
                <w14:textFill>
                  <w14:solidFill>
                    <w14:schemeClr w14:val="tx1"/>
                  </w14:solidFill>
                </w14:textFill>
              </w:rPr>
              <w:fldChar w:fldCharType="end"/>
            </w:r>
          </w:p>
        </w:tc>
        <w:tc>
          <w:tcPr>
            <w:tcW w:w="1738" w:type="dxa"/>
            <w:tcMar>
              <w:left w:w="28" w:type="dxa"/>
              <w:right w:w="28" w:type="dxa"/>
            </w:tcMar>
            <w:vAlign w:val="center"/>
          </w:tcPr>
          <w:p w14:paraId="68560CD9">
            <w:pPr>
              <w:pStyle w:val="38"/>
              <w:spacing w:beforeLines="0" w:afterLines="0" w:line="240" w:lineRule="auto"/>
              <w:rPr>
                <w:rFonts w:ascii="Times New Roman"/>
                <w:snapToGrid w:val="0"/>
                <w:color w:val="000000" w:themeColor="text1"/>
                <w:spacing w:val="-16"/>
                <w:kern w:val="21"/>
                <w:sz w:val="24"/>
                <w:szCs w:val="24"/>
                <w:highlight w:val="none"/>
                <w14:textFill>
                  <w14:solidFill>
                    <w14:schemeClr w14:val="tx1"/>
                  </w14:solidFill>
                </w14:textFill>
              </w:rPr>
            </w:pPr>
            <w:r>
              <w:rPr>
                <w:rFonts w:ascii="Times New Roman"/>
                <w:snapToGrid w:val="0"/>
                <w:color w:val="000000" w:themeColor="text1"/>
                <w:spacing w:val="-16"/>
                <w:kern w:val="21"/>
                <w:sz w:val="24"/>
                <w:szCs w:val="24"/>
                <w:highlight w:val="none"/>
                <w14:textFill>
                  <w14:solidFill>
                    <w14:schemeClr w14:val="tx1"/>
                  </w14:solidFill>
                </w14:textFill>
              </w:rPr>
              <w:t>本项目建成后</w:t>
            </w:r>
          </w:p>
          <w:p w14:paraId="7B015889">
            <w:pPr>
              <w:pStyle w:val="38"/>
              <w:spacing w:beforeLines="0" w:afterLines="0" w:line="240" w:lineRule="auto"/>
              <w:rPr>
                <w:rFonts w:ascii="Times New Roman"/>
                <w:snapToGrid w:val="0"/>
                <w:color w:val="000000" w:themeColor="text1"/>
                <w:spacing w:val="-16"/>
                <w:kern w:val="21"/>
                <w:sz w:val="24"/>
                <w:szCs w:val="24"/>
                <w:highlight w:val="none"/>
                <w14:textFill>
                  <w14:solidFill>
                    <w14:schemeClr w14:val="tx1"/>
                  </w14:solidFill>
                </w14:textFill>
              </w:rPr>
            </w:pPr>
            <w:r>
              <w:rPr>
                <w:rFonts w:ascii="Times New Roman"/>
                <w:snapToGrid w:val="0"/>
                <w:color w:val="000000" w:themeColor="text1"/>
                <w:spacing w:val="-16"/>
                <w:kern w:val="21"/>
                <w:sz w:val="24"/>
                <w:szCs w:val="24"/>
                <w:highlight w:val="none"/>
                <w14:textFill>
                  <w14:solidFill>
                    <w14:schemeClr w14:val="tx1"/>
                  </w14:solidFill>
                </w14:textFill>
              </w:rPr>
              <w:t>全厂排放量（固体废物产生量）</w:t>
            </w:r>
            <w:r>
              <w:rPr>
                <w:rFonts w:ascii="Times New Roman"/>
                <w:snapToGrid w:val="0"/>
                <w:color w:val="000000" w:themeColor="text1"/>
                <w:spacing w:val="-16"/>
                <w:kern w:val="21"/>
                <w:sz w:val="24"/>
                <w:szCs w:val="24"/>
                <w:highlight w:val="none"/>
                <w14:textFill>
                  <w14:solidFill>
                    <w14:schemeClr w14:val="tx1"/>
                  </w14:solidFill>
                </w14:textFill>
              </w:rPr>
              <w:fldChar w:fldCharType="begin"/>
            </w:r>
            <w:r>
              <w:rPr>
                <w:rFonts w:ascii="Times New Roman"/>
                <w:snapToGrid w:val="0"/>
                <w:color w:val="000000" w:themeColor="text1"/>
                <w:spacing w:val="-16"/>
                <w:kern w:val="21"/>
                <w:sz w:val="24"/>
                <w:szCs w:val="24"/>
                <w:highlight w:val="none"/>
                <w14:textFill>
                  <w14:solidFill>
                    <w14:schemeClr w14:val="tx1"/>
                  </w14:solidFill>
                </w14:textFill>
              </w:rPr>
              <w:instrText xml:space="preserve"> = 6 \* GB3 \* MERGEFORMAT </w:instrText>
            </w:r>
            <w:r>
              <w:rPr>
                <w:rFonts w:ascii="Times New Roman"/>
                <w:snapToGrid w:val="0"/>
                <w:color w:val="000000" w:themeColor="text1"/>
                <w:spacing w:val="-16"/>
                <w:kern w:val="21"/>
                <w:sz w:val="24"/>
                <w:szCs w:val="24"/>
                <w:highlight w:val="none"/>
                <w14:textFill>
                  <w14:solidFill>
                    <w14:schemeClr w14:val="tx1"/>
                  </w14:solidFill>
                </w14:textFill>
              </w:rPr>
              <w:fldChar w:fldCharType="separate"/>
            </w:r>
            <w:r>
              <w:rPr>
                <w:rFonts w:ascii="Times New Roman"/>
                <w:color w:val="000000" w:themeColor="text1"/>
                <w:kern w:val="2"/>
                <w:sz w:val="24"/>
                <w:szCs w:val="24"/>
                <w:highlight w:val="none"/>
                <w14:textFill>
                  <w14:solidFill>
                    <w14:schemeClr w14:val="tx1"/>
                  </w14:solidFill>
                </w14:textFill>
              </w:rPr>
              <w:t>⑥</w:t>
            </w:r>
            <w:r>
              <w:rPr>
                <w:rFonts w:ascii="Times New Roman"/>
                <w:snapToGrid w:val="0"/>
                <w:color w:val="000000" w:themeColor="text1"/>
                <w:spacing w:val="-16"/>
                <w:kern w:val="21"/>
                <w:sz w:val="24"/>
                <w:szCs w:val="24"/>
                <w:highlight w:val="none"/>
                <w14:textFill>
                  <w14:solidFill>
                    <w14:schemeClr w14:val="tx1"/>
                  </w14:solidFill>
                </w14:textFill>
              </w:rPr>
              <w:fldChar w:fldCharType="end"/>
            </w:r>
          </w:p>
        </w:tc>
        <w:tc>
          <w:tcPr>
            <w:tcW w:w="1189" w:type="dxa"/>
            <w:tcMar>
              <w:left w:w="28" w:type="dxa"/>
              <w:right w:w="28" w:type="dxa"/>
            </w:tcMar>
            <w:vAlign w:val="center"/>
          </w:tcPr>
          <w:p w14:paraId="3872B656">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t>变化量</w:t>
            </w:r>
          </w:p>
          <w:p w14:paraId="34D2597E">
            <w:pPr>
              <w:pStyle w:val="38"/>
              <w:spacing w:beforeLines="0" w:afterLines="0" w:line="240" w:lineRule="auto"/>
              <w:rPr>
                <w:rFonts w:ascii="Times New Roman"/>
                <w:snapToGrid w:val="0"/>
                <w:color w:val="000000" w:themeColor="text1"/>
                <w:spacing w:val="-6"/>
                <w:kern w:val="21"/>
                <w:sz w:val="24"/>
                <w:szCs w:val="24"/>
                <w:highlight w:val="none"/>
                <w14:textFill>
                  <w14:solidFill>
                    <w14:schemeClr w14:val="tx1"/>
                  </w14:solidFill>
                </w14:textFill>
              </w:rPr>
            </w:pPr>
            <w:r>
              <w:rPr>
                <w:rFonts w:ascii="Times New Roman"/>
                <w:snapToGrid w:val="0"/>
                <w:color w:val="000000" w:themeColor="text1"/>
                <w:spacing w:val="-6"/>
                <w:kern w:val="21"/>
                <w:sz w:val="24"/>
                <w:szCs w:val="24"/>
                <w:highlight w:val="none"/>
                <w14:textFill>
                  <w14:solidFill>
                    <w14:schemeClr w14:val="tx1"/>
                  </w14:solidFill>
                </w14:textFill>
              </w:rPr>
              <w:fldChar w:fldCharType="begin"/>
            </w:r>
            <w:r>
              <w:rPr>
                <w:rFonts w:ascii="Times New Roman"/>
                <w:snapToGrid w:val="0"/>
                <w:color w:val="000000" w:themeColor="text1"/>
                <w:spacing w:val="-6"/>
                <w:kern w:val="21"/>
                <w:sz w:val="24"/>
                <w:szCs w:val="24"/>
                <w:highlight w:val="none"/>
                <w14:textFill>
                  <w14:solidFill>
                    <w14:schemeClr w14:val="tx1"/>
                  </w14:solidFill>
                </w14:textFill>
              </w:rPr>
              <w:instrText xml:space="preserve"> = 7 \* GB3 \* MERGEFORMAT </w:instrText>
            </w:r>
            <w:r>
              <w:rPr>
                <w:rFonts w:ascii="Times New Roman"/>
                <w:snapToGrid w:val="0"/>
                <w:color w:val="000000" w:themeColor="text1"/>
                <w:spacing w:val="-6"/>
                <w:kern w:val="21"/>
                <w:sz w:val="24"/>
                <w:szCs w:val="24"/>
                <w:highlight w:val="none"/>
                <w14:textFill>
                  <w14:solidFill>
                    <w14:schemeClr w14:val="tx1"/>
                  </w14:solidFill>
                </w14:textFill>
              </w:rPr>
              <w:fldChar w:fldCharType="separate"/>
            </w:r>
            <w:r>
              <w:rPr>
                <w:rFonts w:ascii="Times New Roman"/>
                <w:color w:val="000000" w:themeColor="text1"/>
                <w:kern w:val="2"/>
                <w:sz w:val="24"/>
                <w:szCs w:val="24"/>
                <w:highlight w:val="none"/>
                <w14:textFill>
                  <w14:solidFill>
                    <w14:schemeClr w14:val="tx1"/>
                  </w14:solidFill>
                </w14:textFill>
              </w:rPr>
              <w:t>⑦</w:t>
            </w:r>
            <w:r>
              <w:rPr>
                <w:rFonts w:ascii="Times New Roman"/>
                <w:snapToGrid w:val="0"/>
                <w:color w:val="000000" w:themeColor="text1"/>
                <w:spacing w:val="-6"/>
                <w:kern w:val="21"/>
                <w:sz w:val="24"/>
                <w:szCs w:val="24"/>
                <w:highlight w:val="none"/>
                <w14:textFill>
                  <w14:solidFill>
                    <w14:schemeClr w14:val="tx1"/>
                  </w14:solidFill>
                </w14:textFill>
              </w:rPr>
              <w:fldChar w:fldCharType="end"/>
            </w:r>
          </w:p>
        </w:tc>
      </w:tr>
      <w:tr w14:paraId="7C59101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2F526799">
            <w:pPr>
              <w:pStyle w:val="38"/>
              <w:spacing w:beforeLines="0" w:afterLines="0" w:line="240" w:lineRule="auto"/>
              <w:rPr>
                <w:rFonts w:ascii="Times New Roman"/>
                <w:snapToGrid w:val="0"/>
                <w:color w:val="000000" w:themeColor="text1"/>
                <w:kern w:val="21"/>
                <w:sz w:val="24"/>
                <w:szCs w:val="24"/>
                <w:highlight w:val="none"/>
                <w14:textFill>
                  <w14:solidFill>
                    <w14:schemeClr w14:val="tx1"/>
                  </w14:solidFill>
                </w14:textFill>
              </w:rPr>
            </w:pPr>
            <w:r>
              <w:rPr>
                <w:rFonts w:ascii="Times New Roman"/>
                <w:snapToGrid w:val="0"/>
                <w:color w:val="000000" w:themeColor="text1"/>
                <w:kern w:val="21"/>
                <w:sz w:val="24"/>
                <w:szCs w:val="24"/>
                <w:highlight w:val="none"/>
                <w14:textFill>
                  <w14:solidFill>
                    <w14:schemeClr w14:val="tx1"/>
                  </w14:solidFill>
                </w14:textFill>
              </w:rPr>
              <w:t>废气</w:t>
            </w:r>
          </w:p>
        </w:tc>
        <w:tc>
          <w:tcPr>
            <w:tcW w:w="1417" w:type="dxa"/>
            <w:vAlign w:val="center"/>
          </w:tcPr>
          <w:p w14:paraId="74C77D75">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颗粒物</w:t>
            </w:r>
          </w:p>
        </w:tc>
        <w:tc>
          <w:tcPr>
            <w:tcW w:w="1701" w:type="dxa"/>
            <w:vAlign w:val="center"/>
          </w:tcPr>
          <w:p w14:paraId="762D0D0A">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276" w:type="dxa"/>
            <w:vAlign w:val="center"/>
          </w:tcPr>
          <w:p w14:paraId="0D63AED7">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01" w:type="dxa"/>
            <w:vAlign w:val="center"/>
          </w:tcPr>
          <w:p w14:paraId="639C30AD">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559" w:type="dxa"/>
            <w:vAlign w:val="center"/>
          </w:tcPr>
          <w:p w14:paraId="5BEA490E">
            <w:pPr>
              <w:pStyle w:val="38"/>
              <w:spacing w:beforeLines="0" w:afterLines="0" w:line="240" w:lineRule="auto"/>
              <w:rPr>
                <w:rFonts w:hint="default" w:ascii="Times New Roman" w:eastAsia="宋体"/>
                <w:snapToGrid w:val="0"/>
                <w:color w:val="FF0000"/>
                <w:kern w:val="21"/>
                <w:sz w:val="24"/>
                <w:szCs w:val="24"/>
                <w:highlight w:val="none"/>
                <w:lang w:val="en-US" w:eastAsia="zh-CN"/>
              </w:rPr>
            </w:pPr>
            <w:r>
              <w:rPr>
                <w:rFonts w:hint="eastAsia" w:ascii="Times New Roman"/>
                <w:snapToGrid w:val="0"/>
                <w:color w:val="FF0000"/>
                <w:kern w:val="21"/>
                <w:sz w:val="24"/>
                <w:szCs w:val="24"/>
                <w:highlight w:val="none"/>
                <w:lang w:val="en-US" w:eastAsia="zh-CN"/>
              </w:rPr>
              <w:t>7.886</w:t>
            </w:r>
          </w:p>
        </w:tc>
        <w:tc>
          <w:tcPr>
            <w:tcW w:w="1619" w:type="dxa"/>
            <w:vAlign w:val="center"/>
          </w:tcPr>
          <w:p w14:paraId="686E3A56">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38" w:type="dxa"/>
            <w:vAlign w:val="center"/>
          </w:tcPr>
          <w:p w14:paraId="1EB10F33">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lang w:val="en-US" w:eastAsia="zh-CN"/>
              </w:rPr>
              <w:t>7.886</w:t>
            </w:r>
          </w:p>
        </w:tc>
        <w:tc>
          <w:tcPr>
            <w:tcW w:w="1189" w:type="dxa"/>
            <w:vAlign w:val="center"/>
          </w:tcPr>
          <w:p w14:paraId="26D70722">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r>
              <w:rPr>
                <w:rFonts w:hint="eastAsia" w:ascii="Times New Roman"/>
                <w:snapToGrid w:val="0"/>
                <w:color w:val="FF0000"/>
                <w:kern w:val="21"/>
                <w:sz w:val="24"/>
                <w:szCs w:val="24"/>
                <w:highlight w:val="none"/>
                <w:lang w:val="en-US" w:eastAsia="zh-CN"/>
              </w:rPr>
              <w:t>7.886</w:t>
            </w:r>
          </w:p>
        </w:tc>
      </w:tr>
      <w:tr w14:paraId="1397B56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3B3761B7">
            <w:pPr>
              <w:pStyle w:val="38"/>
              <w:spacing w:beforeLines="0" w:afterLines="0" w:line="240" w:lineRule="auto"/>
              <w:rPr>
                <w:rFonts w:ascii="Times New Roman"/>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14:textFill>
                  <w14:solidFill>
                    <w14:schemeClr w14:val="tx1"/>
                  </w14:solidFill>
                </w14:textFill>
              </w:rPr>
              <w:t>一般工业</w:t>
            </w:r>
          </w:p>
          <w:p w14:paraId="5E5EDDA5">
            <w:pPr>
              <w:jc w:val="center"/>
              <w:rPr>
                <w:color w:val="000000" w:themeColor="text1"/>
                <w:highlight w:val="none"/>
                <w14:textFill>
                  <w14:solidFill>
                    <w14:schemeClr w14:val="tx1"/>
                  </w14:solidFill>
                </w14:textFill>
              </w:rPr>
            </w:pPr>
            <w:r>
              <w:rPr>
                <w:rFonts w:hint="eastAsia"/>
                <w:color w:val="000000" w:themeColor="text1"/>
                <w:sz w:val="24"/>
                <w:highlight w:val="none"/>
                <w14:textFill>
                  <w14:solidFill>
                    <w14:schemeClr w14:val="tx1"/>
                  </w14:solidFill>
                </w14:textFill>
              </w:rPr>
              <w:t>固体废物</w:t>
            </w:r>
          </w:p>
        </w:tc>
        <w:tc>
          <w:tcPr>
            <w:tcW w:w="1417" w:type="dxa"/>
            <w:vAlign w:val="center"/>
          </w:tcPr>
          <w:p w14:paraId="27053A1B">
            <w:pPr>
              <w:widowControl/>
              <w:jc w:val="center"/>
              <w:rPr>
                <w:color w:val="FF0000"/>
                <w:kern w:val="0"/>
                <w:sz w:val="24"/>
                <w:highlight w:val="none"/>
                <w:lang w:bidi="ar"/>
              </w:rPr>
            </w:pPr>
            <w:r>
              <w:rPr>
                <w:rFonts w:hint="eastAsia"/>
                <w:color w:val="FF0000"/>
                <w:kern w:val="0"/>
                <w:sz w:val="24"/>
                <w:highlight w:val="none"/>
                <w:lang w:bidi="ar"/>
              </w:rPr>
              <w:t>除尘灰</w:t>
            </w:r>
          </w:p>
        </w:tc>
        <w:tc>
          <w:tcPr>
            <w:tcW w:w="1701" w:type="dxa"/>
            <w:vAlign w:val="center"/>
          </w:tcPr>
          <w:p w14:paraId="30A53667">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276" w:type="dxa"/>
            <w:vAlign w:val="center"/>
          </w:tcPr>
          <w:p w14:paraId="34C3F577">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01" w:type="dxa"/>
            <w:vAlign w:val="center"/>
          </w:tcPr>
          <w:p w14:paraId="3AA33296">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559" w:type="dxa"/>
            <w:vAlign w:val="center"/>
          </w:tcPr>
          <w:p w14:paraId="17E4B7DC">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eastAsia="zh-CN" w:bidi="ar"/>
              </w:rPr>
              <w:t>442.4</w:t>
            </w:r>
            <w:r>
              <w:rPr>
                <w:rFonts w:hint="eastAsia"/>
                <w:color w:val="FF0000"/>
                <w:sz w:val="24"/>
                <w:szCs w:val="24"/>
                <w:highlight w:val="none"/>
                <w:lang w:val="en-US" w:eastAsia="zh-CN" w:bidi="ar"/>
              </w:rPr>
              <w:t>79</w:t>
            </w:r>
          </w:p>
        </w:tc>
        <w:tc>
          <w:tcPr>
            <w:tcW w:w="1619" w:type="dxa"/>
            <w:vAlign w:val="center"/>
          </w:tcPr>
          <w:p w14:paraId="7D268555">
            <w:pPr>
              <w:pStyle w:val="38"/>
              <w:spacing w:beforeLines="0" w:afterLines="0" w:line="240" w:lineRule="auto"/>
              <w:rPr>
                <w:rFonts w:hint="eastAsia" w:ascii="Times New Roman" w:eastAsia="宋体"/>
                <w:snapToGrid w:val="0"/>
                <w:color w:val="FF0000"/>
                <w:kern w:val="21"/>
                <w:sz w:val="24"/>
                <w:szCs w:val="24"/>
                <w:highlight w:val="none"/>
                <w:lang w:val="en-US" w:eastAsia="zh-CN"/>
              </w:rPr>
            </w:pPr>
            <w:r>
              <w:rPr>
                <w:rFonts w:hint="eastAsia" w:ascii="Times New Roman"/>
                <w:snapToGrid w:val="0"/>
                <w:color w:val="FF0000"/>
                <w:kern w:val="21"/>
                <w:sz w:val="24"/>
                <w:szCs w:val="24"/>
                <w:highlight w:val="none"/>
                <w:lang w:val="en-US" w:eastAsia="zh-CN"/>
              </w:rPr>
              <w:t>/</w:t>
            </w:r>
          </w:p>
        </w:tc>
        <w:tc>
          <w:tcPr>
            <w:tcW w:w="1738" w:type="dxa"/>
            <w:vAlign w:val="center"/>
          </w:tcPr>
          <w:p w14:paraId="54069F72">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eastAsia="zh-CN" w:bidi="ar"/>
              </w:rPr>
              <w:t>442.4</w:t>
            </w:r>
            <w:r>
              <w:rPr>
                <w:rFonts w:hint="eastAsia"/>
                <w:color w:val="FF0000"/>
                <w:sz w:val="24"/>
                <w:szCs w:val="24"/>
                <w:highlight w:val="none"/>
                <w:lang w:val="en-US" w:eastAsia="zh-CN" w:bidi="ar"/>
              </w:rPr>
              <w:t>79</w:t>
            </w:r>
          </w:p>
        </w:tc>
        <w:tc>
          <w:tcPr>
            <w:tcW w:w="1189" w:type="dxa"/>
            <w:vAlign w:val="center"/>
          </w:tcPr>
          <w:p w14:paraId="0F3F753C">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bidi="ar"/>
              </w:rPr>
              <w:t>+</w:t>
            </w:r>
            <w:r>
              <w:rPr>
                <w:rFonts w:hint="eastAsia"/>
                <w:color w:val="FF0000"/>
                <w:sz w:val="24"/>
                <w:szCs w:val="24"/>
                <w:highlight w:val="none"/>
                <w:lang w:eastAsia="zh-CN" w:bidi="ar"/>
              </w:rPr>
              <w:t>442.4</w:t>
            </w:r>
            <w:r>
              <w:rPr>
                <w:rFonts w:hint="eastAsia"/>
                <w:color w:val="FF0000"/>
                <w:sz w:val="24"/>
                <w:szCs w:val="24"/>
                <w:highlight w:val="none"/>
                <w:lang w:val="en-US" w:eastAsia="zh-CN" w:bidi="ar"/>
              </w:rPr>
              <w:t>79</w:t>
            </w:r>
          </w:p>
        </w:tc>
      </w:tr>
      <w:tr w14:paraId="45C2FBA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792605ED">
            <w:pPr>
              <w:jc w:val="center"/>
              <w:rPr>
                <w:color w:val="000000" w:themeColor="text1"/>
                <w:sz w:val="24"/>
                <w:highlight w:val="none"/>
                <w14:textFill>
                  <w14:solidFill>
                    <w14:schemeClr w14:val="tx1"/>
                  </w14:solidFill>
                </w14:textFill>
              </w:rPr>
            </w:pPr>
          </w:p>
        </w:tc>
        <w:tc>
          <w:tcPr>
            <w:tcW w:w="1417" w:type="dxa"/>
            <w:vAlign w:val="center"/>
          </w:tcPr>
          <w:p w14:paraId="63E0E145">
            <w:pPr>
              <w:widowControl/>
              <w:jc w:val="center"/>
              <w:rPr>
                <w:color w:val="FF0000"/>
                <w:kern w:val="0"/>
                <w:sz w:val="24"/>
                <w:highlight w:val="none"/>
                <w:lang w:bidi="ar"/>
              </w:rPr>
            </w:pPr>
            <w:r>
              <w:rPr>
                <w:color w:val="FF0000"/>
                <w:kern w:val="0"/>
                <w:sz w:val="24"/>
                <w:highlight w:val="none"/>
                <w:lang w:bidi="ar"/>
              </w:rPr>
              <w:t>废</w:t>
            </w:r>
            <w:r>
              <w:rPr>
                <w:rFonts w:hint="eastAsia"/>
                <w:color w:val="FF0000"/>
                <w:kern w:val="0"/>
                <w:sz w:val="24"/>
                <w:highlight w:val="none"/>
                <w:lang w:bidi="ar"/>
              </w:rPr>
              <w:t>布袋</w:t>
            </w:r>
          </w:p>
        </w:tc>
        <w:tc>
          <w:tcPr>
            <w:tcW w:w="1701" w:type="dxa"/>
            <w:vAlign w:val="center"/>
          </w:tcPr>
          <w:p w14:paraId="73A9B96A">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276" w:type="dxa"/>
            <w:vAlign w:val="center"/>
          </w:tcPr>
          <w:p w14:paraId="763CD880">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01" w:type="dxa"/>
            <w:vAlign w:val="center"/>
          </w:tcPr>
          <w:p w14:paraId="5D91224E">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559" w:type="dxa"/>
            <w:vAlign w:val="center"/>
          </w:tcPr>
          <w:p w14:paraId="4E4A0F83">
            <w:pPr>
              <w:pStyle w:val="13"/>
              <w:jc w:val="center"/>
              <w:rPr>
                <w:rFonts w:hint="eastAsia" w:eastAsia="宋体"/>
                <w:color w:val="FF0000"/>
                <w:sz w:val="24"/>
                <w:szCs w:val="24"/>
                <w:highlight w:val="none"/>
                <w:lang w:eastAsia="zh-CN" w:bidi="ar"/>
              </w:rPr>
            </w:pPr>
            <w:r>
              <w:rPr>
                <w:color w:val="FF0000"/>
                <w:sz w:val="24"/>
                <w:szCs w:val="24"/>
                <w:highlight w:val="none"/>
                <w:lang w:bidi="ar"/>
              </w:rPr>
              <w:t>0.</w:t>
            </w:r>
            <w:r>
              <w:rPr>
                <w:rFonts w:hint="eastAsia"/>
                <w:color w:val="FF0000"/>
                <w:sz w:val="24"/>
                <w:szCs w:val="24"/>
                <w:highlight w:val="none"/>
                <w:lang w:val="en-US" w:eastAsia="zh-CN" w:bidi="ar"/>
              </w:rPr>
              <w:t>3</w:t>
            </w:r>
          </w:p>
        </w:tc>
        <w:tc>
          <w:tcPr>
            <w:tcW w:w="1619" w:type="dxa"/>
            <w:vAlign w:val="center"/>
          </w:tcPr>
          <w:p w14:paraId="1C4D24E0">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38" w:type="dxa"/>
            <w:vAlign w:val="center"/>
          </w:tcPr>
          <w:p w14:paraId="181DB15E">
            <w:pPr>
              <w:pStyle w:val="13"/>
              <w:jc w:val="center"/>
              <w:rPr>
                <w:rFonts w:hint="eastAsia" w:eastAsia="宋体"/>
                <w:color w:val="FF0000"/>
                <w:sz w:val="24"/>
                <w:szCs w:val="24"/>
                <w:highlight w:val="none"/>
                <w:lang w:eastAsia="zh-CN" w:bidi="ar"/>
              </w:rPr>
            </w:pPr>
            <w:r>
              <w:rPr>
                <w:color w:val="FF0000"/>
                <w:sz w:val="24"/>
                <w:szCs w:val="24"/>
                <w:highlight w:val="none"/>
                <w:lang w:bidi="ar"/>
              </w:rPr>
              <w:t>0.</w:t>
            </w:r>
            <w:r>
              <w:rPr>
                <w:rFonts w:hint="eastAsia"/>
                <w:color w:val="FF0000"/>
                <w:sz w:val="24"/>
                <w:szCs w:val="24"/>
                <w:highlight w:val="none"/>
                <w:lang w:val="en-US" w:eastAsia="zh-CN" w:bidi="ar"/>
              </w:rPr>
              <w:t>3</w:t>
            </w:r>
          </w:p>
        </w:tc>
        <w:tc>
          <w:tcPr>
            <w:tcW w:w="1189" w:type="dxa"/>
            <w:vAlign w:val="center"/>
          </w:tcPr>
          <w:p w14:paraId="3E9AB833">
            <w:pPr>
              <w:pStyle w:val="13"/>
              <w:jc w:val="center"/>
              <w:rPr>
                <w:rFonts w:hint="eastAsia" w:eastAsia="宋体"/>
                <w:color w:val="FF0000"/>
                <w:sz w:val="24"/>
                <w:szCs w:val="24"/>
                <w:highlight w:val="none"/>
                <w:lang w:eastAsia="zh-CN" w:bidi="ar"/>
              </w:rPr>
            </w:pPr>
            <w:r>
              <w:rPr>
                <w:rFonts w:hint="eastAsia"/>
                <w:color w:val="FF0000"/>
                <w:sz w:val="24"/>
                <w:szCs w:val="24"/>
                <w:highlight w:val="none"/>
                <w:lang w:bidi="ar"/>
              </w:rPr>
              <w:t>+</w:t>
            </w:r>
            <w:r>
              <w:rPr>
                <w:color w:val="FF0000"/>
                <w:sz w:val="24"/>
                <w:szCs w:val="24"/>
                <w:highlight w:val="none"/>
                <w:lang w:bidi="ar"/>
              </w:rPr>
              <w:t>0.</w:t>
            </w:r>
            <w:r>
              <w:rPr>
                <w:rFonts w:hint="eastAsia"/>
                <w:color w:val="FF0000"/>
                <w:sz w:val="24"/>
                <w:szCs w:val="24"/>
                <w:highlight w:val="none"/>
                <w:lang w:val="en-US" w:eastAsia="zh-CN" w:bidi="ar"/>
              </w:rPr>
              <w:t>3</w:t>
            </w:r>
          </w:p>
        </w:tc>
      </w:tr>
      <w:tr w14:paraId="18EEE8C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82A0BA5">
            <w:pPr>
              <w:jc w:val="center"/>
              <w:rPr>
                <w:color w:val="000000" w:themeColor="text1"/>
                <w:sz w:val="24"/>
                <w:highlight w:val="none"/>
                <w14:textFill>
                  <w14:solidFill>
                    <w14:schemeClr w14:val="tx1"/>
                  </w14:solidFill>
                </w14:textFill>
              </w:rPr>
            </w:pPr>
          </w:p>
        </w:tc>
        <w:tc>
          <w:tcPr>
            <w:tcW w:w="1417" w:type="dxa"/>
            <w:vAlign w:val="center"/>
          </w:tcPr>
          <w:p w14:paraId="04D67263">
            <w:pPr>
              <w:widowControl/>
              <w:jc w:val="center"/>
              <w:rPr>
                <w:color w:val="FF0000"/>
                <w:kern w:val="0"/>
                <w:sz w:val="24"/>
                <w:highlight w:val="none"/>
                <w:lang w:bidi="ar"/>
              </w:rPr>
            </w:pPr>
            <w:r>
              <w:rPr>
                <w:rFonts w:hint="eastAsia"/>
                <w:color w:val="FF0000"/>
                <w:kern w:val="0"/>
                <w:sz w:val="24"/>
                <w:highlight w:val="none"/>
                <w:lang w:bidi="ar"/>
              </w:rPr>
              <w:t>地面沉积灰</w:t>
            </w:r>
          </w:p>
        </w:tc>
        <w:tc>
          <w:tcPr>
            <w:tcW w:w="1701" w:type="dxa"/>
            <w:vAlign w:val="center"/>
          </w:tcPr>
          <w:p w14:paraId="7909613D">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276" w:type="dxa"/>
            <w:vAlign w:val="center"/>
          </w:tcPr>
          <w:p w14:paraId="6A8C76F3">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01" w:type="dxa"/>
            <w:vAlign w:val="center"/>
          </w:tcPr>
          <w:p w14:paraId="348C854E">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559" w:type="dxa"/>
            <w:vAlign w:val="center"/>
          </w:tcPr>
          <w:p w14:paraId="39C1D870">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val="en-US" w:eastAsia="zh-CN" w:bidi="ar"/>
              </w:rPr>
              <w:t>54.936</w:t>
            </w:r>
          </w:p>
        </w:tc>
        <w:tc>
          <w:tcPr>
            <w:tcW w:w="1619" w:type="dxa"/>
            <w:vAlign w:val="center"/>
          </w:tcPr>
          <w:p w14:paraId="7FCA7B79">
            <w:pPr>
              <w:pStyle w:val="38"/>
              <w:spacing w:beforeLines="0" w:afterLines="0" w:line="240" w:lineRule="auto"/>
              <w:rPr>
                <w:rFonts w:hint="eastAsia" w:ascii="Times New Roman" w:eastAsia="宋体"/>
                <w:snapToGrid w:val="0"/>
                <w:color w:val="FF0000"/>
                <w:kern w:val="21"/>
                <w:sz w:val="24"/>
                <w:szCs w:val="24"/>
                <w:highlight w:val="none"/>
                <w:lang w:val="en-US" w:eastAsia="zh-CN"/>
              </w:rPr>
            </w:pPr>
            <w:r>
              <w:rPr>
                <w:rFonts w:hint="eastAsia" w:ascii="Times New Roman"/>
                <w:snapToGrid w:val="0"/>
                <w:color w:val="FF0000"/>
                <w:kern w:val="21"/>
                <w:sz w:val="24"/>
                <w:szCs w:val="24"/>
                <w:highlight w:val="none"/>
                <w:lang w:val="en-US" w:eastAsia="zh-CN"/>
              </w:rPr>
              <w:t>/</w:t>
            </w:r>
          </w:p>
        </w:tc>
        <w:tc>
          <w:tcPr>
            <w:tcW w:w="1738" w:type="dxa"/>
            <w:vAlign w:val="center"/>
          </w:tcPr>
          <w:p w14:paraId="033AC902">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val="en-US" w:eastAsia="zh-CN" w:bidi="ar"/>
              </w:rPr>
              <w:t>54.936</w:t>
            </w:r>
          </w:p>
        </w:tc>
        <w:tc>
          <w:tcPr>
            <w:tcW w:w="1189" w:type="dxa"/>
            <w:vAlign w:val="center"/>
          </w:tcPr>
          <w:p w14:paraId="746F61B2">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bidi="ar"/>
              </w:rPr>
              <w:t>+</w:t>
            </w:r>
            <w:r>
              <w:rPr>
                <w:rFonts w:hint="eastAsia"/>
                <w:color w:val="FF0000"/>
                <w:sz w:val="24"/>
                <w:szCs w:val="24"/>
                <w:highlight w:val="none"/>
                <w:lang w:val="en-US" w:eastAsia="zh-CN" w:bidi="ar"/>
              </w:rPr>
              <w:t>54.936</w:t>
            </w:r>
          </w:p>
        </w:tc>
      </w:tr>
      <w:tr w14:paraId="36CF191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4843ACD5">
            <w:pPr>
              <w:jc w:val="center"/>
              <w:rPr>
                <w:color w:val="000000" w:themeColor="text1"/>
                <w:sz w:val="24"/>
                <w:highlight w:val="none"/>
                <w14:textFill>
                  <w14:solidFill>
                    <w14:schemeClr w14:val="tx1"/>
                  </w14:solidFill>
                </w14:textFill>
              </w:rPr>
            </w:pPr>
          </w:p>
        </w:tc>
        <w:tc>
          <w:tcPr>
            <w:tcW w:w="1417" w:type="dxa"/>
            <w:vAlign w:val="center"/>
          </w:tcPr>
          <w:p w14:paraId="4F31888A">
            <w:pPr>
              <w:widowControl/>
              <w:jc w:val="center"/>
              <w:rPr>
                <w:rFonts w:hint="default" w:eastAsia="宋体"/>
                <w:color w:val="FF0000"/>
                <w:kern w:val="0"/>
                <w:sz w:val="24"/>
                <w:highlight w:val="none"/>
                <w:lang w:val="en-US" w:eastAsia="zh-CN" w:bidi="ar"/>
              </w:rPr>
            </w:pPr>
            <w:r>
              <w:rPr>
                <w:rFonts w:hint="eastAsia"/>
                <w:color w:val="FF0000"/>
                <w:kern w:val="0"/>
                <w:sz w:val="24"/>
                <w:highlight w:val="none"/>
                <w:lang w:val="en-US" w:eastAsia="zh-CN" w:bidi="ar"/>
              </w:rPr>
              <w:t>沉淀池泥渣</w:t>
            </w:r>
          </w:p>
        </w:tc>
        <w:tc>
          <w:tcPr>
            <w:tcW w:w="1701" w:type="dxa"/>
            <w:shd w:val="clear" w:color="auto" w:fill="auto"/>
            <w:vAlign w:val="center"/>
          </w:tcPr>
          <w:p w14:paraId="6977E79A">
            <w:pPr>
              <w:pStyle w:val="38"/>
              <w:spacing w:beforeLines="0" w:afterLines="0" w:line="240" w:lineRule="auto"/>
              <w:rPr>
                <w:rFonts w:hint="eastAsia" w:ascii="Times New Roman" w:hAnsi="Times New Roman" w:eastAsia="宋体" w:cs="Times New Roman"/>
                <w:snapToGrid w:val="0"/>
                <w:color w:val="FF0000"/>
                <w:kern w:val="21"/>
                <w:sz w:val="24"/>
                <w:szCs w:val="24"/>
                <w:highlight w:val="none"/>
                <w:lang w:val="en-US" w:eastAsia="zh-CN" w:bidi="ar-SA"/>
              </w:rPr>
            </w:pPr>
            <w:r>
              <w:rPr>
                <w:rFonts w:hint="eastAsia" w:ascii="Times New Roman"/>
                <w:snapToGrid w:val="0"/>
                <w:color w:val="FF0000"/>
                <w:kern w:val="21"/>
                <w:sz w:val="24"/>
                <w:szCs w:val="24"/>
                <w:highlight w:val="none"/>
              </w:rPr>
              <w:t>/</w:t>
            </w:r>
          </w:p>
        </w:tc>
        <w:tc>
          <w:tcPr>
            <w:tcW w:w="1276" w:type="dxa"/>
            <w:shd w:val="clear" w:color="auto" w:fill="auto"/>
            <w:vAlign w:val="center"/>
          </w:tcPr>
          <w:p w14:paraId="2495C1BB">
            <w:pPr>
              <w:pStyle w:val="38"/>
              <w:spacing w:beforeLines="0" w:afterLines="0" w:line="240" w:lineRule="auto"/>
              <w:rPr>
                <w:rFonts w:hint="eastAsia" w:ascii="Times New Roman" w:hAnsi="Times New Roman" w:eastAsia="宋体" w:cs="Times New Roman"/>
                <w:snapToGrid w:val="0"/>
                <w:color w:val="FF0000"/>
                <w:kern w:val="21"/>
                <w:sz w:val="24"/>
                <w:szCs w:val="24"/>
                <w:highlight w:val="none"/>
                <w:lang w:val="en-US" w:eastAsia="zh-CN" w:bidi="ar-SA"/>
              </w:rPr>
            </w:pPr>
            <w:r>
              <w:rPr>
                <w:rFonts w:hint="eastAsia" w:ascii="Times New Roman"/>
                <w:snapToGrid w:val="0"/>
                <w:color w:val="FF0000"/>
                <w:kern w:val="21"/>
                <w:sz w:val="24"/>
                <w:szCs w:val="24"/>
                <w:highlight w:val="none"/>
              </w:rPr>
              <w:t>/</w:t>
            </w:r>
          </w:p>
        </w:tc>
        <w:tc>
          <w:tcPr>
            <w:tcW w:w="1701" w:type="dxa"/>
            <w:shd w:val="clear" w:color="auto" w:fill="auto"/>
            <w:vAlign w:val="center"/>
          </w:tcPr>
          <w:p w14:paraId="2C4BBD6C">
            <w:pPr>
              <w:pStyle w:val="38"/>
              <w:spacing w:beforeLines="0" w:afterLines="0" w:line="240" w:lineRule="auto"/>
              <w:rPr>
                <w:rFonts w:hint="eastAsia" w:ascii="Times New Roman" w:hAnsi="Times New Roman" w:eastAsia="宋体" w:cs="Times New Roman"/>
                <w:snapToGrid w:val="0"/>
                <w:color w:val="FF0000"/>
                <w:kern w:val="21"/>
                <w:sz w:val="24"/>
                <w:szCs w:val="24"/>
                <w:highlight w:val="none"/>
                <w:lang w:val="en-US" w:eastAsia="zh-CN" w:bidi="ar-SA"/>
              </w:rPr>
            </w:pPr>
            <w:r>
              <w:rPr>
                <w:rFonts w:hint="eastAsia" w:ascii="Times New Roman"/>
                <w:snapToGrid w:val="0"/>
                <w:color w:val="FF0000"/>
                <w:kern w:val="21"/>
                <w:sz w:val="24"/>
                <w:szCs w:val="24"/>
                <w:highlight w:val="none"/>
              </w:rPr>
              <w:t>/</w:t>
            </w:r>
          </w:p>
        </w:tc>
        <w:tc>
          <w:tcPr>
            <w:tcW w:w="1559" w:type="dxa"/>
            <w:vAlign w:val="center"/>
          </w:tcPr>
          <w:p w14:paraId="04E94D93">
            <w:pPr>
              <w:pStyle w:val="13"/>
              <w:jc w:val="center"/>
              <w:rPr>
                <w:rFonts w:hint="default"/>
                <w:color w:val="FF0000"/>
                <w:sz w:val="24"/>
                <w:szCs w:val="24"/>
                <w:highlight w:val="none"/>
                <w:lang w:val="en-US" w:eastAsia="zh-CN" w:bidi="ar"/>
              </w:rPr>
            </w:pPr>
            <w:r>
              <w:rPr>
                <w:rFonts w:hint="eastAsia"/>
                <w:color w:val="FF0000"/>
                <w:sz w:val="24"/>
                <w:szCs w:val="24"/>
                <w:highlight w:val="none"/>
                <w:lang w:val="en-US" w:eastAsia="zh-CN" w:bidi="ar"/>
              </w:rPr>
              <w:t>0.025</w:t>
            </w:r>
          </w:p>
        </w:tc>
        <w:tc>
          <w:tcPr>
            <w:tcW w:w="1619" w:type="dxa"/>
            <w:vAlign w:val="center"/>
          </w:tcPr>
          <w:p w14:paraId="331F184D">
            <w:pPr>
              <w:pStyle w:val="38"/>
              <w:spacing w:beforeLines="0" w:afterLines="0" w:line="240" w:lineRule="auto"/>
              <w:rPr>
                <w:rFonts w:hint="eastAsia" w:ascii="Times New Roman" w:eastAsia="宋体"/>
                <w:snapToGrid w:val="0"/>
                <w:color w:val="FF0000"/>
                <w:kern w:val="21"/>
                <w:sz w:val="24"/>
                <w:szCs w:val="24"/>
                <w:highlight w:val="none"/>
                <w:lang w:val="en-US" w:eastAsia="zh-CN"/>
              </w:rPr>
            </w:pPr>
            <w:r>
              <w:rPr>
                <w:rFonts w:hint="eastAsia" w:ascii="Times New Roman"/>
                <w:snapToGrid w:val="0"/>
                <w:color w:val="FF0000"/>
                <w:kern w:val="21"/>
                <w:sz w:val="24"/>
                <w:szCs w:val="24"/>
                <w:highlight w:val="none"/>
                <w:lang w:val="en-US" w:eastAsia="zh-CN"/>
              </w:rPr>
              <w:t>/</w:t>
            </w:r>
          </w:p>
        </w:tc>
        <w:tc>
          <w:tcPr>
            <w:tcW w:w="1738" w:type="dxa"/>
            <w:vAlign w:val="center"/>
          </w:tcPr>
          <w:p w14:paraId="6D2D32E6">
            <w:pPr>
              <w:pStyle w:val="13"/>
              <w:jc w:val="center"/>
              <w:rPr>
                <w:rFonts w:hint="default"/>
                <w:color w:val="FF0000"/>
                <w:sz w:val="24"/>
                <w:szCs w:val="24"/>
                <w:highlight w:val="none"/>
                <w:lang w:val="en-US" w:eastAsia="zh-CN" w:bidi="ar"/>
              </w:rPr>
            </w:pPr>
            <w:r>
              <w:rPr>
                <w:rFonts w:hint="eastAsia"/>
                <w:color w:val="FF0000"/>
                <w:sz w:val="24"/>
                <w:szCs w:val="24"/>
                <w:highlight w:val="none"/>
                <w:lang w:val="en-US" w:eastAsia="zh-CN" w:bidi="ar"/>
              </w:rPr>
              <w:t>0.025</w:t>
            </w:r>
          </w:p>
        </w:tc>
        <w:tc>
          <w:tcPr>
            <w:tcW w:w="1189" w:type="dxa"/>
            <w:vAlign w:val="center"/>
          </w:tcPr>
          <w:p w14:paraId="4A6E5B37">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val="en-US" w:eastAsia="zh-CN" w:bidi="ar"/>
              </w:rPr>
              <w:t>+0.025</w:t>
            </w:r>
          </w:p>
        </w:tc>
      </w:tr>
      <w:tr w14:paraId="0F8B20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restart"/>
            <w:vAlign w:val="center"/>
          </w:tcPr>
          <w:p w14:paraId="06765463">
            <w:pPr>
              <w:pStyle w:val="38"/>
              <w:spacing w:beforeLines="0" w:afterLines="0" w:line="240" w:lineRule="auto"/>
              <w:rPr>
                <w:rFonts w:ascii="Times New Roman"/>
                <w:snapToGrid w:val="0"/>
                <w:color w:val="000000" w:themeColor="text1"/>
                <w:kern w:val="21"/>
                <w:sz w:val="24"/>
                <w:szCs w:val="24"/>
                <w:highlight w:val="none"/>
                <w14:textFill>
                  <w14:solidFill>
                    <w14:schemeClr w14:val="tx1"/>
                  </w14:solidFill>
                </w14:textFill>
              </w:rPr>
            </w:pPr>
            <w:r>
              <w:rPr>
                <w:rFonts w:hint="eastAsia" w:ascii="Times New Roman"/>
                <w:snapToGrid w:val="0"/>
                <w:color w:val="000000" w:themeColor="text1"/>
                <w:kern w:val="21"/>
                <w:sz w:val="24"/>
                <w:szCs w:val="24"/>
                <w:highlight w:val="none"/>
                <w14:textFill>
                  <w14:solidFill>
                    <w14:schemeClr w14:val="tx1"/>
                  </w14:solidFill>
                </w14:textFill>
              </w:rPr>
              <w:t>危险废物</w:t>
            </w:r>
          </w:p>
        </w:tc>
        <w:tc>
          <w:tcPr>
            <w:tcW w:w="1417" w:type="dxa"/>
            <w:vAlign w:val="center"/>
          </w:tcPr>
          <w:p w14:paraId="0BA7D797">
            <w:pPr>
              <w:widowControl/>
              <w:jc w:val="center"/>
              <w:rPr>
                <w:color w:val="FF0000"/>
                <w:kern w:val="0"/>
                <w:sz w:val="24"/>
                <w:highlight w:val="none"/>
                <w:lang w:bidi="ar"/>
              </w:rPr>
            </w:pPr>
            <w:r>
              <w:rPr>
                <w:rFonts w:hint="eastAsia"/>
                <w:color w:val="FF0000"/>
                <w:kern w:val="0"/>
                <w:sz w:val="24"/>
                <w:highlight w:val="none"/>
                <w:lang w:bidi="ar"/>
              </w:rPr>
              <w:t>废润滑油</w:t>
            </w:r>
          </w:p>
        </w:tc>
        <w:tc>
          <w:tcPr>
            <w:tcW w:w="1701" w:type="dxa"/>
            <w:vAlign w:val="center"/>
          </w:tcPr>
          <w:p w14:paraId="2C502B44">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276" w:type="dxa"/>
            <w:vAlign w:val="center"/>
          </w:tcPr>
          <w:p w14:paraId="01D2E97D">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01" w:type="dxa"/>
            <w:vAlign w:val="center"/>
          </w:tcPr>
          <w:p w14:paraId="2ED854B0">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559" w:type="dxa"/>
            <w:vAlign w:val="center"/>
          </w:tcPr>
          <w:p w14:paraId="2A7A4535">
            <w:pPr>
              <w:pStyle w:val="13"/>
              <w:jc w:val="center"/>
              <w:rPr>
                <w:color w:val="FF0000"/>
                <w:sz w:val="24"/>
                <w:szCs w:val="24"/>
                <w:highlight w:val="none"/>
                <w:lang w:bidi="ar"/>
              </w:rPr>
            </w:pPr>
            <w:r>
              <w:rPr>
                <w:rFonts w:hint="eastAsia"/>
                <w:color w:val="FF0000"/>
                <w:sz w:val="24"/>
                <w:szCs w:val="24"/>
                <w:highlight w:val="none"/>
                <w:lang w:bidi="ar"/>
              </w:rPr>
              <w:t>0.02</w:t>
            </w:r>
          </w:p>
        </w:tc>
        <w:tc>
          <w:tcPr>
            <w:tcW w:w="1619" w:type="dxa"/>
            <w:vAlign w:val="center"/>
          </w:tcPr>
          <w:p w14:paraId="7EA10494">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38" w:type="dxa"/>
            <w:vAlign w:val="center"/>
          </w:tcPr>
          <w:p w14:paraId="7E07E286">
            <w:pPr>
              <w:pStyle w:val="13"/>
              <w:jc w:val="center"/>
              <w:rPr>
                <w:color w:val="FF0000"/>
                <w:sz w:val="24"/>
                <w:szCs w:val="24"/>
                <w:highlight w:val="none"/>
                <w:lang w:bidi="ar"/>
              </w:rPr>
            </w:pPr>
            <w:r>
              <w:rPr>
                <w:rFonts w:hint="eastAsia"/>
                <w:color w:val="FF0000"/>
                <w:sz w:val="24"/>
                <w:szCs w:val="24"/>
                <w:highlight w:val="none"/>
                <w:lang w:bidi="ar"/>
              </w:rPr>
              <w:t>0.02</w:t>
            </w:r>
          </w:p>
        </w:tc>
        <w:tc>
          <w:tcPr>
            <w:tcW w:w="1189" w:type="dxa"/>
            <w:vAlign w:val="center"/>
          </w:tcPr>
          <w:p w14:paraId="4011FB4E">
            <w:pPr>
              <w:pStyle w:val="13"/>
              <w:jc w:val="center"/>
              <w:rPr>
                <w:color w:val="FF0000"/>
                <w:sz w:val="24"/>
                <w:szCs w:val="24"/>
                <w:highlight w:val="none"/>
                <w:lang w:bidi="ar"/>
              </w:rPr>
            </w:pPr>
            <w:r>
              <w:rPr>
                <w:rFonts w:hint="eastAsia"/>
                <w:color w:val="FF0000"/>
                <w:sz w:val="24"/>
                <w:szCs w:val="24"/>
                <w:highlight w:val="none"/>
                <w:lang w:bidi="ar"/>
              </w:rPr>
              <w:t>+0.02</w:t>
            </w:r>
          </w:p>
        </w:tc>
      </w:tr>
      <w:tr w14:paraId="6453A17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Merge w:val="continue"/>
            <w:vAlign w:val="center"/>
          </w:tcPr>
          <w:p w14:paraId="3BD6F26A">
            <w:pPr>
              <w:pStyle w:val="38"/>
              <w:spacing w:beforeLines="0" w:afterLines="0" w:line="240" w:lineRule="auto"/>
              <w:rPr>
                <w:rFonts w:ascii="Times New Roman"/>
                <w:snapToGrid w:val="0"/>
                <w:color w:val="000000" w:themeColor="text1"/>
                <w:kern w:val="21"/>
                <w:sz w:val="24"/>
                <w:szCs w:val="24"/>
                <w:highlight w:val="none"/>
                <w14:textFill>
                  <w14:solidFill>
                    <w14:schemeClr w14:val="tx1"/>
                  </w14:solidFill>
                </w14:textFill>
              </w:rPr>
            </w:pPr>
          </w:p>
        </w:tc>
        <w:tc>
          <w:tcPr>
            <w:tcW w:w="1417" w:type="dxa"/>
            <w:vAlign w:val="center"/>
          </w:tcPr>
          <w:p w14:paraId="2584CD8A">
            <w:pPr>
              <w:widowControl/>
              <w:jc w:val="center"/>
              <w:rPr>
                <w:color w:val="FF0000"/>
                <w:kern w:val="0"/>
                <w:sz w:val="24"/>
                <w:highlight w:val="none"/>
                <w:lang w:bidi="ar"/>
              </w:rPr>
            </w:pPr>
            <w:r>
              <w:rPr>
                <w:rFonts w:hint="eastAsia"/>
                <w:color w:val="FF0000"/>
                <w:kern w:val="0"/>
                <w:sz w:val="24"/>
                <w:highlight w:val="none"/>
                <w:lang w:bidi="ar"/>
              </w:rPr>
              <w:t>废油桶</w:t>
            </w:r>
          </w:p>
        </w:tc>
        <w:tc>
          <w:tcPr>
            <w:tcW w:w="1701" w:type="dxa"/>
            <w:vAlign w:val="center"/>
          </w:tcPr>
          <w:p w14:paraId="4DB59FC2">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276" w:type="dxa"/>
            <w:vAlign w:val="center"/>
          </w:tcPr>
          <w:p w14:paraId="5CEDDF80">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01" w:type="dxa"/>
            <w:vAlign w:val="center"/>
          </w:tcPr>
          <w:p w14:paraId="13A1D5A6">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559" w:type="dxa"/>
            <w:vAlign w:val="center"/>
          </w:tcPr>
          <w:p w14:paraId="20A539BC">
            <w:pPr>
              <w:pStyle w:val="13"/>
              <w:jc w:val="center"/>
              <w:rPr>
                <w:color w:val="FF0000"/>
                <w:sz w:val="24"/>
                <w:szCs w:val="24"/>
                <w:highlight w:val="none"/>
                <w:lang w:bidi="ar"/>
              </w:rPr>
            </w:pPr>
            <w:r>
              <w:rPr>
                <w:rFonts w:hint="eastAsia"/>
                <w:color w:val="FF0000"/>
                <w:sz w:val="24"/>
                <w:szCs w:val="24"/>
                <w:highlight w:val="none"/>
                <w:lang w:bidi="ar"/>
              </w:rPr>
              <w:t>0.1</w:t>
            </w:r>
          </w:p>
        </w:tc>
        <w:tc>
          <w:tcPr>
            <w:tcW w:w="1619" w:type="dxa"/>
            <w:vAlign w:val="center"/>
          </w:tcPr>
          <w:p w14:paraId="68EB2A9A">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38" w:type="dxa"/>
            <w:vAlign w:val="center"/>
          </w:tcPr>
          <w:p w14:paraId="1C1FD147">
            <w:pPr>
              <w:pStyle w:val="13"/>
              <w:jc w:val="center"/>
              <w:rPr>
                <w:color w:val="FF0000"/>
                <w:sz w:val="24"/>
                <w:szCs w:val="24"/>
                <w:highlight w:val="none"/>
                <w:lang w:bidi="ar"/>
              </w:rPr>
            </w:pPr>
            <w:r>
              <w:rPr>
                <w:rFonts w:hint="eastAsia"/>
                <w:color w:val="FF0000"/>
                <w:sz w:val="24"/>
                <w:szCs w:val="24"/>
                <w:highlight w:val="none"/>
                <w:lang w:bidi="ar"/>
              </w:rPr>
              <w:t>0.1</w:t>
            </w:r>
          </w:p>
        </w:tc>
        <w:tc>
          <w:tcPr>
            <w:tcW w:w="1189" w:type="dxa"/>
            <w:vAlign w:val="center"/>
          </w:tcPr>
          <w:p w14:paraId="6CB416EB">
            <w:pPr>
              <w:pStyle w:val="13"/>
              <w:jc w:val="center"/>
              <w:rPr>
                <w:color w:val="FF0000"/>
                <w:sz w:val="24"/>
                <w:szCs w:val="24"/>
                <w:highlight w:val="none"/>
                <w:lang w:bidi="ar"/>
              </w:rPr>
            </w:pPr>
            <w:r>
              <w:rPr>
                <w:rFonts w:hint="eastAsia"/>
                <w:color w:val="FF0000"/>
                <w:sz w:val="24"/>
                <w:szCs w:val="24"/>
                <w:highlight w:val="none"/>
                <w:lang w:bidi="ar"/>
              </w:rPr>
              <w:t>+0.1</w:t>
            </w:r>
          </w:p>
        </w:tc>
      </w:tr>
      <w:tr w14:paraId="0E92982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588" w:type="dxa"/>
            <w:vAlign w:val="center"/>
          </w:tcPr>
          <w:p w14:paraId="16C14480">
            <w:pPr>
              <w:pStyle w:val="38"/>
              <w:spacing w:beforeLines="0" w:afterLines="0" w:line="240" w:lineRule="auto"/>
              <w:rPr>
                <w:rFonts w:ascii="Times New Roman"/>
                <w:snapToGrid w:val="0"/>
                <w:color w:val="000000" w:themeColor="text1"/>
                <w:kern w:val="21"/>
                <w:sz w:val="24"/>
                <w:szCs w:val="24"/>
                <w:highlight w:val="none"/>
                <w14:textFill>
                  <w14:solidFill>
                    <w14:schemeClr w14:val="tx1"/>
                  </w14:solidFill>
                </w14:textFill>
              </w:rPr>
            </w:pPr>
            <w:r>
              <w:rPr>
                <w:rFonts w:ascii="Times New Roman"/>
                <w:color w:val="000000" w:themeColor="text1"/>
                <w:sz w:val="24"/>
                <w:szCs w:val="24"/>
                <w:highlight w:val="none"/>
                <w:lang w:bidi="ar"/>
                <w14:textFill>
                  <w14:solidFill>
                    <w14:schemeClr w14:val="tx1"/>
                  </w14:solidFill>
                </w14:textFill>
              </w:rPr>
              <w:t>生活垃圾</w:t>
            </w:r>
          </w:p>
        </w:tc>
        <w:tc>
          <w:tcPr>
            <w:tcW w:w="1417" w:type="dxa"/>
            <w:vAlign w:val="center"/>
          </w:tcPr>
          <w:p w14:paraId="1EF751DF">
            <w:pPr>
              <w:widowControl/>
              <w:jc w:val="center"/>
              <w:rPr>
                <w:color w:val="FF0000"/>
                <w:kern w:val="0"/>
                <w:sz w:val="24"/>
                <w:highlight w:val="none"/>
                <w:lang w:bidi="ar"/>
              </w:rPr>
            </w:pPr>
            <w:r>
              <w:rPr>
                <w:color w:val="FF0000"/>
                <w:kern w:val="0"/>
                <w:sz w:val="24"/>
                <w:highlight w:val="none"/>
                <w:lang w:bidi="ar"/>
              </w:rPr>
              <w:t>生活垃圾</w:t>
            </w:r>
          </w:p>
        </w:tc>
        <w:tc>
          <w:tcPr>
            <w:tcW w:w="1701" w:type="dxa"/>
            <w:vAlign w:val="center"/>
          </w:tcPr>
          <w:p w14:paraId="16539907">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276" w:type="dxa"/>
            <w:vAlign w:val="center"/>
          </w:tcPr>
          <w:p w14:paraId="6F710435">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701" w:type="dxa"/>
            <w:vAlign w:val="center"/>
          </w:tcPr>
          <w:p w14:paraId="0DCD2466">
            <w:pPr>
              <w:pStyle w:val="38"/>
              <w:spacing w:beforeLines="0" w:afterLines="0" w:line="240" w:lineRule="auto"/>
              <w:rPr>
                <w:rFonts w:ascii="Times New Roman"/>
                <w:snapToGrid w:val="0"/>
                <w:color w:val="FF0000"/>
                <w:kern w:val="21"/>
                <w:sz w:val="24"/>
                <w:szCs w:val="24"/>
                <w:highlight w:val="none"/>
              </w:rPr>
            </w:pPr>
            <w:r>
              <w:rPr>
                <w:rFonts w:hint="eastAsia" w:ascii="Times New Roman"/>
                <w:snapToGrid w:val="0"/>
                <w:color w:val="FF0000"/>
                <w:kern w:val="21"/>
                <w:sz w:val="24"/>
                <w:szCs w:val="24"/>
                <w:highlight w:val="none"/>
              </w:rPr>
              <w:t>/</w:t>
            </w:r>
          </w:p>
        </w:tc>
        <w:tc>
          <w:tcPr>
            <w:tcW w:w="1559" w:type="dxa"/>
            <w:vAlign w:val="center"/>
          </w:tcPr>
          <w:p w14:paraId="5CB21BDF">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bidi="ar"/>
              </w:rPr>
              <w:t>0.</w:t>
            </w:r>
            <w:r>
              <w:rPr>
                <w:rFonts w:hint="eastAsia"/>
                <w:color w:val="FF0000"/>
                <w:sz w:val="24"/>
                <w:szCs w:val="24"/>
                <w:highlight w:val="none"/>
                <w:lang w:val="en-US" w:eastAsia="zh-CN" w:bidi="ar"/>
              </w:rPr>
              <w:t>72</w:t>
            </w:r>
          </w:p>
        </w:tc>
        <w:tc>
          <w:tcPr>
            <w:tcW w:w="1619" w:type="dxa"/>
            <w:vAlign w:val="center"/>
          </w:tcPr>
          <w:p w14:paraId="5E12A937">
            <w:pPr>
              <w:pStyle w:val="38"/>
              <w:spacing w:beforeLines="0" w:afterLines="0" w:line="240" w:lineRule="auto"/>
              <w:rPr>
                <w:rFonts w:ascii="Times New Roman"/>
                <w:snapToGrid w:val="0"/>
                <w:color w:val="FF0000"/>
                <w:kern w:val="21"/>
                <w:sz w:val="24"/>
                <w:szCs w:val="24"/>
                <w:highlight w:val="none"/>
              </w:rPr>
            </w:pPr>
          </w:p>
        </w:tc>
        <w:tc>
          <w:tcPr>
            <w:tcW w:w="1738" w:type="dxa"/>
            <w:vAlign w:val="center"/>
          </w:tcPr>
          <w:p w14:paraId="50EBC52B">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bidi="ar"/>
              </w:rPr>
              <w:t>0</w:t>
            </w:r>
            <w:r>
              <w:rPr>
                <w:rFonts w:hint="eastAsia"/>
                <w:color w:val="FF0000"/>
                <w:sz w:val="24"/>
                <w:szCs w:val="24"/>
                <w:highlight w:val="none"/>
                <w:lang w:val="en-US" w:eastAsia="zh-CN" w:bidi="ar"/>
              </w:rPr>
              <w:t>.72</w:t>
            </w:r>
          </w:p>
        </w:tc>
        <w:tc>
          <w:tcPr>
            <w:tcW w:w="1189" w:type="dxa"/>
            <w:vAlign w:val="center"/>
          </w:tcPr>
          <w:p w14:paraId="11E7C8E0">
            <w:pPr>
              <w:pStyle w:val="13"/>
              <w:jc w:val="center"/>
              <w:rPr>
                <w:rFonts w:hint="default" w:eastAsia="宋体"/>
                <w:color w:val="FF0000"/>
                <w:sz w:val="24"/>
                <w:szCs w:val="24"/>
                <w:highlight w:val="none"/>
                <w:lang w:val="en-US" w:eastAsia="zh-CN" w:bidi="ar"/>
              </w:rPr>
            </w:pPr>
            <w:r>
              <w:rPr>
                <w:rFonts w:hint="eastAsia"/>
                <w:color w:val="FF0000"/>
                <w:sz w:val="24"/>
                <w:szCs w:val="24"/>
                <w:highlight w:val="none"/>
                <w:lang w:bidi="ar"/>
              </w:rPr>
              <w:t>+0.</w:t>
            </w:r>
            <w:r>
              <w:rPr>
                <w:rFonts w:hint="eastAsia"/>
                <w:color w:val="FF0000"/>
                <w:sz w:val="24"/>
                <w:szCs w:val="24"/>
                <w:highlight w:val="none"/>
                <w:lang w:val="en-US" w:eastAsia="zh-CN" w:bidi="ar"/>
              </w:rPr>
              <w:t>72</w:t>
            </w:r>
          </w:p>
        </w:tc>
      </w:tr>
    </w:tbl>
    <w:p w14:paraId="6CC717A5">
      <w:pPr>
        <w:pStyle w:val="38"/>
        <w:spacing w:before="192" w:beforeLines="80" w:after="24"/>
        <w:jc w:val="left"/>
        <w:rPr>
          <w:rFonts w:hAnsi="宋体"/>
          <w:snapToGrid w:val="0"/>
          <w:color w:val="000000" w:themeColor="text1"/>
          <w:spacing w:val="-6"/>
          <w:kern w:val="21"/>
          <w:szCs w:val="21"/>
          <w:highlight w:val="none"/>
          <w14:textFill>
            <w14:solidFill>
              <w14:schemeClr w14:val="tx1"/>
            </w14:solidFill>
          </w14:textFill>
        </w:rPr>
      </w:pPr>
      <w:r>
        <w:rPr>
          <w:rFonts w:hAnsi="宋体"/>
          <w:snapToGrid w:val="0"/>
          <w:color w:val="000000" w:themeColor="text1"/>
          <w:kern w:val="21"/>
          <w:szCs w:val="21"/>
          <w:highlight w:val="none"/>
          <w14:textFill>
            <w14:solidFill>
              <w14:schemeClr w14:val="tx1"/>
            </w14:solidFill>
          </w14:textFill>
        </w:rPr>
        <w:t>注：</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3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③</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4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④</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5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⑤</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7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⑦</w:t>
      </w:r>
      <w:r>
        <w:rPr>
          <w:rFonts w:hAnsi="宋体"/>
          <w:snapToGrid w:val="0"/>
          <w:color w:val="000000" w:themeColor="text1"/>
          <w:spacing w:val="-6"/>
          <w:kern w:val="21"/>
          <w:szCs w:val="21"/>
          <w:highlight w:val="none"/>
          <w14:textFill>
            <w14:solidFill>
              <w14:schemeClr w14:val="tx1"/>
            </w14:solidFill>
          </w14:textFill>
        </w:rPr>
        <w:fldChar w:fldCharType="end"/>
      </w:r>
      <w:r>
        <w:rPr>
          <w:rFonts w:hAnsi="宋体"/>
          <w:snapToGrid w:val="0"/>
          <w:color w:val="000000" w:themeColor="text1"/>
          <w:spacing w:val="-6"/>
          <w:kern w:val="21"/>
          <w:szCs w:val="21"/>
          <w:highlight w:val="none"/>
          <w14:textFill>
            <w14:solidFill>
              <w14:schemeClr w14:val="tx1"/>
            </w14:solidFill>
          </w14:textFill>
        </w:rPr>
        <w:t>=</w:t>
      </w:r>
      <w:r>
        <w:rPr>
          <w:rFonts w:hAnsi="宋体"/>
          <w:snapToGrid w:val="0"/>
          <w:color w:val="000000" w:themeColor="text1"/>
          <w:spacing w:val="-16"/>
          <w:kern w:val="21"/>
          <w:szCs w:val="21"/>
          <w:highlight w:val="none"/>
          <w14:textFill>
            <w14:solidFill>
              <w14:schemeClr w14:val="tx1"/>
            </w14:solidFill>
          </w14:textFill>
        </w:rPr>
        <w:fldChar w:fldCharType="begin"/>
      </w:r>
      <w:r>
        <w:rPr>
          <w:rFonts w:hAnsi="宋体"/>
          <w:snapToGrid w:val="0"/>
          <w:color w:val="000000" w:themeColor="text1"/>
          <w:spacing w:val="-16"/>
          <w:kern w:val="21"/>
          <w:szCs w:val="21"/>
          <w:highlight w:val="none"/>
          <w14:textFill>
            <w14:solidFill>
              <w14:schemeClr w14:val="tx1"/>
            </w14:solidFill>
          </w14:textFill>
        </w:rPr>
        <w:instrText xml:space="preserve"> = 6 \* GB3 \* MERGEFORMAT </w:instrText>
      </w:r>
      <w:r>
        <w:rPr>
          <w:rFonts w:hAnsi="宋体"/>
          <w:snapToGrid w:val="0"/>
          <w:color w:val="000000" w:themeColor="text1"/>
          <w:spacing w:val="-1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⑥</w:t>
      </w:r>
      <w:r>
        <w:rPr>
          <w:rFonts w:hAnsi="宋体"/>
          <w:snapToGrid w:val="0"/>
          <w:color w:val="000000" w:themeColor="text1"/>
          <w:spacing w:val="-16"/>
          <w:kern w:val="21"/>
          <w:szCs w:val="21"/>
          <w:highlight w:val="none"/>
          <w14:textFill>
            <w14:solidFill>
              <w14:schemeClr w14:val="tx1"/>
            </w14:solidFill>
          </w14:textFill>
        </w:rPr>
        <w:fldChar w:fldCharType="end"/>
      </w:r>
      <w:r>
        <w:rPr>
          <w:rFonts w:hAnsi="宋体"/>
          <w:snapToGrid w:val="0"/>
          <w:color w:val="000000" w:themeColor="text1"/>
          <w:spacing w:val="-16"/>
          <w:kern w:val="21"/>
          <w:szCs w:val="21"/>
          <w:highlight w:val="none"/>
          <w14:textFill>
            <w14:solidFill>
              <w14:schemeClr w14:val="tx1"/>
            </w14:solidFill>
          </w14:textFill>
        </w:rPr>
        <w:t>-</w:t>
      </w:r>
      <w:r>
        <w:rPr>
          <w:rFonts w:hAnsi="宋体"/>
          <w:snapToGrid w:val="0"/>
          <w:color w:val="000000" w:themeColor="text1"/>
          <w:spacing w:val="-6"/>
          <w:kern w:val="21"/>
          <w:szCs w:val="21"/>
          <w:highlight w:val="none"/>
          <w14:textFill>
            <w14:solidFill>
              <w14:schemeClr w14:val="tx1"/>
            </w14:solidFill>
          </w14:textFill>
        </w:rPr>
        <w:fldChar w:fldCharType="begin"/>
      </w:r>
      <w:r>
        <w:rPr>
          <w:rFonts w:hAnsi="宋体"/>
          <w:snapToGrid w:val="0"/>
          <w:color w:val="000000" w:themeColor="text1"/>
          <w:spacing w:val="-6"/>
          <w:kern w:val="21"/>
          <w:szCs w:val="21"/>
          <w:highlight w:val="none"/>
          <w14:textFill>
            <w14:solidFill>
              <w14:schemeClr w14:val="tx1"/>
            </w14:solidFill>
          </w14:textFill>
        </w:rPr>
        <w:instrText xml:space="preserve"> = 1 \* GB3 \* MERGEFORMAT </w:instrText>
      </w:r>
      <w:r>
        <w:rPr>
          <w:rFonts w:hAnsi="宋体"/>
          <w:snapToGrid w:val="0"/>
          <w:color w:val="000000" w:themeColor="text1"/>
          <w:spacing w:val="-6"/>
          <w:kern w:val="21"/>
          <w:szCs w:val="21"/>
          <w:highlight w:val="none"/>
          <w14:textFill>
            <w14:solidFill>
              <w14:schemeClr w14:val="tx1"/>
            </w14:solidFill>
          </w14:textFill>
        </w:rPr>
        <w:fldChar w:fldCharType="separate"/>
      </w:r>
      <w:r>
        <w:rPr>
          <w:rFonts w:hint="eastAsia" w:hAnsi="宋体"/>
          <w:color w:val="000000" w:themeColor="text1"/>
          <w:szCs w:val="21"/>
          <w:highlight w:val="none"/>
          <w14:textFill>
            <w14:solidFill>
              <w14:schemeClr w14:val="tx1"/>
            </w14:solidFill>
          </w14:textFill>
        </w:rPr>
        <w:t>①</w:t>
      </w:r>
      <w:r>
        <w:rPr>
          <w:rFonts w:hAnsi="宋体"/>
          <w:snapToGrid w:val="0"/>
          <w:color w:val="000000" w:themeColor="text1"/>
          <w:spacing w:val="-6"/>
          <w:kern w:val="21"/>
          <w:szCs w:val="21"/>
          <w:highlight w:val="none"/>
          <w14:textFill>
            <w14:solidFill>
              <w14:schemeClr w14:val="tx1"/>
            </w14:solidFill>
          </w14:textFill>
        </w:rPr>
        <w:fldChar w:fldCharType="end"/>
      </w:r>
    </w:p>
    <w:p w14:paraId="6ED84268">
      <w:pPr>
        <w:rPr>
          <w:color w:val="000000" w:themeColor="text1"/>
          <w:highlight w:val="none"/>
          <w14:textFill>
            <w14:solidFill>
              <w14:schemeClr w14:val="tx1"/>
            </w14:solidFill>
          </w14:textFill>
        </w:rPr>
      </w:pPr>
    </w:p>
    <w:p w14:paraId="64ABCA4A">
      <w:pPr>
        <w:rPr>
          <w:color w:val="000000" w:themeColor="text1"/>
          <w:highlight w:val="none"/>
          <w14:textFill>
            <w14:solidFill>
              <w14:schemeClr w14:val="tx1"/>
            </w14:solidFill>
          </w14:textFill>
        </w:rPr>
        <w:sectPr>
          <w:footerReference r:id="rId10" w:type="default"/>
          <w:pgSz w:w="16838" w:h="11906" w:orient="landscape"/>
          <w:pgMar w:top="1701" w:right="1531" w:bottom="1701" w:left="1531" w:header="851" w:footer="851" w:gutter="0"/>
          <w:pgNumType w:fmt="decimal"/>
          <w:cols w:space="720" w:num="1"/>
          <w:docGrid w:linePitch="312" w:charSpace="0"/>
        </w:sectPr>
      </w:pPr>
    </w:p>
    <w:p w14:paraId="73891A48">
      <w:pPr>
        <w:outlineLvl w:val="0"/>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附图1 项目地理位置图</w:t>
      </w:r>
    </w:p>
    <w:p w14:paraId="5DAB876B">
      <w:pPr>
        <w:jc w:val="center"/>
        <w:rPr>
          <w:color w:val="000000" w:themeColor="text1"/>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74624" behindDoc="0" locked="0" layoutInCell="1" allowOverlap="1">
                <wp:simplePos x="0" y="0"/>
                <wp:positionH relativeFrom="column">
                  <wp:posOffset>3135630</wp:posOffset>
                </wp:positionH>
                <wp:positionV relativeFrom="paragraph">
                  <wp:posOffset>1517650</wp:posOffset>
                </wp:positionV>
                <wp:extent cx="934720" cy="380365"/>
                <wp:effectExtent l="445770" t="12700" r="21590" b="384175"/>
                <wp:wrapNone/>
                <wp:docPr id="194" name="线形标注 1 194"/>
                <wp:cNvGraphicFramePr/>
                <a:graphic xmlns:a="http://schemas.openxmlformats.org/drawingml/2006/main">
                  <a:graphicData uri="http://schemas.microsoft.com/office/word/2010/wordprocessingShape">
                    <wps:wsp>
                      <wps:cNvSpPr/>
                      <wps:spPr>
                        <a:xfrm>
                          <a:off x="0" y="0"/>
                          <a:ext cx="934720" cy="380365"/>
                        </a:xfrm>
                        <a:prstGeom prst="borderCallout1">
                          <a:avLst>
                            <a:gd name="adj1" fmla="val 18750"/>
                            <a:gd name="adj2" fmla="val -8333"/>
                            <a:gd name="adj3" fmla="val 197662"/>
                            <a:gd name="adj4" fmla="val -46467"/>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E4F1629">
                            <w:pPr>
                              <w:jc w:val="center"/>
                              <w:rPr>
                                <w:color w:val="FFFFFF" w:themeColor="background1"/>
                                <w14:textFill>
                                  <w14:solidFill>
                                    <w14:schemeClr w14:val="bg1"/>
                                  </w14:solidFill>
                                </w14:textFill>
                              </w:rPr>
                            </w:pPr>
                            <w:r>
                              <w:rPr>
                                <w:rFonts w:hint="eastAsia"/>
                                <w:b/>
                                <w:bCs/>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246.9pt;margin-top:119.5pt;height:29.95pt;width:73.6pt;z-index:251674624;v-text-anchor:middle;mso-width-relative:page;mso-height-relative:page;" fillcolor="#FFFFFF [3212]" filled="t" stroked="t" coordsize="21600,21600" o:gfxdata="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" adj="-10037,42695,-1800,4050">
                <v:fill on="t" focussize="0,0"/>
                <v:stroke weight="2pt" color="#000000 [3213]" joinstyle="round"/>
                <v:imagedata o:title=""/>
                <o:lock v:ext="edit" aspectratio="f"/>
                <v:textbox>
                  <w:txbxContent>
                    <w:p w14:paraId="1E4F1629">
                      <w:pPr>
                        <w:jc w:val="center"/>
                        <w:rPr>
                          <w:color w:val="FFFFFF" w:themeColor="background1"/>
                          <w14:textFill>
                            <w14:solidFill>
                              <w14:schemeClr w14:val="bg1"/>
                            </w14:solidFill>
                          </w14:textFill>
                        </w:rPr>
                      </w:pPr>
                      <w:r>
                        <w:rPr>
                          <w:rFonts w:hint="eastAsia"/>
                          <w:b/>
                          <w:bCs/>
                          <w:color w:val="000000" w:themeColor="text1"/>
                          <w14:textFill>
                            <w14:solidFill>
                              <w14:schemeClr w14:val="tx1"/>
                            </w14:solidFill>
                          </w14:textFill>
                        </w:rPr>
                        <w:t>本项目位置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75648" behindDoc="0" locked="0" layoutInCell="1" allowOverlap="1">
                <wp:simplePos x="0" y="0"/>
                <wp:positionH relativeFrom="column">
                  <wp:posOffset>2630170</wp:posOffset>
                </wp:positionH>
                <wp:positionV relativeFrom="paragraph">
                  <wp:posOffset>2171700</wp:posOffset>
                </wp:positionV>
                <wp:extent cx="141605" cy="119380"/>
                <wp:effectExtent l="12700" t="12700" r="13335" b="20320"/>
                <wp:wrapNone/>
                <wp:docPr id="51" name="五角星 51"/>
                <wp:cNvGraphicFramePr/>
                <a:graphic xmlns:a="http://schemas.openxmlformats.org/drawingml/2006/main">
                  <a:graphicData uri="http://schemas.microsoft.com/office/word/2010/wordprocessingShape">
                    <wps:wsp>
                      <wps:cNvSpPr/>
                      <wps:spPr>
                        <a:xfrm>
                          <a:off x="0" y="0"/>
                          <a:ext cx="141605" cy="11938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07.1pt;margin-top:171pt;height:9.4pt;width:11.15pt;z-index:251675648;v-text-anchor:middle;mso-width-relative:page;mso-height-relative:page;" fillcolor="#FF0000" filled="t" stroked="t" coordsize="141605,119380" o:gfxdata="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" path="m0,45598l54088,45599,70802,0,87516,45599,141604,45598,97846,73780,114560,119379,70802,91197,27044,119379,43758,73780xe">
                <v:path o:connectlocs="70802,0;0,45598;27044,119379;114560,119379;141604,45598" o:connectangles="247,164,82,82,0"/>
                <v:fill on="t" focussize="0,0"/>
                <v:stroke weight="2pt" color="#FF0000 [3204]" joinstyle="round"/>
                <v:imagedata o:title=""/>
                <o:lock v:ext="edit" aspectratio="f"/>
              </v:shape>
            </w:pict>
          </mc:Fallback>
        </mc:AlternateContent>
      </w:r>
      <w:r>
        <w:rPr>
          <w:b/>
          <w:bCs/>
          <w:color w:val="000000" w:themeColor="text1"/>
          <w:highlight w:val="none"/>
          <w14:textFill>
            <w14:solidFill>
              <w14:schemeClr w14:val="tx1"/>
            </w14:solidFill>
          </w14:textFill>
        </w:rPr>
        <w:drawing>
          <wp:anchor distT="0" distB="0" distL="114300" distR="114300" simplePos="0" relativeHeight="251673600" behindDoc="0" locked="0" layoutInCell="1" allowOverlap="1">
            <wp:simplePos x="0" y="0"/>
            <wp:positionH relativeFrom="column">
              <wp:posOffset>7835265</wp:posOffset>
            </wp:positionH>
            <wp:positionV relativeFrom="paragraph">
              <wp:posOffset>340995</wp:posOffset>
            </wp:positionV>
            <wp:extent cx="477520" cy="805180"/>
            <wp:effectExtent l="0" t="0" r="10160" b="2540"/>
            <wp:wrapNone/>
            <wp:docPr id="195" name="图片 195" descr="a1d7096ae5b11b869026919b93b3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195" descr="a1d7096ae5b11b869026919b93b3355"/>
                    <pic:cNvPicPr>
                      <a:picLocks noChangeAspect="1"/>
                    </pic:cNvPicPr>
                  </pic:nvPicPr>
                  <pic:blipFill>
                    <a:blip r:embed="rId47"/>
                    <a:stretch>
                      <a:fillRect/>
                    </a:stretch>
                  </pic:blipFill>
                  <pic:spPr>
                    <a:xfrm>
                      <a:off x="0" y="0"/>
                      <a:ext cx="477520" cy="805180"/>
                    </a:xfrm>
                    <a:prstGeom prst="rect">
                      <a:avLst/>
                    </a:prstGeom>
                  </pic:spPr>
                </pic:pic>
              </a:graphicData>
            </a:graphic>
          </wp:anchor>
        </w:drawing>
      </w:r>
      <w:r>
        <w:rPr>
          <w:color w:val="000000" w:themeColor="text1"/>
          <w:highlight w:val="none"/>
          <w14:textFill>
            <w14:solidFill>
              <w14:schemeClr w14:val="tx1"/>
            </w14:solidFill>
          </w14:textFill>
        </w:rPr>
        <w:drawing>
          <wp:inline distT="0" distB="0" distL="114300" distR="114300">
            <wp:extent cx="8021320" cy="4980305"/>
            <wp:effectExtent l="0" t="0" r="10160" b="3175"/>
            <wp:docPr id="191" name="图片 191" descr="3ac79f3df8dcd1005bbe834d5aba2b17b9122f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图片 191" descr="3ac79f3df8dcd1005bbe834d5aba2b17b9122f70"/>
                    <pic:cNvPicPr>
                      <a:picLocks noChangeAspect="1"/>
                    </pic:cNvPicPr>
                  </pic:nvPicPr>
                  <pic:blipFill>
                    <a:blip r:embed="rId48"/>
                    <a:stretch>
                      <a:fillRect/>
                    </a:stretch>
                  </pic:blipFill>
                  <pic:spPr>
                    <a:xfrm>
                      <a:off x="0" y="0"/>
                      <a:ext cx="8021320" cy="4980305"/>
                    </a:xfrm>
                    <a:prstGeom prst="rect">
                      <a:avLst/>
                    </a:prstGeom>
                  </pic:spPr>
                </pic:pic>
              </a:graphicData>
            </a:graphic>
          </wp:inline>
        </w:drawing>
      </w:r>
    </w:p>
    <w:p w14:paraId="247D0BAE">
      <w:pPr>
        <w:rPr>
          <w:color w:val="000000" w:themeColor="text1"/>
          <w:highlight w:val="none"/>
          <w14:textFill>
            <w14:solidFill>
              <w14:schemeClr w14:val="tx1"/>
            </w14:solidFill>
          </w14:textFill>
        </w:rPr>
        <w:sectPr>
          <w:pgSz w:w="16838" w:h="11906" w:orient="landscape"/>
          <w:pgMar w:top="1800" w:right="1440" w:bottom="1800" w:left="1440" w:header="851" w:footer="992" w:gutter="0"/>
          <w:pgNumType w:fmt="decimal"/>
          <w:cols w:space="425" w:num="1"/>
          <w:docGrid w:type="lines" w:linePitch="312" w:charSpace="0"/>
        </w:sectPr>
      </w:pPr>
    </w:p>
    <w:p w14:paraId="6AA1DDAE">
      <w:pPr>
        <w:pStyle w:val="13"/>
        <w:jc w:val="center"/>
        <w:rPr>
          <w:color w:val="000000" w:themeColor="text1"/>
          <w:sz w:val="24"/>
          <w:szCs w:val="24"/>
          <w:highlight w:val="none"/>
          <w14:textFill>
            <w14:solidFill>
              <w14:schemeClr w14:val="tx1"/>
            </w14:solidFill>
          </w14:textFill>
        </w:rPr>
      </w:pPr>
    </w:p>
    <w:p w14:paraId="5751FB54">
      <w:pPr>
        <w:pStyle w:val="13"/>
        <w:outlineLvl w:val="0"/>
        <w:rPr>
          <w:b/>
          <w:bCs/>
          <w:color w:val="000000" w:themeColor="text1"/>
          <w:sz w:val="24"/>
          <w:szCs w:val="24"/>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6672" behindDoc="0" locked="0" layoutInCell="1" allowOverlap="1">
                <wp:simplePos x="0" y="0"/>
                <wp:positionH relativeFrom="column">
                  <wp:posOffset>8058785</wp:posOffset>
                </wp:positionH>
                <wp:positionV relativeFrom="paragraph">
                  <wp:posOffset>149860</wp:posOffset>
                </wp:positionV>
                <wp:extent cx="713740" cy="1064260"/>
                <wp:effectExtent l="0" t="0" r="0" b="0"/>
                <wp:wrapNone/>
                <wp:docPr id="53" name="文本框 53"/>
                <wp:cNvGraphicFramePr/>
                <a:graphic xmlns:a="http://schemas.openxmlformats.org/drawingml/2006/main">
                  <a:graphicData uri="http://schemas.microsoft.com/office/word/2010/wordprocessingShape">
                    <wps:wsp>
                      <wps:cNvSpPr txBox="1"/>
                      <wps:spPr>
                        <a:xfrm>
                          <a:off x="0" y="0"/>
                          <a:ext cx="713740" cy="10642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666C4F3">
                            <w:r>
                              <w:rPr>
                                <w:rFonts w:hint="eastAsia"/>
                              </w:rPr>
                              <w:drawing>
                                <wp:inline distT="0" distB="0" distL="114300" distR="114300">
                                  <wp:extent cx="520700" cy="818515"/>
                                  <wp:effectExtent l="0" t="0" r="12700" b="4445"/>
                                  <wp:docPr id="545931245" name="图片 56" descr="抚顺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931245" name="图片 56" descr="抚顺风玫瑰"/>
                                          <pic:cNvPicPr>
                                            <a:picLocks noChangeAspect="1"/>
                                          </pic:cNvPicPr>
                                        </pic:nvPicPr>
                                        <pic:blipFill>
                                          <a:blip r:embed="rId49"/>
                                          <a:stretch>
                                            <a:fillRect/>
                                          </a:stretch>
                                        </pic:blipFill>
                                        <pic:spPr>
                                          <a:xfrm>
                                            <a:off x="0" y="0"/>
                                            <a:ext cx="520700" cy="8185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634.55pt;margin-top:11.8pt;height:83.8pt;width:56.2pt;z-index:251676672;mso-width-relative:page;mso-height-relative:page;" filled="f" stroked="f" coordsize="21600,21600" o:gfxdata="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7Obow3AAAAAwBAAAPAAAAAAAAAAEAIAAAACIA&#10;AABkcnMvZG93bnJldi54bWxQSwECFAAUAAAACACHTuJA9ShcMj4CAABoBAAADgAAAAAAAAABACAA&#10;AAArAQAAZHJzL2Uyb0RvYy54bWxQSwUGAAAAAAYABgBZAQAA2wUAAAAA&#10;">
                <v:fill on="f" focussize="0,0"/>
                <v:stroke on="f" weight="0.5pt"/>
                <v:imagedata o:title=""/>
                <o:lock v:ext="edit" aspectratio="f"/>
                <v:textbox>
                  <w:txbxContent>
                    <w:p w14:paraId="7666C4F3">
                      <w:r>
                        <w:rPr>
                          <w:rFonts w:hint="eastAsia"/>
                        </w:rPr>
                        <w:drawing>
                          <wp:inline distT="0" distB="0" distL="114300" distR="114300">
                            <wp:extent cx="520700" cy="818515"/>
                            <wp:effectExtent l="0" t="0" r="12700" b="4445"/>
                            <wp:docPr id="545931245" name="图片 56" descr="抚顺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931245" name="图片 56" descr="抚顺风玫瑰"/>
                                    <pic:cNvPicPr>
                                      <a:picLocks noChangeAspect="1"/>
                                    </pic:cNvPicPr>
                                  </pic:nvPicPr>
                                  <pic:blipFill>
                                    <a:blip r:embed="rId49"/>
                                    <a:stretch>
                                      <a:fillRect/>
                                    </a:stretch>
                                  </pic:blipFill>
                                  <pic:spPr>
                                    <a:xfrm>
                                      <a:off x="0" y="0"/>
                                      <a:ext cx="520700" cy="818515"/>
                                    </a:xfrm>
                                    <a:prstGeom prst="rect">
                                      <a:avLst/>
                                    </a:prstGeom>
                                    <a:noFill/>
                                    <a:ln>
                                      <a:noFill/>
                                    </a:ln>
                                  </pic:spPr>
                                </pic:pic>
                              </a:graphicData>
                            </a:graphic>
                          </wp:inline>
                        </w:drawing>
                      </w:r>
                    </w:p>
                  </w:txbxContent>
                </v:textbox>
              </v:shape>
            </w:pict>
          </mc:Fallback>
        </mc:AlternateContent>
      </w:r>
      <w:r>
        <w:rPr>
          <w:b/>
          <w:bCs/>
          <w:color w:val="000000" w:themeColor="text1"/>
          <w:sz w:val="24"/>
          <w:szCs w:val="24"/>
          <w:highlight w:val="none"/>
          <w14:textFill>
            <w14:solidFill>
              <w14:schemeClr w14:val="tx1"/>
            </w14:solidFill>
          </w14:textFill>
        </w:rPr>
        <w:t>附图2 四邻关系图</w:t>
      </w:r>
    </w:p>
    <w:p w14:paraId="76C8410F">
      <w:pPr>
        <w:pStyle w:val="23"/>
        <w:ind w:left="0"/>
        <w:jc w:val="center"/>
        <w:rPr>
          <w:color w:val="000000" w:themeColor="text1"/>
          <w:highlight w:val="none"/>
          <w14:textFill>
            <w14:solidFill>
              <w14:schemeClr w14:val="tx1"/>
            </w14:solidFill>
          </w14:textFill>
        </w:rPr>
      </w:pPr>
      <w:r>
        <w:rPr>
          <w:sz w:val="24"/>
          <w:highlight w:val="none"/>
        </w:rPr>
        <mc:AlternateContent>
          <mc:Choice Requires="wps">
            <w:drawing>
              <wp:anchor distT="0" distB="0" distL="114300" distR="114300" simplePos="0" relativeHeight="251685888" behindDoc="0" locked="0" layoutInCell="1" allowOverlap="1">
                <wp:simplePos x="0" y="0"/>
                <wp:positionH relativeFrom="column">
                  <wp:posOffset>3444875</wp:posOffset>
                </wp:positionH>
                <wp:positionV relativeFrom="paragraph">
                  <wp:posOffset>1602740</wp:posOffset>
                </wp:positionV>
                <wp:extent cx="753110" cy="324485"/>
                <wp:effectExtent l="169545" t="12700" r="22225" b="485775"/>
                <wp:wrapNone/>
                <wp:docPr id="7" name="矩形标注 7"/>
                <wp:cNvGraphicFramePr/>
                <a:graphic xmlns:a="http://schemas.openxmlformats.org/drawingml/2006/main">
                  <a:graphicData uri="http://schemas.microsoft.com/office/word/2010/wordprocessingShape">
                    <wps:wsp>
                      <wps:cNvSpPr/>
                      <wps:spPr>
                        <a:xfrm>
                          <a:off x="4354830" y="2771140"/>
                          <a:ext cx="753110" cy="324485"/>
                        </a:xfrm>
                        <a:prstGeom prst="wedgeRectCallout">
                          <a:avLst>
                            <a:gd name="adj1" fmla="val -70826"/>
                            <a:gd name="adj2" fmla="val 192985"/>
                          </a:avLst>
                        </a:prstGeom>
                        <a:solidFill>
                          <a:schemeClr val="bg1"/>
                        </a:solidFill>
                      </wps:spPr>
                      <wps:style>
                        <a:lnRef idx="2">
                          <a:prstClr val="black"/>
                        </a:lnRef>
                        <a:fillRef idx="0">
                          <a:srgbClr val="FFFFFF"/>
                        </a:fillRef>
                        <a:effectRef idx="0">
                          <a:srgbClr val="FFFFFF"/>
                        </a:effectRef>
                        <a:fontRef idx="minor">
                          <a:schemeClr val="tx1"/>
                        </a:fontRef>
                      </wps:style>
                      <wps:txbx>
                        <w:txbxContent>
                          <w:p w14:paraId="3AE077CC">
                            <w:pPr>
                              <w:jc w:val="center"/>
                              <w:rPr>
                                <w:rFonts w:hint="eastAsia" w:eastAsia="宋体"/>
                                <w:lang w:val="en-US" w:eastAsia="zh-CN"/>
                              </w:rPr>
                            </w:pPr>
                            <w:r>
                              <w:rPr>
                                <w:rFonts w:hint="eastAsia"/>
                                <w:lang w:val="en-US" w:eastAsia="zh-CN"/>
                              </w:rPr>
                              <w:t>本项目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71.25pt;margin-top:126.2pt;height:25.55pt;width:59.3pt;z-index:251685888;v-text-anchor:middle;mso-width-relative:page;mso-height-relative:page;" fillcolor="#FFFFFF [3212]" filled="t" stroked="t" coordsize="21600,21600" o:gfxdata="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" adj="-4498,52485">
                <v:fill on="t" focussize="0,0"/>
                <v:stroke weight="2pt" color="#000000" joinstyle="round"/>
                <v:imagedata o:title=""/>
                <o:lock v:ext="edit" aspectratio="f"/>
                <v:textbox>
                  <w:txbxContent>
                    <w:p w14:paraId="3AE077CC">
                      <w:pPr>
                        <w:jc w:val="center"/>
                        <w:rPr>
                          <w:rFonts w:hint="eastAsia" w:eastAsia="宋体"/>
                          <w:lang w:val="en-US" w:eastAsia="zh-CN"/>
                        </w:rPr>
                      </w:pPr>
                      <w:r>
                        <w:rPr>
                          <w:rFonts w:hint="eastAsia"/>
                          <w:lang w:val="en-US" w:eastAsia="zh-CN"/>
                        </w:rPr>
                        <w:t>本项目</w:t>
                      </w:r>
                    </w:p>
                  </w:txbxContent>
                </v:textbox>
              </v:shape>
            </w:pict>
          </mc:Fallback>
        </mc:AlternateContent>
      </w:r>
      <w:r>
        <w:rPr>
          <w:sz w:val="24"/>
          <w:highlight w:val="none"/>
        </w:rPr>
        <mc:AlternateContent>
          <mc:Choice Requires="wps">
            <w:drawing>
              <wp:anchor distT="0" distB="0" distL="114300" distR="114300" simplePos="0" relativeHeight="251686912" behindDoc="0" locked="0" layoutInCell="1" allowOverlap="1">
                <wp:simplePos x="0" y="0"/>
                <wp:positionH relativeFrom="column">
                  <wp:posOffset>6473825</wp:posOffset>
                </wp:positionH>
                <wp:positionV relativeFrom="paragraph">
                  <wp:posOffset>3041015</wp:posOffset>
                </wp:positionV>
                <wp:extent cx="1609725" cy="353060"/>
                <wp:effectExtent l="14605" t="821690" r="21590" b="13970"/>
                <wp:wrapNone/>
                <wp:docPr id="8" name="矩形标注 8"/>
                <wp:cNvGraphicFramePr/>
                <a:graphic xmlns:a="http://schemas.openxmlformats.org/drawingml/2006/main">
                  <a:graphicData uri="http://schemas.microsoft.com/office/word/2010/wordprocessingShape">
                    <wps:wsp>
                      <wps:cNvSpPr/>
                      <wps:spPr>
                        <a:xfrm>
                          <a:off x="0" y="0"/>
                          <a:ext cx="1609725" cy="353060"/>
                        </a:xfrm>
                        <a:prstGeom prst="wedgeRectCallout">
                          <a:avLst>
                            <a:gd name="adj1" fmla="val -50118"/>
                            <a:gd name="adj2" fmla="val -279136"/>
                          </a:avLst>
                        </a:prstGeom>
                        <a:solidFill>
                          <a:schemeClr val="bg1"/>
                        </a:solidFill>
                      </wps:spPr>
                      <wps:style>
                        <a:lnRef idx="2">
                          <a:prstClr val="black"/>
                        </a:lnRef>
                        <a:fillRef idx="0">
                          <a:srgbClr val="FFFFFF"/>
                        </a:fillRef>
                        <a:effectRef idx="0">
                          <a:srgbClr val="FFFFFF"/>
                        </a:effectRef>
                        <a:fontRef idx="minor">
                          <a:schemeClr val="tx1"/>
                        </a:fontRef>
                      </wps:style>
                      <wps:txbx>
                        <w:txbxContent>
                          <w:p w14:paraId="2BC044B3">
                            <w:pPr>
                              <w:jc w:val="center"/>
                              <w:rPr>
                                <w:rFonts w:hint="default" w:eastAsia="宋体"/>
                                <w:lang w:val="en-US" w:eastAsia="zh-CN"/>
                              </w:rPr>
                            </w:pPr>
                            <w:r>
                              <w:rPr>
                                <w:rFonts w:hint="eastAsia"/>
                                <w:lang w:val="en-US" w:eastAsia="zh-CN"/>
                              </w:rPr>
                              <w:t>本项目依托的办公区</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509.75pt;margin-top:239.45pt;height:27.8pt;width:126.75pt;z-index:251686912;v-text-anchor:middle;mso-width-relative:page;mso-height-relative:page;" fillcolor="#FFFFFF [3212]" filled="t" stroked="t" coordsize="21600,21600" o:gfxdata="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" adj="-25,-49493">
                <v:fill on="t" focussize="0,0"/>
                <v:stroke weight="2pt" color="#000000" joinstyle="round"/>
                <v:imagedata o:title=""/>
                <o:lock v:ext="edit" aspectratio="f"/>
                <v:textbox>
                  <w:txbxContent>
                    <w:p w14:paraId="2BC044B3">
                      <w:pPr>
                        <w:jc w:val="center"/>
                        <w:rPr>
                          <w:rFonts w:hint="default" w:eastAsia="宋体"/>
                          <w:lang w:val="en-US" w:eastAsia="zh-CN"/>
                        </w:rPr>
                      </w:pPr>
                      <w:r>
                        <w:rPr>
                          <w:rFonts w:hint="eastAsia"/>
                          <w:lang w:val="en-US" w:eastAsia="zh-CN"/>
                        </w:rPr>
                        <w:t>本项目依托的办公区</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7696" behindDoc="0" locked="0" layoutInCell="1" allowOverlap="1">
                <wp:simplePos x="0" y="0"/>
                <wp:positionH relativeFrom="column">
                  <wp:posOffset>525780</wp:posOffset>
                </wp:positionH>
                <wp:positionV relativeFrom="paragraph">
                  <wp:posOffset>998855</wp:posOffset>
                </wp:positionV>
                <wp:extent cx="6131560" cy="3627755"/>
                <wp:effectExtent l="0" t="0" r="0" b="0"/>
                <wp:wrapNone/>
                <wp:docPr id="59" name="文本框 59"/>
                <wp:cNvGraphicFramePr/>
                <a:graphic xmlns:a="http://schemas.openxmlformats.org/drawingml/2006/main">
                  <a:graphicData uri="http://schemas.microsoft.com/office/word/2010/wordprocessingShape">
                    <wps:wsp>
                      <wps:cNvSpPr txBox="1"/>
                      <wps:spPr>
                        <a:xfrm>
                          <a:off x="0" y="0"/>
                          <a:ext cx="6131560" cy="362775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0B6642">
                            <w:pPr>
                              <w:ind w:left="841" w:leftChars="300" w:hanging="211" w:hangingChars="100"/>
                              <w:rPr>
                                <w:b/>
                                <w:bCs/>
                                <w:color w:val="00B050"/>
                              </w:rPr>
                            </w:pPr>
                            <w:r>
                              <w:rPr>
                                <w:rFonts w:hint="eastAsia"/>
                                <w:b/>
                                <w:bCs/>
                                <w:color w:val="00B050"/>
                                <w:lang w:val="en-US" w:eastAsia="zh-CN"/>
                              </w:rPr>
                              <w:t xml:space="preserve">商业林                                                           </w:t>
                            </w:r>
                            <w:r>
                              <w:rPr>
                                <w:rFonts w:hint="eastAsia"/>
                                <w:b/>
                                <w:bCs/>
                                <w:color w:val="00B050"/>
                              </w:rPr>
                              <w:t>耕地</w:t>
                            </w:r>
                          </w:p>
                          <w:p w14:paraId="22DCFE9C">
                            <w:pPr>
                              <w:rPr>
                                <w:rFonts w:hint="eastAsia" w:eastAsia="宋体"/>
                                <w:b/>
                                <w:bCs/>
                                <w:color w:val="00B050"/>
                                <w:lang w:eastAsia="zh-CN"/>
                              </w:rPr>
                            </w:pPr>
                          </w:p>
                          <w:p w14:paraId="6F3EFBE2">
                            <w:pPr>
                              <w:rPr>
                                <w:b/>
                                <w:bCs/>
                                <w:color w:val="00B050"/>
                              </w:rPr>
                            </w:pPr>
                          </w:p>
                          <w:p w14:paraId="06261D5B">
                            <w:pPr>
                              <w:ind w:firstLine="2741" w:firstLineChars="1300"/>
                              <w:rPr>
                                <w:b/>
                                <w:bCs/>
                                <w:color w:val="00B050"/>
                              </w:rPr>
                            </w:pPr>
                            <w:r>
                              <w:rPr>
                                <w:rFonts w:hint="eastAsia"/>
                                <w:b/>
                                <w:bCs/>
                                <w:color w:val="00B050"/>
                              </w:rPr>
                              <w:t xml:space="preserve">  </w:t>
                            </w:r>
                          </w:p>
                          <w:p w14:paraId="56F11710">
                            <w:pPr>
                              <w:rPr>
                                <w:b/>
                                <w:bCs/>
                                <w:color w:val="00B050"/>
                              </w:rPr>
                            </w:pPr>
                          </w:p>
                          <w:p w14:paraId="0ED31A2C">
                            <w:pPr>
                              <w:ind w:left="843" w:hanging="843" w:hangingChars="400"/>
                              <w:rPr>
                                <w:b/>
                                <w:bCs/>
                                <w:color w:val="00B050"/>
                              </w:rPr>
                            </w:pPr>
                            <w:r>
                              <w:rPr>
                                <w:rFonts w:hint="eastAsia"/>
                                <w:b/>
                                <w:bCs/>
                                <w:color w:val="00B050"/>
                              </w:rPr>
                              <w:t xml:space="preserve">                                                                      </w:t>
                            </w:r>
                          </w:p>
                          <w:p w14:paraId="5E4DE479">
                            <w:pPr>
                              <w:ind w:left="842" w:leftChars="100" w:hanging="632" w:hangingChars="300"/>
                              <w:rPr>
                                <w:b/>
                                <w:bCs/>
                                <w:color w:val="00B050"/>
                              </w:rPr>
                            </w:pPr>
                          </w:p>
                          <w:p w14:paraId="6F40A641"/>
                          <w:p w14:paraId="65484DB5">
                            <w:pPr>
                              <w:ind w:left="841" w:leftChars="300" w:hanging="211" w:hangingChars="100"/>
                              <w:rPr>
                                <w:rFonts w:hint="eastAsia"/>
                                <w:b/>
                                <w:bCs/>
                                <w:color w:val="00B050"/>
                              </w:rPr>
                            </w:pPr>
                          </w:p>
                          <w:p w14:paraId="46C20566">
                            <w:pPr>
                              <w:ind w:left="841" w:leftChars="300" w:hanging="211" w:hangingChars="100"/>
                              <w:rPr>
                                <w:rFonts w:hint="eastAsia"/>
                                <w:b/>
                                <w:bCs/>
                                <w:color w:val="00B050"/>
                              </w:rPr>
                            </w:pPr>
                          </w:p>
                          <w:p w14:paraId="2EAA7A78">
                            <w:pPr>
                              <w:ind w:left="841" w:leftChars="300" w:hanging="211" w:hangingChars="100"/>
                              <w:rPr>
                                <w:rFonts w:hint="eastAsia"/>
                                <w:b/>
                                <w:bCs/>
                                <w:color w:val="00B050"/>
                              </w:rPr>
                            </w:pPr>
                          </w:p>
                          <w:p w14:paraId="27C55659">
                            <w:pPr>
                              <w:ind w:left="841" w:leftChars="300" w:hanging="211" w:hangingChars="100"/>
                              <w:rPr>
                                <w:rFonts w:hint="eastAsia"/>
                                <w:b/>
                                <w:bCs/>
                                <w:color w:val="00B050"/>
                              </w:rPr>
                            </w:pPr>
                          </w:p>
                          <w:p w14:paraId="41154189">
                            <w:pPr>
                              <w:ind w:left="841" w:leftChars="300" w:hanging="211" w:hangingChars="100"/>
                              <w:rPr>
                                <w:rFonts w:hint="eastAsia"/>
                                <w:b/>
                                <w:bCs/>
                                <w:color w:val="00B050"/>
                              </w:rPr>
                            </w:pPr>
                          </w:p>
                          <w:p w14:paraId="1018C916">
                            <w:pPr>
                              <w:ind w:left="841" w:leftChars="300" w:hanging="211" w:hangingChars="100"/>
                              <w:rPr>
                                <w:rFonts w:hint="eastAsia"/>
                                <w:b/>
                                <w:bCs/>
                                <w:color w:val="00B050"/>
                              </w:rPr>
                            </w:pPr>
                          </w:p>
                          <w:p w14:paraId="3EB3F7C9">
                            <w:pPr>
                              <w:ind w:left="841" w:leftChars="300" w:hanging="211" w:hangingChars="100"/>
                              <w:rPr>
                                <w:rFonts w:hint="eastAsia"/>
                                <w:b/>
                                <w:bCs/>
                                <w:color w:val="00B050"/>
                              </w:rPr>
                            </w:pPr>
                          </w:p>
                          <w:p w14:paraId="4442FD40">
                            <w:pPr>
                              <w:ind w:left="840" w:leftChars="400" w:firstLine="3795" w:firstLineChars="1800"/>
                              <w:rPr>
                                <w:rFonts w:hint="eastAsia" w:ascii="Times New Roman" w:hAnsi="Times New Roman" w:eastAsia="宋体" w:cs="Times New Roman"/>
                                <w:b/>
                                <w:bCs/>
                                <w:color w:val="00B050"/>
                                <w:lang w:val="en-US" w:eastAsia="zh-CN"/>
                              </w:rPr>
                            </w:pPr>
                          </w:p>
                          <w:p w14:paraId="49953E63">
                            <w:pPr>
                              <w:ind w:left="840" w:leftChars="400" w:firstLine="3795" w:firstLineChars="1800"/>
                              <w:rPr>
                                <w:rFonts w:hint="eastAsia" w:ascii="Times New Roman" w:hAnsi="Times New Roman" w:eastAsia="宋体" w:cs="Times New Roman"/>
                                <w:b/>
                                <w:bCs/>
                                <w:color w:val="00B050"/>
                                <w:lang w:val="en-US" w:eastAsia="zh-CN"/>
                              </w:rPr>
                            </w:pPr>
                            <w:r>
                              <w:rPr>
                                <w:rFonts w:hint="eastAsia" w:ascii="Times New Roman" w:hAnsi="Times New Roman" w:eastAsia="宋体" w:cs="Times New Roman"/>
                                <w:b/>
                                <w:bCs/>
                                <w:color w:val="00B050"/>
                                <w:lang w:val="en-US" w:eastAsia="zh-CN"/>
                              </w:rPr>
                              <w:t>商业林</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4pt;margin-top:78.65pt;height:285.65pt;width:482.8pt;z-index:251677696;mso-width-relative:page;mso-height-relative:page;" filled="f" stroked="f" coordsize="21600,21600" o:gfxdata="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Bovjs93AAAAAsBAAAPAAAAAAAAAAEAIAAAACIA&#10;AABkcnMvZG93bnJldi54bWxQSwECFAAUAAAACACHTuJAJaID7T4CAABpBAAADgAAAAAAAAABACAA&#10;AAArAQAAZHJzL2Uyb0RvYy54bWxQSwUGAAAAAAYABgBZAQAA2wUAAAAA&#10;">
                <v:fill on="f" focussize="0,0"/>
                <v:stroke on="f" weight="0.5pt"/>
                <v:imagedata o:title=""/>
                <o:lock v:ext="edit" aspectratio="f"/>
                <v:textbox>
                  <w:txbxContent>
                    <w:p w14:paraId="240B6642">
                      <w:pPr>
                        <w:ind w:left="841" w:leftChars="300" w:hanging="211" w:hangingChars="100"/>
                        <w:rPr>
                          <w:b/>
                          <w:bCs/>
                          <w:color w:val="00B050"/>
                        </w:rPr>
                      </w:pPr>
                      <w:r>
                        <w:rPr>
                          <w:rFonts w:hint="eastAsia"/>
                          <w:b/>
                          <w:bCs/>
                          <w:color w:val="00B050"/>
                          <w:lang w:val="en-US" w:eastAsia="zh-CN"/>
                        </w:rPr>
                        <w:t xml:space="preserve">商业林                                                           </w:t>
                      </w:r>
                      <w:r>
                        <w:rPr>
                          <w:rFonts w:hint="eastAsia"/>
                          <w:b/>
                          <w:bCs/>
                          <w:color w:val="00B050"/>
                        </w:rPr>
                        <w:t>耕地</w:t>
                      </w:r>
                    </w:p>
                    <w:p w14:paraId="22DCFE9C">
                      <w:pPr>
                        <w:rPr>
                          <w:rFonts w:hint="eastAsia" w:eastAsia="宋体"/>
                          <w:b/>
                          <w:bCs/>
                          <w:color w:val="00B050"/>
                          <w:lang w:eastAsia="zh-CN"/>
                        </w:rPr>
                      </w:pPr>
                    </w:p>
                    <w:p w14:paraId="6F3EFBE2">
                      <w:pPr>
                        <w:rPr>
                          <w:b/>
                          <w:bCs/>
                          <w:color w:val="00B050"/>
                        </w:rPr>
                      </w:pPr>
                    </w:p>
                    <w:p w14:paraId="06261D5B">
                      <w:pPr>
                        <w:ind w:firstLine="2741" w:firstLineChars="1300"/>
                        <w:rPr>
                          <w:b/>
                          <w:bCs/>
                          <w:color w:val="00B050"/>
                        </w:rPr>
                      </w:pPr>
                      <w:r>
                        <w:rPr>
                          <w:rFonts w:hint="eastAsia"/>
                          <w:b/>
                          <w:bCs/>
                          <w:color w:val="00B050"/>
                        </w:rPr>
                        <w:t xml:space="preserve">  </w:t>
                      </w:r>
                    </w:p>
                    <w:p w14:paraId="56F11710">
                      <w:pPr>
                        <w:rPr>
                          <w:b/>
                          <w:bCs/>
                          <w:color w:val="00B050"/>
                        </w:rPr>
                      </w:pPr>
                    </w:p>
                    <w:p w14:paraId="0ED31A2C">
                      <w:pPr>
                        <w:ind w:left="843" w:hanging="843" w:hangingChars="400"/>
                        <w:rPr>
                          <w:b/>
                          <w:bCs/>
                          <w:color w:val="00B050"/>
                        </w:rPr>
                      </w:pPr>
                      <w:r>
                        <w:rPr>
                          <w:rFonts w:hint="eastAsia"/>
                          <w:b/>
                          <w:bCs/>
                          <w:color w:val="00B050"/>
                        </w:rPr>
                        <w:t xml:space="preserve">                                                                      </w:t>
                      </w:r>
                    </w:p>
                    <w:p w14:paraId="5E4DE479">
                      <w:pPr>
                        <w:ind w:left="842" w:leftChars="100" w:hanging="632" w:hangingChars="300"/>
                        <w:rPr>
                          <w:b/>
                          <w:bCs/>
                          <w:color w:val="00B050"/>
                        </w:rPr>
                      </w:pPr>
                    </w:p>
                    <w:p w14:paraId="6F40A641"/>
                    <w:p w14:paraId="65484DB5">
                      <w:pPr>
                        <w:ind w:left="841" w:leftChars="300" w:hanging="211" w:hangingChars="100"/>
                        <w:rPr>
                          <w:rFonts w:hint="eastAsia"/>
                          <w:b/>
                          <w:bCs/>
                          <w:color w:val="00B050"/>
                        </w:rPr>
                      </w:pPr>
                    </w:p>
                    <w:p w14:paraId="46C20566">
                      <w:pPr>
                        <w:ind w:left="841" w:leftChars="300" w:hanging="211" w:hangingChars="100"/>
                        <w:rPr>
                          <w:rFonts w:hint="eastAsia"/>
                          <w:b/>
                          <w:bCs/>
                          <w:color w:val="00B050"/>
                        </w:rPr>
                      </w:pPr>
                    </w:p>
                    <w:p w14:paraId="2EAA7A78">
                      <w:pPr>
                        <w:ind w:left="841" w:leftChars="300" w:hanging="211" w:hangingChars="100"/>
                        <w:rPr>
                          <w:rFonts w:hint="eastAsia"/>
                          <w:b/>
                          <w:bCs/>
                          <w:color w:val="00B050"/>
                        </w:rPr>
                      </w:pPr>
                    </w:p>
                    <w:p w14:paraId="27C55659">
                      <w:pPr>
                        <w:ind w:left="841" w:leftChars="300" w:hanging="211" w:hangingChars="100"/>
                        <w:rPr>
                          <w:rFonts w:hint="eastAsia"/>
                          <w:b/>
                          <w:bCs/>
                          <w:color w:val="00B050"/>
                        </w:rPr>
                      </w:pPr>
                    </w:p>
                    <w:p w14:paraId="41154189">
                      <w:pPr>
                        <w:ind w:left="841" w:leftChars="300" w:hanging="211" w:hangingChars="100"/>
                        <w:rPr>
                          <w:rFonts w:hint="eastAsia"/>
                          <w:b/>
                          <w:bCs/>
                          <w:color w:val="00B050"/>
                        </w:rPr>
                      </w:pPr>
                    </w:p>
                    <w:p w14:paraId="1018C916">
                      <w:pPr>
                        <w:ind w:left="841" w:leftChars="300" w:hanging="211" w:hangingChars="100"/>
                        <w:rPr>
                          <w:rFonts w:hint="eastAsia"/>
                          <w:b/>
                          <w:bCs/>
                          <w:color w:val="00B050"/>
                        </w:rPr>
                      </w:pPr>
                    </w:p>
                    <w:p w14:paraId="3EB3F7C9">
                      <w:pPr>
                        <w:ind w:left="841" w:leftChars="300" w:hanging="211" w:hangingChars="100"/>
                        <w:rPr>
                          <w:rFonts w:hint="eastAsia"/>
                          <w:b/>
                          <w:bCs/>
                          <w:color w:val="00B050"/>
                        </w:rPr>
                      </w:pPr>
                    </w:p>
                    <w:p w14:paraId="4442FD40">
                      <w:pPr>
                        <w:ind w:left="840" w:leftChars="400" w:firstLine="3795" w:firstLineChars="1800"/>
                        <w:rPr>
                          <w:rFonts w:hint="eastAsia" w:ascii="Times New Roman" w:hAnsi="Times New Roman" w:eastAsia="宋体" w:cs="Times New Roman"/>
                          <w:b/>
                          <w:bCs/>
                          <w:color w:val="00B050"/>
                          <w:lang w:val="en-US" w:eastAsia="zh-CN"/>
                        </w:rPr>
                      </w:pPr>
                    </w:p>
                    <w:p w14:paraId="49953E63">
                      <w:pPr>
                        <w:ind w:left="840" w:leftChars="400" w:firstLine="3795" w:firstLineChars="1800"/>
                        <w:rPr>
                          <w:rFonts w:hint="eastAsia" w:ascii="Times New Roman" w:hAnsi="Times New Roman" w:eastAsia="宋体" w:cs="Times New Roman"/>
                          <w:b/>
                          <w:bCs/>
                          <w:color w:val="00B050"/>
                          <w:lang w:val="en-US" w:eastAsia="zh-CN"/>
                        </w:rPr>
                      </w:pPr>
                      <w:r>
                        <w:rPr>
                          <w:rFonts w:hint="eastAsia" w:ascii="Times New Roman" w:hAnsi="Times New Roman" w:eastAsia="宋体" w:cs="Times New Roman"/>
                          <w:b/>
                          <w:bCs/>
                          <w:color w:val="00B050"/>
                          <w:lang w:val="en-US" w:eastAsia="zh-CN"/>
                        </w:rPr>
                        <w:t>商业林</w:t>
                      </w:r>
                    </w:p>
                  </w:txbxContent>
                </v:textbox>
              </v:shape>
            </w:pict>
          </mc:Fallback>
        </mc:AlternateContent>
      </w:r>
      <w:r>
        <w:rPr>
          <w:highlight w:val="none"/>
        </w:rPr>
        <w:drawing>
          <wp:inline distT="0" distB="0" distL="114300" distR="114300">
            <wp:extent cx="8742680" cy="5036185"/>
            <wp:effectExtent l="0" t="0" r="5080" b="8255"/>
            <wp:docPr id="5"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9"/>
                    <pic:cNvPicPr>
                      <a:picLocks noChangeAspect="1"/>
                    </pic:cNvPicPr>
                  </pic:nvPicPr>
                  <pic:blipFill>
                    <a:blip r:embed="rId50"/>
                    <a:srcRect l="8615"/>
                    <a:stretch>
                      <a:fillRect/>
                    </a:stretch>
                  </pic:blipFill>
                  <pic:spPr>
                    <a:xfrm>
                      <a:off x="0" y="0"/>
                      <a:ext cx="8742680" cy="5036185"/>
                    </a:xfrm>
                    <a:prstGeom prst="rect">
                      <a:avLst/>
                    </a:prstGeom>
                    <a:noFill/>
                    <a:ln>
                      <a:noFill/>
                    </a:ln>
                  </pic:spPr>
                </pic:pic>
              </a:graphicData>
            </a:graphic>
          </wp:inline>
        </w:drawing>
      </w:r>
    </w:p>
    <w:p w14:paraId="54D8E8E6">
      <w:pPr>
        <w:jc w:val="center"/>
        <w:rPr>
          <w:color w:val="000000" w:themeColor="text1"/>
          <w:sz w:val="24"/>
          <w:highlight w:val="none"/>
          <w14:textFill>
            <w14:solidFill>
              <w14:schemeClr w14:val="tx1"/>
            </w14:solidFill>
          </w14:textFill>
        </w:rPr>
        <w:sectPr>
          <w:pgSz w:w="16838" w:h="11906" w:orient="landscape"/>
          <w:pgMar w:top="1418" w:right="1418" w:bottom="1418" w:left="1418" w:header="851" w:footer="992" w:gutter="0"/>
          <w:pgNumType w:fmt="decimal"/>
          <w:cols w:space="720" w:num="1"/>
          <w:docGrid w:type="lines" w:linePitch="312" w:charSpace="0"/>
        </w:sectPr>
      </w:pPr>
    </w:p>
    <w:p w14:paraId="5D151781">
      <w:pPr>
        <w:pStyle w:val="13"/>
        <w:outlineLvl w:val="0"/>
        <w:rPr>
          <w:b/>
          <w:bCs/>
          <w:color w:val="000000" w:themeColor="text1"/>
          <w:sz w:val="24"/>
          <w:szCs w:val="24"/>
          <w:highlight w:val="none"/>
          <w14:textFill>
            <w14:solidFill>
              <w14:schemeClr w14:val="tx1"/>
            </w14:solidFill>
          </w14:textFill>
        </w:rPr>
      </w:pPr>
      <w:r>
        <w:rPr>
          <w:b/>
          <w:bCs/>
          <w:color w:val="000000" w:themeColor="text1"/>
          <w:sz w:val="24"/>
          <w:szCs w:val="24"/>
          <w:highlight w:val="none"/>
          <w14:textFill>
            <w14:solidFill>
              <w14:schemeClr w14:val="tx1"/>
            </w14:solidFill>
          </w14:textFill>
        </w:rPr>
        <w:t>附图3 环境保护目标图</w:t>
      </w:r>
    </w:p>
    <w:p w14:paraId="631B6F49">
      <w:pPr>
        <w:pStyle w:val="23"/>
        <w:ind w:left="0"/>
        <w:jc w:val="center"/>
        <w:rPr>
          <w:rFonts w:ascii="Times New Roman" w:hAnsi="Times New Roman"/>
          <w:color w:val="000000" w:themeColor="text1"/>
          <w:sz w:val="24"/>
          <w:szCs w:val="24"/>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1552" behindDoc="0" locked="0" layoutInCell="1" allowOverlap="1">
                <wp:simplePos x="0" y="0"/>
                <wp:positionH relativeFrom="column">
                  <wp:posOffset>3609340</wp:posOffset>
                </wp:positionH>
                <wp:positionV relativeFrom="paragraph">
                  <wp:posOffset>2406650</wp:posOffset>
                </wp:positionV>
                <wp:extent cx="582295" cy="297815"/>
                <wp:effectExtent l="0" t="0" r="0" b="0"/>
                <wp:wrapNone/>
                <wp:docPr id="17" name="文本框 17"/>
                <wp:cNvGraphicFramePr/>
                <a:graphic xmlns:a="http://schemas.openxmlformats.org/drawingml/2006/main">
                  <a:graphicData uri="http://schemas.microsoft.com/office/word/2010/wordprocessingShape">
                    <wps:wsp>
                      <wps:cNvSpPr txBox="1"/>
                      <wps:spPr>
                        <a:xfrm>
                          <a:off x="5720715" y="2687955"/>
                          <a:ext cx="582295" cy="2978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D433FA7">
                            <w:pPr>
                              <w:rPr>
                                <w:b/>
                                <w:bCs/>
                                <w:color w:val="FF0000"/>
                                <w:sz w:val="21"/>
                                <w:szCs w:val="21"/>
                              </w:rPr>
                            </w:pPr>
                            <w:r>
                              <w:rPr>
                                <w:rFonts w:hint="eastAsia"/>
                                <w:b/>
                                <w:bCs/>
                                <w:color w:val="FF0000"/>
                                <w:sz w:val="21"/>
                                <w:szCs w:val="21"/>
                              </w:rPr>
                              <w:t>50m</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84.2pt;margin-top:189.5pt;height:23.45pt;width:45.85pt;z-index:251671552;mso-width-relative:page;mso-height-relative:page;" filled="f" stroked="f" coordsize="21600,21600" o:gfxdata="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PEhpOPdAAAACwEAAA8AAAAAAAAA&#10;AQAgAAAAIgAAAGRycy9kb3ducmV2LnhtbFBLAQIUABQAAAAIAIdO4kDJbLrLRQIAAHMEAAAOAAAA&#10;AAAAAAEAIAAAACwBAABkcnMvZTJvRG9jLnhtbFBLBQYAAAAABgAGAFkBAADjBQAAAAA=&#10;">
                <v:fill on="f" focussize="0,0"/>
                <v:stroke on="f" weight="0.5pt"/>
                <v:imagedata o:title=""/>
                <o:lock v:ext="edit" aspectratio="f"/>
                <v:textbox>
                  <w:txbxContent>
                    <w:p w14:paraId="5D433FA7">
                      <w:pPr>
                        <w:rPr>
                          <w:b/>
                          <w:bCs/>
                          <w:color w:val="FF0000"/>
                          <w:sz w:val="21"/>
                          <w:szCs w:val="21"/>
                        </w:rPr>
                      </w:pPr>
                      <w:r>
                        <w:rPr>
                          <w:rFonts w:hint="eastAsia"/>
                          <w:b/>
                          <w:bCs/>
                          <w:color w:val="FF0000"/>
                          <w:sz w:val="21"/>
                          <w:szCs w:val="21"/>
                        </w:rPr>
                        <w:t>50m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5408" behindDoc="0" locked="0" layoutInCell="1" allowOverlap="1">
                <wp:simplePos x="0" y="0"/>
                <wp:positionH relativeFrom="column">
                  <wp:posOffset>4510405</wp:posOffset>
                </wp:positionH>
                <wp:positionV relativeFrom="paragraph">
                  <wp:posOffset>2551430</wp:posOffset>
                </wp:positionV>
                <wp:extent cx="829945" cy="238125"/>
                <wp:effectExtent l="0" t="0" r="0" b="0"/>
                <wp:wrapNone/>
                <wp:docPr id="28" name="文本框 71"/>
                <wp:cNvGraphicFramePr/>
                <a:graphic xmlns:a="http://schemas.openxmlformats.org/drawingml/2006/main">
                  <a:graphicData uri="http://schemas.microsoft.com/office/word/2010/wordprocessingShape">
                    <wps:wsp>
                      <wps:cNvSpPr txBox="1"/>
                      <wps:spPr>
                        <a:xfrm>
                          <a:off x="0" y="0"/>
                          <a:ext cx="829945" cy="238125"/>
                        </a:xfrm>
                        <a:prstGeom prst="rect">
                          <a:avLst/>
                        </a:prstGeom>
                        <a:noFill/>
                        <a:ln>
                          <a:noFill/>
                        </a:ln>
                      </wps:spPr>
                      <wps:txbx>
                        <w:txbxContent>
                          <w:p w14:paraId="1AF85523">
                            <w:pPr>
                              <w:rPr>
                                <w:b/>
                                <w:bCs/>
                                <w:color w:val="FF0000"/>
                                <w:sz w:val="21"/>
                                <w:szCs w:val="21"/>
                              </w:rPr>
                            </w:pPr>
                            <w:r>
                              <w:rPr>
                                <w:rFonts w:hint="eastAsia"/>
                                <w:b/>
                                <w:bCs/>
                                <w:color w:val="FF0000"/>
                                <w:sz w:val="21"/>
                                <w:szCs w:val="21"/>
                              </w:rPr>
                              <w:t>500m</w:t>
                            </w:r>
                          </w:p>
                        </w:txbxContent>
                      </wps:txbx>
                      <wps:bodyPr vert="horz" wrap="square" anchor="t" anchorCtr="0" upright="1"/>
                    </wps:wsp>
                  </a:graphicData>
                </a:graphic>
              </wp:anchor>
            </w:drawing>
          </mc:Choice>
          <mc:Fallback>
            <w:pict>
              <v:shape id="文本框 71" o:spid="_x0000_s1026" o:spt="202" type="#_x0000_t202" style="position:absolute;left:0pt;margin-left:355.15pt;margin-top:200.9pt;height:18.75pt;width:65.35pt;z-index:251665408;mso-width-relative:page;mso-height-relative:page;" filled="f" stroked="f" coordsize="21600,21600" o:gfxdata="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">
                <v:fill on="f" focussize="0,0"/>
                <v:stroke on="f"/>
                <v:imagedata o:title=""/>
                <o:lock v:ext="edit" aspectratio="f"/>
                <v:textbox>
                  <w:txbxContent>
                    <w:p w14:paraId="1AF85523">
                      <w:pPr>
                        <w:rPr>
                          <w:b/>
                          <w:bCs/>
                          <w:color w:val="FF0000"/>
                          <w:sz w:val="21"/>
                          <w:szCs w:val="21"/>
                        </w:rPr>
                      </w:pPr>
                      <w:r>
                        <w:rPr>
                          <w:rFonts w:hint="eastAsia"/>
                          <w:b/>
                          <w:bCs/>
                          <w:color w:val="FF0000"/>
                          <w:sz w:val="21"/>
                          <w:szCs w:val="21"/>
                        </w:rPr>
                        <w:t>500m</w:t>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0528" behindDoc="0" locked="0" layoutInCell="1" allowOverlap="1">
                <wp:simplePos x="0" y="0"/>
                <wp:positionH relativeFrom="column">
                  <wp:posOffset>3586480</wp:posOffset>
                </wp:positionH>
                <wp:positionV relativeFrom="paragraph">
                  <wp:posOffset>2388235</wp:posOffset>
                </wp:positionV>
                <wp:extent cx="77470" cy="168910"/>
                <wp:effectExtent l="17780" t="0" r="11430" b="13970"/>
                <wp:wrapNone/>
                <wp:docPr id="16" name="直接箭头连接符 16"/>
                <wp:cNvGraphicFramePr/>
                <a:graphic xmlns:a="http://schemas.openxmlformats.org/drawingml/2006/main">
                  <a:graphicData uri="http://schemas.microsoft.com/office/word/2010/wordprocessingShape">
                    <wps:wsp>
                      <wps:cNvCnPr/>
                      <wps:spPr>
                        <a:xfrm flipV="1">
                          <a:off x="5615305" y="2867660"/>
                          <a:ext cx="77470" cy="16891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flip:y;margin-left:282.4pt;margin-top:188.05pt;height:13.3pt;width:6.1pt;z-index:251670528;mso-width-relative:page;mso-height-relative:page;" filled="f" stroked="t" coordsize="21600,21600" o:gfxdata="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">
                <v:fill on="f" focussize="0,0"/>
                <v:stroke weight="2pt" color="#FF0000 [3204]" joinstyle="round"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7456" behindDoc="0" locked="0" layoutInCell="1" allowOverlap="1">
                <wp:simplePos x="0" y="0"/>
                <wp:positionH relativeFrom="column">
                  <wp:posOffset>6143625</wp:posOffset>
                </wp:positionH>
                <wp:positionV relativeFrom="paragraph">
                  <wp:posOffset>3903345</wp:posOffset>
                </wp:positionV>
                <wp:extent cx="201295" cy="116205"/>
                <wp:effectExtent l="4445" t="4445" r="7620" b="16510"/>
                <wp:wrapNone/>
                <wp:docPr id="30" name="矩形 73"/>
                <wp:cNvGraphicFramePr/>
                <a:graphic xmlns:a="http://schemas.openxmlformats.org/drawingml/2006/main">
                  <a:graphicData uri="http://schemas.microsoft.com/office/word/2010/wordprocessingShape">
                    <wps:wsp>
                      <wps:cNvSpPr/>
                      <wps:spPr>
                        <a:xfrm>
                          <a:off x="0" y="0"/>
                          <a:ext cx="201295" cy="116205"/>
                        </a:xfrm>
                        <a:prstGeom prst="rect">
                          <a:avLst/>
                        </a:prstGeom>
                        <a:noFill/>
                        <a:ln w="9525" cap="flat" cmpd="sng">
                          <a:solidFill>
                            <a:srgbClr val="3387FC"/>
                          </a:solidFill>
                          <a:prstDash val="solid"/>
                          <a:miter/>
                          <a:headEnd type="none" w="med" len="med"/>
                          <a:tailEnd type="none" w="med" len="med"/>
                        </a:ln>
                      </wps:spPr>
                      <wps:bodyPr vert="horz" wrap="square" anchor="t" anchorCtr="0" upright="1"/>
                    </wps:wsp>
                  </a:graphicData>
                </a:graphic>
              </wp:anchor>
            </w:drawing>
          </mc:Choice>
          <mc:Fallback>
            <w:pict>
              <v:rect id="矩形 73" o:spid="_x0000_s1026" o:spt="1" style="position:absolute;left:0pt;margin-left:483.75pt;margin-top:307.35pt;height:9.15pt;width:15.85pt;z-index:251667456;mso-width-relative:page;mso-height-relative:page;" filled="f" stroked="t" coordsize="21600,21600" o:gfxdata="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NrGiC2QAAAAsBAAAP&#10;AAAAAAAAAAEAIAAAACIAAABkcnMvZG93bnJldi54bWxQSwECFAAUAAAACACHTuJA9DDQiBcCAAAp&#10;BAAADgAAAAAAAAABACAAAAAoAQAAZHJzL2Uyb0RvYy54bWxQSwUGAAAAAAYABgBZAQAAsQUAAAAA&#10;">
                <v:fill on="f" focussize="0,0"/>
                <v:stroke color="#3387FC" joinstyle="miter"/>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9504" behindDoc="0" locked="0" layoutInCell="1" allowOverlap="1">
                <wp:simplePos x="0" y="0"/>
                <wp:positionH relativeFrom="column">
                  <wp:posOffset>6130925</wp:posOffset>
                </wp:positionH>
                <wp:positionV relativeFrom="paragraph">
                  <wp:posOffset>3699510</wp:posOffset>
                </wp:positionV>
                <wp:extent cx="222250" cy="127000"/>
                <wp:effectExtent l="4445" t="4445" r="17145" b="5715"/>
                <wp:wrapNone/>
                <wp:docPr id="13" name="矩形 13"/>
                <wp:cNvGraphicFramePr/>
                <a:graphic xmlns:a="http://schemas.openxmlformats.org/drawingml/2006/main">
                  <a:graphicData uri="http://schemas.microsoft.com/office/word/2010/wordprocessingShape">
                    <wps:wsp>
                      <wps:cNvSpPr/>
                      <wps:spPr>
                        <a:xfrm>
                          <a:off x="7736840" y="4962525"/>
                          <a:ext cx="222250" cy="127000"/>
                        </a:xfrm>
                        <a:prstGeom prst="rect">
                          <a:avLst/>
                        </a:prstGeom>
                        <a:noFill/>
                        <a:ln w="9525">
                          <a:solidFill>
                            <a:srgbClr val="FF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82.75pt;margin-top:291.3pt;height:10pt;width:17.5pt;z-index:251669504;v-text-anchor:middle;mso-width-relative:page;mso-height-relative:page;" filled="f" stroked="t" coordsize="21600,21600" o:gfxdata="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zjZoM9gAAAAMAQAADwAAAAAAAAABACAAAAAiAAAAZHJzL2Rvd25yZXYueG1s&#10;UEsBAhQAFAAAAAgAh07iQCYSPchqAgAAwAQAAA4AAAAAAAAAAQAgAAAAJwEAAGRycy9lMm9Eb2Mu&#10;eG1sUEsFBgAAAAAGAAYAWQEAAAMGAAAAAA==&#10;">
                <v:fill on="f" focussize="0,0"/>
                <v:stroke color="#FF0000 [2404]" joinstyle="round"/>
                <v:imagedata o:title=""/>
                <o:lock v:ext="edit" aspectratio="f"/>
              </v:rect>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8480" behindDoc="0" locked="0" layoutInCell="1" allowOverlap="1">
                <wp:simplePos x="0" y="0"/>
                <wp:positionH relativeFrom="column">
                  <wp:posOffset>6127115</wp:posOffset>
                </wp:positionH>
                <wp:positionV relativeFrom="paragraph">
                  <wp:posOffset>3498850</wp:posOffset>
                </wp:positionV>
                <wp:extent cx="217170" cy="116205"/>
                <wp:effectExtent l="4445" t="4445" r="6985" b="12700"/>
                <wp:wrapNone/>
                <wp:docPr id="31" name="自选图形 74"/>
                <wp:cNvGraphicFramePr/>
                <a:graphic xmlns:a="http://schemas.openxmlformats.org/drawingml/2006/main">
                  <a:graphicData uri="http://schemas.microsoft.com/office/word/2010/wordprocessingShape">
                    <wps:wsp>
                      <wps:cNvSpPr/>
                      <wps:spPr>
                        <a:xfrm>
                          <a:off x="0" y="0"/>
                          <a:ext cx="217170" cy="116205"/>
                        </a:xfrm>
                        <a:prstGeom prst="flowChartProcess">
                          <a:avLst/>
                        </a:prstGeom>
                        <a:solidFill>
                          <a:srgbClr val="DBB96C"/>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74" o:spid="_x0000_s1026" o:spt="109" type="#_x0000_t109" style="position:absolute;left:0pt;margin-left:482.45pt;margin-top:275.5pt;height:9.15pt;width:17.1pt;z-index:251668480;mso-width-relative:page;mso-height-relative:page;" fillcolor="#DBB96C" filled="t" stroked="t" coordsize="21600,21600" o:gfxdata="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BWZl2QAAAAsBAAAPAAAAAAAAAAEAIAAAACIAAABkcnMvZG93bnJldi54&#10;bWxQSwECFAAUAAAACACHTuJArJFsqjICAABkBAAADgAAAAAAAAABACAAAAAoAQAAZHJzL2Uyb0Rv&#10;Yy54bWxQSwUGAAAAAAYABgBZAQAAzAUAAAAA&#10;">
                <v:fill on="t" focussize="0,0"/>
                <v:stroke color="#FF0000" joinstyle="miter"/>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6432" behindDoc="0" locked="0" layoutInCell="1" allowOverlap="1">
                <wp:simplePos x="0" y="0"/>
                <wp:positionH relativeFrom="column">
                  <wp:posOffset>6085205</wp:posOffset>
                </wp:positionH>
                <wp:positionV relativeFrom="paragraph">
                  <wp:posOffset>3218180</wp:posOffset>
                </wp:positionV>
                <wp:extent cx="1778000" cy="993140"/>
                <wp:effectExtent l="5080" t="4445" r="15240" b="8255"/>
                <wp:wrapNone/>
                <wp:docPr id="29" name="文本框 72"/>
                <wp:cNvGraphicFramePr/>
                <a:graphic xmlns:a="http://schemas.openxmlformats.org/drawingml/2006/main">
                  <a:graphicData uri="http://schemas.microsoft.com/office/word/2010/wordprocessingShape">
                    <wps:wsp>
                      <wps:cNvSpPr txBox="1"/>
                      <wps:spPr>
                        <a:xfrm>
                          <a:off x="0" y="0"/>
                          <a:ext cx="1778000" cy="993140"/>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14:paraId="17F46743">
                            <w:pPr>
                              <w:jc w:val="center"/>
                            </w:pPr>
                            <w:r>
                              <w:rPr>
                                <w:rFonts w:hint="eastAsia"/>
                              </w:rPr>
                              <w:t>图例</w:t>
                            </w:r>
                          </w:p>
                          <w:p w14:paraId="2CE6F165">
                            <w:pPr>
                              <w:ind w:firstLine="420" w:firstLineChars="200"/>
                            </w:pPr>
                            <w:r>
                              <w:rPr>
                                <w:rFonts w:hint="eastAsia"/>
                              </w:rPr>
                              <w:t>本项目厂界</w:t>
                            </w:r>
                          </w:p>
                          <w:p w14:paraId="5ACFDDC9">
                            <w:pPr>
                              <w:pStyle w:val="11"/>
                              <w:spacing w:after="0" w:line="240" w:lineRule="auto"/>
                              <w:ind w:left="0" w:leftChars="0" w:firstLine="420" w:firstLineChars="200"/>
                            </w:pPr>
                            <w:r>
                              <w:rPr>
                                <w:rFonts w:hint="eastAsia"/>
                              </w:rPr>
                              <w:t>大气环境保护范围</w:t>
                            </w:r>
                          </w:p>
                          <w:p w14:paraId="4DB6A59F">
                            <w:pPr>
                              <w:ind w:firstLine="420" w:firstLineChars="200"/>
                            </w:pPr>
                            <w:r>
                              <w:rPr>
                                <w:rFonts w:hint="eastAsia"/>
                              </w:rPr>
                              <w:t>声环境保护范围</w:t>
                            </w:r>
                          </w:p>
                          <w:p w14:paraId="3E464FDB">
                            <w:pPr>
                              <w:ind w:firstLine="420" w:firstLineChars="200"/>
                            </w:pPr>
                          </w:p>
                        </w:txbxContent>
                      </wps:txbx>
                      <wps:bodyPr vert="horz" wrap="square" anchor="t" anchorCtr="0" upright="1"/>
                    </wps:wsp>
                  </a:graphicData>
                </a:graphic>
              </wp:anchor>
            </w:drawing>
          </mc:Choice>
          <mc:Fallback>
            <w:pict>
              <v:shape id="文本框 72" o:spid="_x0000_s1026" o:spt="202" type="#_x0000_t202" style="position:absolute;left:0pt;margin-left:479.15pt;margin-top:253.4pt;height:78.2pt;width:140pt;z-index:251666432;mso-width-relative:page;mso-height-relative:page;" fillcolor="#FFFFFF" filled="t" stroked="t" coordsize="21600,21600" o:gfxdata="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GBcH4vZAAAADAEAAA8AAAAAAAAAAQAgAAAAIgAAAGRycy9k&#10;b3ducmV2LnhtbFBLAQIUABQAAAAIAIdO4kABQOujOgIAAIwEAAAOAAAAAAAAAAEAIAAAACgBAABk&#10;cnMvZTJvRG9jLnhtbFBLBQYAAAAABgAGAFkBAADUBQAAAAA=&#10;">
                <v:fill on="t" opacity="32768f" focussize="0,0"/>
                <v:stroke color="#000000" joinstyle="miter"/>
                <v:imagedata o:title=""/>
                <o:lock v:ext="edit" aspectratio="f"/>
                <v:textbox>
                  <w:txbxContent>
                    <w:p w14:paraId="17F46743">
                      <w:pPr>
                        <w:jc w:val="center"/>
                      </w:pPr>
                      <w:r>
                        <w:rPr>
                          <w:rFonts w:hint="eastAsia"/>
                        </w:rPr>
                        <w:t>图例</w:t>
                      </w:r>
                    </w:p>
                    <w:p w14:paraId="2CE6F165">
                      <w:pPr>
                        <w:ind w:firstLine="420" w:firstLineChars="200"/>
                      </w:pPr>
                      <w:r>
                        <w:rPr>
                          <w:rFonts w:hint="eastAsia"/>
                        </w:rPr>
                        <w:t>本项目厂界</w:t>
                      </w:r>
                    </w:p>
                    <w:p w14:paraId="5ACFDDC9">
                      <w:pPr>
                        <w:pStyle w:val="11"/>
                        <w:spacing w:after="0" w:line="240" w:lineRule="auto"/>
                        <w:ind w:left="0" w:leftChars="0" w:firstLine="420" w:firstLineChars="200"/>
                      </w:pPr>
                      <w:r>
                        <w:rPr>
                          <w:rFonts w:hint="eastAsia"/>
                        </w:rPr>
                        <w:t>大气环境保护范围</w:t>
                      </w:r>
                    </w:p>
                    <w:p w14:paraId="4DB6A59F">
                      <w:pPr>
                        <w:ind w:firstLine="420" w:firstLineChars="200"/>
                      </w:pPr>
                      <w:r>
                        <w:rPr>
                          <w:rFonts w:hint="eastAsia"/>
                        </w:rPr>
                        <w:t>声环境保护范围</w:t>
                      </w:r>
                    </w:p>
                    <w:p w14:paraId="3E464FDB">
                      <w:pPr>
                        <w:ind w:firstLine="420" w:firstLineChars="200"/>
                      </w:pP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8720" behindDoc="0" locked="0" layoutInCell="1" allowOverlap="1">
                <wp:simplePos x="0" y="0"/>
                <wp:positionH relativeFrom="column">
                  <wp:posOffset>7068185</wp:posOffset>
                </wp:positionH>
                <wp:positionV relativeFrom="paragraph">
                  <wp:posOffset>5080</wp:posOffset>
                </wp:positionV>
                <wp:extent cx="713740" cy="1064260"/>
                <wp:effectExtent l="0" t="0" r="0" b="0"/>
                <wp:wrapNone/>
                <wp:docPr id="61" name="文本框 61"/>
                <wp:cNvGraphicFramePr/>
                <a:graphic xmlns:a="http://schemas.openxmlformats.org/drawingml/2006/main">
                  <a:graphicData uri="http://schemas.microsoft.com/office/word/2010/wordprocessingShape">
                    <wps:wsp>
                      <wps:cNvSpPr txBox="1"/>
                      <wps:spPr>
                        <a:xfrm>
                          <a:off x="0" y="0"/>
                          <a:ext cx="713740" cy="10642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706101">
                            <w:r>
                              <w:rPr>
                                <w:rFonts w:hint="eastAsia"/>
                              </w:rPr>
                              <w:drawing>
                                <wp:inline distT="0" distB="0" distL="114300" distR="114300">
                                  <wp:extent cx="520700" cy="818515"/>
                                  <wp:effectExtent l="0" t="0" r="12700" b="4445"/>
                                  <wp:docPr id="1939710420" name="图片 56" descr="抚顺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10420" name="图片 56" descr="抚顺风玫瑰"/>
                                          <pic:cNvPicPr>
                                            <a:picLocks noChangeAspect="1"/>
                                          </pic:cNvPicPr>
                                        </pic:nvPicPr>
                                        <pic:blipFill>
                                          <a:blip r:embed="rId49"/>
                                          <a:stretch>
                                            <a:fillRect/>
                                          </a:stretch>
                                        </pic:blipFill>
                                        <pic:spPr>
                                          <a:xfrm>
                                            <a:off x="0" y="0"/>
                                            <a:ext cx="520700" cy="8185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56.55pt;margin-top:0.4pt;height:83.8pt;width:56.2pt;z-index:251678720;mso-width-relative:page;mso-height-relative:page;" filled="f" stroked="f" coordsize="21600,21600" o:gfxdata="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goSFVNkAAAAKAQAADwAAAAAAAAABACAAAAAiAAAAZHJz&#10;L2Rvd25yZXYueG1sUEsBAhQAFAAAAAgAh07iQA+NwqU8AgAAaAQAAA4AAAAAAAAAAQAgAAAAKAEA&#10;AGRycy9lMm9Eb2MueG1sUEsFBgAAAAAGAAYAWQEAANYFAAAAAA==&#10;">
                <v:fill on="f" focussize="0,0"/>
                <v:stroke on="f" weight="0.5pt"/>
                <v:imagedata o:title=""/>
                <o:lock v:ext="edit" aspectratio="f"/>
                <v:textbox>
                  <w:txbxContent>
                    <w:p w14:paraId="0D706101">
                      <w:r>
                        <w:rPr>
                          <w:rFonts w:hint="eastAsia"/>
                        </w:rPr>
                        <w:drawing>
                          <wp:inline distT="0" distB="0" distL="114300" distR="114300">
                            <wp:extent cx="520700" cy="818515"/>
                            <wp:effectExtent l="0" t="0" r="12700" b="4445"/>
                            <wp:docPr id="1939710420" name="图片 56" descr="抚顺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9710420" name="图片 56" descr="抚顺风玫瑰"/>
                                    <pic:cNvPicPr>
                                      <a:picLocks noChangeAspect="1"/>
                                    </pic:cNvPicPr>
                                  </pic:nvPicPr>
                                  <pic:blipFill>
                                    <a:blip r:embed="rId49"/>
                                    <a:stretch>
                                      <a:fillRect/>
                                    </a:stretch>
                                  </pic:blipFill>
                                  <pic:spPr>
                                    <a:xfrm>
                                      <a:off x="0" y="0"/>
                                      <a:ext cx="520700" cy="818515"/>
                                    </a:xfrm>
                                    <a:prstGeom prst="rect">
                                      <a:avLst/>
                                    </a:prstGeom>
                                    <a:noFill/>
                                    <a:ln>
                                      <a:noFill/>
                                    </a:ln>
                                  </pic:spPr>
                                </pic:pic>
                              </a:graphicData>
                            </a:graphic>
                          </wp:inline>
                        </w:drawing>
                      </w:r>
                    </w:p>
                  </w:txbxContent>
                </v:textbox>
              </v:shape>
            </w:pict>
          </mc:Fallback>
        </mc:AlternateContent>
      </w:r>
      <w:r>
        <w:rPr>
          <w:highlight w:val="none"/>
        </w:rPr>
        <w:drawing>
          <wp:inline distT="0" distB="0" distL="114300" distR="114300">
            <wp:extent cx="7238365" cy="5363845"/>
            <wp:effectExtent l="0" t="0" r="635" b="635"/>
            <wp:docPr id="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pic:cNvPicPr>
                      <a:picLocks noChangeAspect="1"/>
                    </pic:cNvPicPr>
                  </pic:nvPicPr>
                  <pic:blipFill>
                    <a:blip r:embed="rId51"/>
                    <a:stretch>
                      <a:fillRect/>
                    </a:stretch>
                  </pic:blipFill>
                  <pic:spPr>
                    <a:xfrm>
                      <a:off x="0" y="0"/>
                      <a:ext cx="7238365" cy="5363845"/>
                    </a:xfrm>
                    <a:prstGeom prst="rect">
                      <a:avLst/>
                    </a:prstGeom>
                    <a:noFill/>
                    <a:ln>
                      <a:noFill/>
                    </a:ln>
                  </pic:spPr>
                </pic:pic>
              </a:graphicData>
            </a:graphic>
          </wp:inline>
        </w:drawing>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3721100</wp:posOffset>
                </wp:positionH>
                <wp:positionV relativeFrom="paragraph">
                  <wp:posOffset>1978660</wp:posOffset>
                </wp:positionV>
                <wp:extent cx="1790700" cy="876300"/>
                <wp:effectExtent l="5715" t="8255" r="1905" b="14605"/>
                <wp:wrapNone/>
                <wp:docPr id="27" name="直线 70"/>
                <wp:cNvGraphicFramePr/>
                <a:graphic xmlns:a="http://schemas.openxmlformats.org/drawingml/2006/main">
                  <a:graphicData uri="http://schemas.microsoft.com/office/word/2010/wordprocessingShape">
                    <wps:wsp>
                      <wps:cNvCnPr/>
                      <wps:spPr>
                        <a:xfrm flipV="1">
                          <a:off x="0" y="0"/>
                          <a:ext cx="1790700" cy="876300"/>
                        </a:xfrm>
                        <a:prstGeom prst="line">
                          <a:avLst/>
                        </a:prstGeom>
                        <a:ln>
                          <a:solidFill>
                            <a:srgbClr val="FF0000"/>
                          </a:solidFill>
                          <a:headEnd type="none" w="med" len="med"/>
                          <a:tailEnd type="arrow" w="med" len="med"/>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直线 70" o:spid="_x0000_s1026" o:spt="20" style="position:absolute;left:0pt;flip:y;margin-left:293pt;margin-top:155.8pt;height:69pt;width:141pt;z-index:251664384;mso-width-relative:page;mso-height-relative:page;" filled="f" stroked="t" coordsize="21600,21600" o:gfxdata="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ClpByM2wAAAAsBAAAPAAAAAAAAAAEAIAAAACIAAABkcnMvZG93&#10;bnJldi54bWxQSwECFAAUAAAACACHTuJALGUNHf0BAAD4AwAADgAAAAAAAAABACAAAAAqAQAAZHJz&#10;L2Uyb0RvYy54bWxQSwUGAAAAAAYABgBZAQAAmQUAAAAA&#10;">
                <v:fill on="f" focussize="0,0"/>
                <v:stroke weight="2pt" color="#FF0000 [3204]" joinstyle="round" endarrow="open"/>
                <v:imagedata o:title=""/>
                <o:lock v:ext="edit" aspectratio="f"/>
              </v:lin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62336" behindDoc="0" locked="0" layoutInCell="1" allowOverlap="1">
                <wp:simplePos x="0" y="0"/>
                <wp:positionH relativeFrom="column">
                  <wp:posOffset>4607560</wp:posOffset>
                </wp:positionH>
                <wp:positionV relativeFrom="paragraph">
                  <wp:posOffset>264160</wp:posOffset>
                </wp:positionV>
                <wp:extent cx="978535" cy="1463675"/>
                <wp:effectExtent l="0" t="0" r="0" b="0"/>
                <wp:wrapNone/>
                <wp:docPr id="2" name="文本框 41"/>
                <wp:cNvGraphicFramePr/>
                <a:graphic xmlns:a="http://schemas.openxmlformats.org/drawingml/2006/main">
                  <a:graphicData uri="http://schemas.microsoft.com/office/word/2010/wordprocessingShape">
                    <wps:wsp>
                      <wps:cNvSpPr txBox="1"/>
                      <wps:spPr>
                        <a:xfrm>
                          <a:off x="0" y="0"/>
                          <a:ext cx="978535" cy="1463675"/>
                        </a:xfrm>
                        <a:prstGeom prst="rect">
                          <a:avLst/>
                        </a:prstGeom>
                        <a:noFill/>
                        <a:ln>
                          <a:noFill/>
                        </a:ln>
                      </wps:spPr>
                      <wps:txbx>
                        <w:txbxContent>
                          <w:p w14:paraId="09AC2480"/>
                        </w:txbxContent>
                      </wps:txbx>
                      <wps:bodyPr vert="horz" wrap="none" anchor="t" anchorCtr="0" upright="1">
                        <a:spAutoFit/>
                      </wps:bodyPr>
                    </wps:wsp>
                  </a:graphicData>
                </a:graphic>
              </wp:anchor>
            </w:drawing>
          </mc:Choice>
          <mc:Fallback>
            <w:pict>
              <v:shape id="文本框 41" o:spid="_x0000_s1026" o:spt="202" type="#_x0000_t202" style="position:absolute;left:0pt;margin-left:362.8pt;margin-top:20.8pt;height:115.25pt;width:77.05pt;mso-wrap-style:none;z-index:251662336;mso-width-relative:page;mso-height-relative:page;" filled="f" stroked="f" coordsize="21600,21600" o:gfxdata="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">
                <v:fill on="f" focussize="0,0"/>
                <v:stroke on="f"/>
                <v:imagedata o:title=""/>
                <o:lock v:ext="edit" aspectratio="f"/>
                <v:textbox style="mso-fit-shape-to-text:t;">
                  <w:txbxContent>
                    <w:p w14:paraId="09AC2480"/>
                  </w:txbxContent>
                </v:textbox>
              </v:shape>
            </w:pict>
          </mc:Fallback>
        </mc:AlternateContent>
      </w:r>
    </w:p>
    <w:p w14:paraId="14FD4A6B">
      <w:pPr>
        <w:rPr>
          <w:b/>
          <w:bCs/>
          <w:color w:val="000000" w:themeColor="text1"/>
          <w:sz w:val="24"/>
          <w:highlight w:val="none"/>
          <w14:textFill>
            <w14:solidFill>
              <w14:schemeClr w14:val="tx1"/>
            </w14:solidFill>
          </w14:textFill>
        </w:rPr>
        <w:sectPr>
          <w:pgSz w:w="16838" w:h="11906" w:orient="landscape"/>
          <w:pgMar w:top="1418" w:right="1418" w:bottom="1418" w:left="1418" w:header="851" w:footer="992" w:gutter="0"/>
          <w:pgNumType w:fmt="decimal"/>
          <w:cols w:space="720" w:num="1"/>
          <w:docGrid w:type="lines" w:linePitch="312" w:charSpace="0"/>
        </w:sectPr>
      </w:pPr>
    </w:p>
    <w:p w14:paraId="0245DD53">
      <w:pPr>
        <w:outlineLvl w:val="0"/>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附图4 厂区平面布置图</w:t>
      </w:r>
    </w:p>
    <w:p w14:paraId="25ADD332">
      <w:pPr>
        <w:pStyle w:val="13"/>
        <w:jc w:val="center"/>
        <w:rPr>
          <w:color w:val="auto"/>
          <w:sz w:val="24"/>
          <w:szCs w:val="24"/>
          <w:highlight w:val="none"/>
        </w:rPr>
      </w:pPr>
      <w:r>
        <w:rPr>
          <w:color w:val="auto"/>
          <w:sz w:val="18"/>
          <w:highlight w:val="none"/>
        </w:rPr>
        <mc:AlternateContent>
          <mc:Choice Requires="wps">
            <w:drawing>
              <wp:anchor distT="0" distB="0" distL="114300" distR="114300" simplePos="0" relativeHeight="251738112" behindDoc="0" locked="0" layoutInCell="1" allowOverlap="1">
                <wp:simplePos x="0" y="0"/>
                <wp:positionH relativeFrom="column">
                  <wp:posOffset>6221095</wp:posOffset>
                </wp:positionH>
                <wp:positionV relativeFrom="paragraph">
                  <wp:posOffset>2282190</wp:posOffset>
                </wp:positionV>
                <wp:extent cx="646430" cy="292735"/>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646430" cy="292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9B4E3D2">
                            <w:pPr>
                              <w:rPr>
                                <w:rFonts w:hint="default" w:eastAsia="宋体"/>
                                <w:b w:val="0"/>
                                <w:bCs w:val="0"/>
                                <w:lang w:val="en-US" w:eastAsia="zh-CN"/>
                              </w:rPr>
                            </w:pPr>
                            <w:r>
                              <w:rPr>
                                <w:rFonts w:hint="eastAsia"/>
                                <w:b w:val="0"/>
                                <w:bCs w:val="0"/>
                                <w:lang w:val="en-US" w:eastAsia="zh-CN"/>
                              </w:rPr>
                              <w:t>沥水筛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9.85pt;margin-top:179.7pt;height:23.05pt;width:50.9pt;z-index:251738112;mso-width-relative:page;mso-height-relative:page;" filled="f" stroked="f" coordsize="21600,21600" o:gfxdata="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VacVTdAAAADAEAAA8AAAAAAAAAAQAgAAAAIgAA&#10;AGRycy9kb3ducmV2LnhtbFBLAQIUABQAAAAIAIdO4kDhrEQDPAIAAGcEAAAOAAAAAAAAAAEAIAAA&#10;ACwBAABkcnMvZTJvRG9jLnhtbFBLBQYAAAAABgAGAFkBAADaBQAAAAA=&#10;">
                <v:fill on="f" focussize="0,0"/>
                <v:stroke on="f" weight="0.5pt"/>
                <v:imagedata o:title=""/>
                <o:lock v:ext="edit" aspectratio="f"/>
                <v:textbox>
                  <w:txbxContent>
                    <w:p w14:paraId="39B4E3D2">
                      <w:pPr>
                        <w:rPr>
                          <w:rFonts w:hint="default" w:eastAsia="宋体"/>
                          <w:b w:val="0"/>
                          <w:bCs w:val="0"/>
                          <w:lang w:val="en-US" w:eastAsia="zh-CN"/>
                        </w:rPr>
                      </w:pPr>
                      <w:r>
                        <w:rPr>
                          <w:rFonts w:hint="eastAsia"/>
                          <w:b w:val="0"/>
                          <w:bCs w:val="0"/>
                          <w:lang w:val="en-US" w:eastAsia="zh-CN"/>
                        </w:rPr>
                        <w:t>沥水筛</w:t>
                      </w:r>
                    </w:p>
                  </w:txbxContent>
                </v:textbox>
              </v:shape>
            </w:pict>
          </mc:Fallback>
        </mc:AlternateContent>
      </w:r>
      <w:r>
        <w:rPr>
          <w:color w:val="auto"/>
          <w:sz w:val="18"/>
          <w:highlight w:val="none"/>
        </w:rPr>
        <mc:AlternateContent>
          <mc:Choice Requires="wps">
            <w:drawing>
              <wp:anchor distT="0" distB="0" distL="114300" distR="114300" simplePos="0" relativeHeight="251702272" behindDoc="0" locked="0" layoutInCell="1" allowOverlap="1">
                <wp:simplePos x="0" y="0"/>
                <wp:positionH relativeFrom="column">
                  <wp:posOffset>5307965</wp:posOffset>
                </wp:positionH>
                <wp:positionV relativeFrom="paragraph">
                  <wp:posOffset>2472690</wp:posOffset>
                </wp:positionV>
                <wp:extent cx="880110" cy="231775"/>
                <wp:effectExtent l="1270" t="4445" r="13970" b="11430"/>
                <wp:wrapNone/>
                <wp:docPr id="110" name="直接连接符 110"/>
                <wp:cNvGraphicFramePr/>
                <a:graphic xmlns:a="http://schemas.openxmlformats.org/drawingml/2006/main">
                  <a:graphicData uri="http://schemas.microsoft.com/office/word/2010/wordprocessingShape">
                    <wps:wsp>
                      <wps:cNvCnPr/>
                      <wps:spPr>
                        <a:xfrm flipH="1">
                          <a:off x="0" y="0"/>
                          <a:ext cx="880110" cy="23177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17.95pt;margin-top:194.7pt;height:18.25pt;width:69.3pt;z-index:251702272;mso-width-relative:page;mso-height-relative:page;" filled="f" stroked="t" coordsize="21600,21600" o:gfxdata="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J7Z7g2QAAAAsB&#10;AAAPAAAAAAAAAAEAIAAAACIAAABkcnMvZG93bnJldi54bWxQSwECFAAUAAAACACHTuJATEMnneEB&#10;AACrAwAADgAAAAAAAAABACAAAAAoAQAAZHJzL2Uyb0RvYy54bWxQSwUGAAAAAAYABgBZAQAAewUA&#10;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698176" behindDoc="0" locked="0" layoutInCell="1" allowOverlap="1">
                <wp:simplePos x="0" y="0"/>
                <wp:positionH relativeFrom="column">
                  <wp:posOffset>4860925</wp:posOffset>
                </wp:positionH>
                <wp:positionV relativeFrom="paragraph">
                  <wp:posOffset>2424430</wp:posOffset>
                </wp:positionV>
                <wp:extent cx="1131570" cy="349250"/>
                <wp:effectExtent l="0" t="0" r="0" b="0"/>
                <wp:wrapNone/>
                <wp:docPr id="90" name="文本框 90"/>
                <wp:cNvGraphicFramePr/>
                <a:graphic xmlns:a="http://schemas.openxmlformats.org/drawingml/2006/main">
                  <a:graphicData uri="http://schemas.microsoft.com/office/word/2010/wordprocessingShape">
                    <wps:wsp>
                      <wps:cNvSpPr txBox="1"/>
                      <wps:spPr>
                        <a:xfrm>
                          <a:off x="0" y="0"/>
                          <a:ext cx="113157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9F253CE">
                            <w:pPr>
                              <w:rPr>
                                <w:rFonts w:hint="default" w:eastAsia="宋体"/>
                                <w:b w:val="0"/>
                                <w:bCs w:val="0"/>
                                <w:lang w:val="en-US" w:eastAsia="zh-CN"/>
                              </w:rPr>
                            </w:pPr>
                            <w:r>
                              <w:rPr>
                                <w:rFonts w:hint="eastAsia"/>
                                <w:b w:val="0"/>
                                <w:bCs w:val="0"/>
                                <w:lang w:val="en-US" w:eastAsia="zh-CN"/>
                              </w:rPr>
                              <w:t>清洗平台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2.75pt;margin-top:190.9pt;height:27.5pt;width:89.1pt;z-index:251698176;mso-width-relative:page;mso-height-relative:page;" filled="f" stroked="f" coordsize="21600,21600" o:gfxdata="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45DUk90AAAALAQAADwAAAAAAAAABACAAAAAiAAAA&#10;ZHJzL2Rvd25yZXYueG1sUEsBAhQAFAAAAAgAh07iQN/JQ787AgAAaAQAAA4AAAAAAAAAAQAgAAAA&#10;LAEAAGRycy9lMm9Eb2MueG1sUEsFBgAAAAAGAAYAWQEAANkFAAAAAA==&#10;">
                <v:fill on="f" focussize="0,0"/>
                <v:stroke on="f" weight="0.5pt"/>
                <v:imagedata o:title=""/>
                <o:lock v:ext="edit" aspectratio="f"/>
                <v:textbox>
                  <w:txbxContent>
                    <w:p w14:paraId="49F253CE">
                      <w:pPr>
                        <w:rPr>
                          <w:rFonts w:hint="default" w:eastAsia="宋体"/>
                          <w:b w:val="0"/>
                          <w:bCs w:val="0"/>
                          <w:lang w:val="en-US" w:eastAsia="zh-CN"/>
                        </w:rPr>
                      </w:pPr>
                      <w:r>
                        <w:rPr>
                          <w:rFonts w:hint="eastAsia"/>
                          <w:b w:val="0"/>
                          <w:bCs w:val="0"/>
                          <w:lang w:val="en-US" w:eastAsia="zh-CN"/>
                        </w:rPr>
                        <w:t>清洗平台</w:t>
                      </w:r>
                    </w:p>
                  </w:txbxContent>
                </v:textbox>
              </v:shape>
            </w:pict>
          </mc:Fallback>
        </mc:AlternateContent>
      </w:r>
      <w:r>
        <w:rPr>
          <w:sz w:val="18"/>
          <w:highlight w:val="none"/>
        </w:rPr>
        <mc:AlternateContent>
          <mc:Choice Requires="wps">
            <w:drawing>
              <wp:anchor distT="0" distB="0" distL="114300" distR="114300" simplePos="0" relativeHeight="251736064" behindDoc="0" locked="0" layoutInCell="1" allowOverlap="1">
                <wp:simplePos x="0" y="0"/>
                <wp:positionH relativeFrom="column">
                  <wp:posOffset>5189855</wp:posOffset>
                </wp:positionH>
                <wp:positionV relativeFrom="paragraph">
                  <wp:posOffset>2645410</wp:posOffset>
                </wp:positionV>
                <wp:extent cx="105410" cy="93980"/>
                <wp:effectExtent l="12700" t="12700" r="15240" b="26670"/>
                <wp:wrapNone/>
                <wp:docPr id="71" name="椭圆 71"/>
                <wp:cNvGraphicFramePr/>
                <a:graphic xmlns:a="http://schemas.openxmlformats.org/drawingml/2006/main">
                  <a:graphicData uri="http://schemas.microsoft.com/office/word/2010/wordprocessingShape">
                    <wps:wsp>
                      <wps:cNvSpPr/>
                      <wps:spPr>
                        <a:xfrm>
                          <a:off x="6102985" y="3680460"/>
                          <a:ext cx="105410" cy="93980"/>
                        </a:xfrm>
                        <a:prstGeom prst="ellipse">
                          <a:avLst/>
                        </a:prstGeom>
                        <a:noFill/>
                        <a:ln>
                          <a:solidFill>
                            <a:srgbClr val="00B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408.65pt;margin-top:208.3pt;height:7.4pt;width:8.3pt;z-index:251736064;v-text-anchor:middle;mso-width-relative:page;mso-height-relative:page;" filled="f" stroked="t" coordsize="21600,21600" o:gfxdata="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WwJejNcAAAALAQAADwAAAAAAAAABACAAAAAiAAAAZHJzL2Rvd25yZXYu&#10;eG1sUEsBAhQAFAAAAAgAh07iQCNprPxuAgAAwwQAAA4AAAAAAAAAAQAgAAAAJgEAAGRycy9lMm9E&#10;b2MueG1sUEsFBgAAAAAGAAYAWQEAAAYGAAAAAA==&#10;">
                <v:fill on="f" focussize="0,0"/>
                <v:stroke weight="2pt" color="#00B050 [2404]" joinstyle="round"/>
                <v:imagedata o:title=""/>
                <o:lock v:ext="edit" aspectratio="f"/>
              </v:shape>
            </w:pict>
          </mc:Fallback>
        </mc:AlternateContent>
      </w:r>
      <w:r>
        <w:rPr>
          <w:color w:val="auto"/>
          <w:sz w:val="18"/>
          <w:highlight w:val="none"/>
        </w:rPr>
        <mc:AlternateContent>
          <mc:Choice Requires="wps">
            <w:drawing>
              <wp:anchor distT="0" distB="0" distL="114300" distR="114300" simplePos="0" relativeHeight="251735040" behindDoc="0" locked="0" layoutInCell="1" allowOverlap="1">
                <wp:simplePos x="0" y="0"/>
                <wp:positionH relativeFrom="column">
                  <wp:posOffset>3395980</wp:posOffset>
                </wp:positionH>
                <wp:positionV relativeFrom="paragraph">
                  <wp:posOffset>3291205</wp:posOffset>
                </wp:positionV>
                <wp:extent cx="638810" cy="257175"/>
                <wp:effectExtent l="0" t="0" r="0" b="0"/>
                <wp:wrapNone/>
                <wp:docPr id="123" name="文本框 123"/>
                <wp:cNvGraphicFramePr/>
                <a:graphic xmlns:a="http://schemas.openxmlformats.org/drawingml/2006/main">
                  <a:graphicData uri="http://schemas.microsoft.com/office/word/2010/wordprocessingShape">
                    <wps:wsp>
                      <wps:cNvSpPr txBox="1"/>
                      <wps:spPr>
                        <a:xfrm>
                          <a:off x="0" y="0"/>
                          <a:ext cx="63881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B890919">
                            <w:pPr>
                              <w:rPr>
                                <w:rFonts w:hint="default" w:eastAsia="宋体"/>
                                <w:b w:val="0"/>
                                <w:bCs w:val="0"/>
                                <w:sz w:val="21"/>
                                <w:szCs w:val="24"/>
                                <w:lang w:val="en-US" w:eastAsia="zh-CN"/>
                              </w:rPr>
                            </w:pPr>
                            <w:r>
                              <w:rPr>
                                <w:rFonts w:hint="eastAsia" w:eastAsia="宋体"/>
                                <w:b w:val="0"/>
                                <w:bCs w:val="0"/>
                                <w:sz w:val="21"/>
                                <w:szCs w:val="24"/>
                                <w:lang w:val="en-US" w:eastAsia="zh-CN"/>
                              </w:rPr>
                              <w:t>振动筛</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7.4pt;margin-top:259.15pt;height:20.25pt;width:50.3pt;z-index:251735040;mso-width-relative:page;mso-height-relative:page;" filled="f" stroked="f" coordsize="21600,21600" o:gfxdata="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DJn9fY3AAAAAsBAAAPAAAAAAAAAAEAIAAAACIAAABk&#10;cnMvZG93bnJldi54bWxQSwECFAAUAAAACACHTuJAiZ8DMTsCAABpBAAADgAAAAAAAAABACAAAAAr&#10;AQAAZHJzL2Uyb0RvYy54bWxQSwUGAAAAAAYABgBZAQAA2AUAAAAA&#10;">
                <v:fill on="f" focussize="0,0"/>
                <v:stroke on="f" weight="0.5pt"/>
                <v:imagedata o:title=""/>
                <o:lock v:ext="edit" aspectratio="f"/>
                <v:textbox>
                  <w:txbxContent>
                    <w:p w14:paraId="2B890919">
                      <w:pPr>
                        <w:rPr>
                          <w:rFonts w:hint="default" w:eastAsia="宋体"/>
                          <w:b w:val="0"/>
                          <w:bCs w:val="0"/>
                          <w:sz w:val="21"/>
                          <w:szCs w:val="24"/>
                          <w:lang w:val="en-US" w:eastAsia="zh-CN"/>
                        </w:rPr>
                      </w:pPr>
                      <w:r>
                        <w:rPr>
                          <w:rFonts w:hint="eastAsia" w:eastAsia="宋体"/>
                          <w:b w:val="0"/>
                          <w:bCs w:val="0"/>
                          <w:sz w:val="21"/>
                          <w:szCs w:val="24"/>
                          <w:lang w:val="en-US" w:eastAsia="zh-CN"/>
                        </w:rPr>
                        <w:t>振动筛</w:t>
                      </w:r>
                    </w:p>
                  </w:txbxContent>
                </v:textbox>
              </v:shape>
            </w:pict>
          </mc:Fallback>
        </mc:AlternateContent>
      </w:r>
      <w:r>
        <w:rPr>
          <w:color w:val="auto"/>
          <w:sz w:val="18"/>
          <w:highlight w:val="none"/>
        </w:rPr>
        <mc:AlternateContent>
          <mc:Choice Requires="wps">
            <w:drawing>
              <wp:anchor distT="0" distB="0" distL="114300" distR="114300" simplePos="0" relativeHeight="251734016" behindDoc="0" locked="0" layoutInCell="1" allowOverlap="1">
                <wp:simplePos x="0" y="0"/>
                <wp:positionH relativeFrom="column">
                  <wp:posOffset>3717925</wp:posOffset>
                </wp:positionH>
                <wp:positionV relativeFrom="paragraph">
                  <wp:posOffset>3546475</wp:posOffset>
                </wp:positionV>
                <wp:extent cx="495935" cy="424815"/>
                <wp:effectExtent l="3175" t="3810" r="15240" b="9525"/>
                <wp:wrapNone/>
                <wp:docPr id="122" name="直接连接符 122"/>
                <wp:cNvGraphicFramePr/>
                <a:graphic xmlns:a="http://schemas.openxmlformats.org/drawingml/2006/main">
                  <a:graphicData uri="http://schemas.microsoft.com/office/word/2010/wordprocessingShape">
                    <wps:wsp>
                      <wps:cNvCnPr/>
                      <wps:spPr>
                        <a:xfrm flipH="1" flipV="1">
                          <a:off x="0" y="0"/>
                          <a:ext cx="495935" cy="42481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92.75pt;margin-top:279.25pt;height:33.45pt;width:39.05pt;z-index:251734016;mso-width-relative:page;mso-height-relative:page;" filled="f" stroked="t" coordsize="21600,21600" o:gfxdata="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DhsdxK1QAA&#10;AAsBAAAPAAAAAAAAAAEAIAAAACIAAABkcnMvZG93bnJldi54bWxQSwECFAAUAAAACACHTuJABsuh&#10;aOgBAAC1AwAADgAAAAAAAAABACAAAAAkAQAAZHJzL2Uyb0RvYy54bWxQSwUGAAAAAAYABgBZAQAA&#10;fgU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32992" behindDoc="0" locked="0" layoutInCell="1" allowOverlap="1">
                <wp:simplePos x="0" y="0"/>
                <wp:positionH relativeFrom="column">
                  <wp:posOffset>6215380</wp:posOffset>
                </wp:positionH>
                <wp:positionV relativeFrom="paragraph">
                  <wp:posOffset>2623185</wp:posOffset>
                </wp:positionV>
                <wp:extent cx="1047750" cy="315595"/>
                <wp:effectExtent l="0" t="0" r="0" b="0"/>
                <wp:wrapNone/>
                <wp:docPr id="120" name="文本框 120"/>
                <wp:cNvGraphicFramePr/>
                <a:graphic xmlns:a="http://schemas.openxmlformats.org/drawingml/2006/main">
                  <a:graphicData uri="http://schemas.microsoft.com/office/word/2010/wordprocessingShape">
                    <wps:wsp>
                      <wps:cNvSpPr txBox="1"/>
                      <wps:spPr>
                        <a:xfrm>
                          <a:off x="0" y="0"/>
                          <a:ext cx="1047750" cy="315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9747707">
                            <w:pPr>
                              <w:rPr>
                                <w:rFonts w:hint="default" w:eastAsia="宋体"/>
                                <w:b w:val="0"/>
                                <w:bCs w:val="0"/>
                                <w:lang w:val="en-US" w:eastAsia="zh-CN"/>
                              </w:rPr>
                            </w:pPr>
                            <w:r>
                              <w:rPr>
                                <w:rFonts w:hint="eastAsia" w:eastAsia="宋体"/>
                                <w:b w:val="0"/>
                                <w:bCs w:val="0"/>
                                <w:lang w:val="en-US" w:eastAsia="zh-CN"/>
                              </w:rPr>
                              <w:t>锤式破碎机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89.4pt;margin-top:206.55pt;height:24.85pt;width:82.5pt;z-index:251732992;mso-width-relative:page;mso-height-relative:page;" filled="f" stroked="f" coordsize="21600,21600" o:gfxdata="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ETfzDdsAAAAMAQAADwAAAAAAAAABACAAAAAiAAAAZHJz&#10;L2Rvd25yZXYueG1sUEsBAhQAFAAAAAgAh07iQJNt1fM6AgAAagQAAA4AAAAAAAAAAQAgAAAAKgEA&#10;AGRycy9lMm9Eb2MueG1sUEsFBgAAAAAGAAYAWQEAANYFAAAAAA==&#10;">
                <v:fill on="f" focussize="0,0"/>
                <v:stroke on="f" weight="0.5pt"/>
                <v:imagedata o:title=""/>
                <o:lock v:ext="edit" aspectratio="f"/>
                <v:textbox>
                  <w:txbxContent>
                    <w:p w14:paraId="79747707">
                      <w:pPr>
                        <w:rPr>
                          <w:rFonts w:hint="default" w:eastAsia="宋体"/>
                          <w:b w:val="0"/>
                          <w:bCs w:val="0"/>
                          <w:lang w:val="en-US" w:eastAsia="zh-CN"/>
                        </w:rPr>
                      </w:pPr>
                      <w:r>
                        <w:rPr>
                          <w:rFonts w:hint="eastAsia" w:eastAsia="宋体"/>
                          <w:b w:val="0"/>
                          <w:bCs w:val="0"/>
                          <w:lang w:val="en-US" w:eastAsia="zh-CN"/>
                        </w:rPr>
                        <w:t>锤式破碎机</w:t>
                      </w:r>
                    </w:p>
                  </w:txbxContent>
                </v:textbox>
              </v:shape>
            </w:pict>
          </mc:Fallback>
        </mc:AlternateContent>
      </w:r>
      <w:r>
        <w:rPr>
          <w:color w:val="auto"/>
          <w:sz w:val="18"/>
          <w:highlight w:val="none"/>
        </w:rPr>
        <mc:AlternateContent>
          <mc:Choice Requires="wps">
            <w:drawing>
              <wp:anchor distT="0" distB="0" distL="114300" distR="114300" simplePos="0" relativeHeight="251731968" behindDoc="0" locked="0" layoutInCell="1" allowOverlap="1">
                <wp:simplePos x="0" y="0"/>
                <wp:positionH relativeFrom="column">
                  <wp:posOffset>4846320</wp:posOffset>
                </wp:positionH>
                <wp:positionV relativeFrom="paragraph">
                  <wp:posOffset>2870200</wp:posOffset>
                </wp:positionV>
                <wp:extent cx="1300480" cy="958215"/>
                <wp:effectExtent l="2540" t="3810" r="11430" b="9525"/>
                <wp:wrapNone/>
                <wp:docPr id="112" name="直接连接符 112"/>
                <wp:cNvGraphicFramePr/>
                <a:graphic xmlns:a="http://schemas.openxmlformats.org/drawingml/2006/main">
                  <a:graphicData uri="http://schemas.microsoft.com/office/word/2010/wordprocessingShape">
                    <wps:wsp>
                      <wps:cNvCnPr/>
                      <wps:spPr>
                        <a:xfrm flipH="1">
                          <a:off x="0" y="0"/>
                          <a:ext cx="1300480" cy="95821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81.6pt;margin-top:226pt;height:75.45pt;width:102.4pt;z-index:251731968;mso-width-relative:page;mso-height-relative:page;" filled="f" stroked="t" coordsize="21600,21600" o:gfxdata="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0ld2xdkAAAAL&#10;AQAADwAAAAAAAAABACAAAAAiAAAAZHJzL2Rvd25yZXYueG1sUEsBAhQAFAAAAAgAh07iQLfIuADi&#10;AQAArAMAAA4AAAAAAAAAAQAgAAAAKAEAAGRycy9lMm9Eb2MueG1sUEsFBgAAAAAGAAYAWQEAAHwF&#10;A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30944" behindDoc="0" locked="0" layoutInCell="1" allowOverlap="1">
                <wp:simplePos x="0" y="0"/>
                <wp:positionH relativeFrom="column">
                  <wp:posOffset>1633220</wp:posOffset>
                </wp:positionH>
                <wp:positionV relativeFrom="paragraph">
                  <wp:posOffset>4194810</wp:posOffset>
                </wp:positionV>
                <wp:extent cx="943610" cy="263525"/>
                <wp:effectExtent l="0" t="0" r="0" b="0"/>
                <wp:wrapNone/>
                <wp:docPr id="91" name="文本框 91"/>
                <wp:cNvGraphicFramePr/>
                <a:graphic xmlns:a="http://schemas.openxmlformats.org/drawingml/2006/main">
                  <a:graphicData uri="http://schemas.microsoft.com/office/word/2010/wordprocessingShape">
                    <wps:wsp>
                      <wps:cNvSpPr txBox="1"/>
                      <wps:spPr>
                        <a:xfrm>
                          <a:off x="0" y="0"/>
                          <a:ext cx="943610" cy="26352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2A7C076">
                            <w:pPr>
                              <w:rPr>
                                <w:rFonts w:hint="default" w:eastAsia="宋体"/>
                                <w:b w:val="0"/>
                                <w:bCs w:val="0"/>
                                <w:lang w:val="en-US" w:eastAsia="zh-CN"/>
                              </w:rPr>
                            </w:pPr>
                            <w:r>
                              <w:rPr>
                                <w:rFonts w:hint="eastAsia" w:eastAsia="宋体"/>
                                <w:b w:val="0"/>
                                <w:bCs w:val="0"/>
                                <w:lang w:val="en-US" w:eastAsia="zh-CN"/>
                              </w:rPr>
                              <w:t>颚式破碎机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8.6pt;margin-top:330.3pt;height:20.75pt;width:74.3pt;z-index:251730944;mso-width-relative:page;mso-height-relative:page;" filled="f" stroked="f" coordsize="21600,21600" o:gfxdata="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&#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qWosetsAAAALAQAADwAAAAAAAAABACAAAAAiAAAAZHJz&#10;L2Rvd25yZXYueG1sUEsBAhQAFAAAAAgAh07iQJBjmEk6AgAAZwQAAA4AAAAAAAAAAQAgAAAAKgEA&#10;AGRycy9lMm9Eb2MueG1sUEsFBgAAAAAGAAYAWQEAANYFAAAAAA==&#10;">
                <v:fill on="f" focussize="0,0"/>
                <v:stroke on="f" weight="0.5pt"/>
                <v:imagedata o:title=""/>
                <o:lock v:ext="edit" aspectratio="f"/>
                <v:textbox>
                  <w:txbxContent>
                    <w:p w14:paraId="22A7C076">
                      <w:pPr>
                        <w:rPr>
                          <w:rFonts w:hint="default" w:eastAsia="宋体"/>
                          <w:b w:val="0"/>
                          <w:bCs w:val="0"/>
                          <w:lang w:val="en-US" w:eastAsia="zh-CN"/>
                        </w:rPr>
                      </w:pPr>
                      <w:r>
                        <w:rPr>
                          <w:rFonts w:hint="eastAsia" w:eastAsia="宋体"/>
                          <w:b w:val="0"/>
                          <w:bCs w:val="0"/>
                          <w:lang w:val="en-US" w:eastAsia="zh-CN"/>
                        </w:rPr>
                        <w:t>颚式破碎机</w:t>
                      </w:r>
                    </w:p>
                  </w:txbxContent>
                </v:textbox>
              </v:shape>
            </w:pict>
          </mc:Fallback>
        </mc:AlternateContent>
      </w:r>
      <w:r>
        <w:rPr>
          <w:color w:val="auto"/>
          <w:sz w:val="18"/>
          <w:highlight w:val="none"/>
        </w:rPr>
        <mc:AlternateContent>
          <mc:Choice Requires="wps">
            <w:drawing>
              <wp:anchor distT="0" distB="0" distL="114300" distR="114300" simplePos="0" relativeHeight="251728896" behindDoc="0" locked="0" layoutInCell="1" allowOverlap="1">
                <wp:simplePos x="0" y="0"/>
                <wp:positionH relativeFrom="column">
                  <wp:posOffset>1899285</wp:posOffset>
                </wp:positionH>
                <wp:positionV relativeFrom="paragraph">
                  <wp:posOffset>4509135</wp:posOffset>
                </wp:positionV>
                <wp:extent cx="592455" cy="311150"/>
                <wp:effectExtent l="0" t="0" r="0" b="0"/>
                <wp:wrapNone/>
                <wp:docPr id="87" name="文本框 87"/>
                <wp:cNvGraphicFramePr/>
                <a:graphic xmlns:a="http://schemas.openxmlformats.org/drawingml/2006/main">
                  <a:graphicData uri="http://schemas.microsoft.com/office/word/2010/wordprocessingShape">
                    <wps:wsp>
                      <wps:cNvSpPr txBox="1"/>
                      <wps:spPr>
                        <a:xfrm>
                          <a:off x="0" y="0"/>
                          <a:ext cx="592455" cy="3111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4A6BD26">
                            <w:pPr>
                              <w:rPr>
                                <w:rFonts w:hint="default" w:eastAsia="宋体"/>
                                <w:b w:val="0"/>
                                <w:bCs w:val="0"/>
                                <w:lang w:val="en-US" w:eastAsia="zh-CN"/>
                              </w:rPr>
                            </w:pPr>
                            <w:r>
                              <w:rPr>
                                <w:rFonts w:hint="eastAsia" w:eastAsia="宋体"/>
                                <w:b w:val="0"/>
                                <w:bCs w:val="0"/>
                                <w:lang w:val="en-US" w:eastAsia="zh-CN"/>
                              </w:rPr>
                              <w:t>给料机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49.55pt;margin-top:355.05pt;height:24.5pt;width:46.65pt;z-index:251728896;mso-width-relative:page;mso-height-relative:page;" filled="f" stroked="f" coordsize="21600,21600" o:gfxdata="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vN5UqNsAAAALAQAADwAAAAAAAAABACAAAAAiAAAA&#10;ZHJzL2Rvd25yZXYueG1sUEsBAhQAFAAAAAgAh07iQKsELUo9AgAAZwQAAA4AAAAAAAAAAQAgAAAA&#10;KgEAAGRycy9lMm9Eb2MueG1sUEsFBgAAAAAGAAYAWQEAANkFAAAAAA==&#10;">
                <v:fill on="f" focussize="0,0"/>
                <v:stroke on="f" weight="0.5pt"/>
                <v:imagedata o:title=""/>
                <o:lock v:ext="edit" aspectratio="f"/>
                <v:textbox>
                  <w:txbxContent>
                    <w:p w14:paraId="64A6BD26">
                      <w:pPr>
                        <w:rPr>
                          <w:rFonts w:hint="default" w:eastAsia="宋体"/>
                          <w:b w:val="0"/>
                          <w:bCs w:val="0"/>
                          <w:lang w:val="en-US" w:eastAsia="zh-CN"/>
                        </w:rPr>
                      </w:pPr>
                      <w:r>
                        <w:rPr>
                          <w:rFonts w:hint="eastAsia" w:eastAsia="宋体"/>
                          <w:b w:val="0"/>
                          <w:bCs w:val="0"/>
                          <w:lang w:val="en-US" w:eastAsia="zh-CN"/>
                        </w:rPr>
                        <w:t>给料机</w:t>
                      </w:r>
                    </w:p>
                  </w:txbxContent>
                </v:textbox>
              </v:shape>
            </w:pict>
          </mc:Fallback>
        </mc:AlternateContent>
      </w:r>
      <w:r>
        <w:rPr>
          <w:color w:val="auto"/>
          <w:sz w:val="18"/>
          <w:highlight w:val="none"/>
        </w:rPr>
        <mc:AlternateContent>
          <mc:Choice Requires="wps">
            <w:drawing>
              <wp:anchor distT="0" distB="0" distL="114300" distR="114300" simplePos="0" relativeHeight="251729920" behindDoc="0" locked="0" layoutInCell="1" allowOverlap="1">
                <wp:simplePos x="0" y="0"/>
                <wp:positionH relativeFrom="column">
                  <wp:posOffset>2460625</wp:posOffset>
                </wp:positionH>
                <wp:positionV relativeFrom="paragraph">
                  <wp:posOffset>4161790</wp:posOffset>
                </wp:positionV>
                <wp:extent cx="1010285" cy="146685"/>
                <wp:effectExtent l="635" t="4445" r="17780" b="20320"/>
                <wp:wrapNone/>
                <wp:docPr id="93" name="直接连接符 93"/>
                <wp:cNvGraphicFramePr/>
                <a:graphic xmlns:a="http://schemas.openxmlformats.org/drawingml/2006/main">
                  <a:graphicData uri="http://schemas.microsoft.com/office/word/2010/wordprocessingShape">
                    <wps:wsp>
                      <wps:cNvCnPr/>
                      <wps:spPr>
                        <a:xfrm flipH="1">
                          <a:off x="0" y="0"/>
                          <a:ext cx="1010285" cy="14668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93.75pt;margin-top:327.7pt;height:11.55pt;width:79.55pt;z-index:251729920;mso-width-relative:page;mso-height-relative:page;" filled="f" stroked="t" coordsize="21600,21600" o:gfxdata="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Ctg+/Z2gAAAAsB&#10;AAAPAAAAAAAAAAEAIAAAACIAAABkcnMvZG93bnJldi54bWxQSwECFAAUAAAACACHTuJAjDxt8eAB&#10;AACqAwAADgAAAAAAAAABACAAAAApAQAAZHJzL2Uyb0RvYy54bWxQSwUGAAAAAAYABgBZAQAAewUA&#10;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27872" behindDoc="0" locked="0" layoutInCell="1" allowOverlap="1">
                <wp:simplePos x="0" y="0"/>
                <wp:positionH relativeFrom="column">
                  <wp:posOffset>2508250</wp:posOffset>
                </wp:positionH>
                <wp:positionV relativeFrom="paragraph">
                  <wp:posOffset>4476115</wp:posOffset>
                </wp:positionV>
                <wp:extent cx="1010285" cy="146685"/>
                <wp:effectExtent l="635" t="4445" r="17780" b="20320"/>
                <wp:wrapNone/>
                <wp:docPr id="63" name="直接连接符 63"/>
                <wp:cNvGraphicFramePr/>
                <a:graphic xmlns:a="http://schemas.openxmlformats.org/drawingml/2006/main">
                  <a:graphicData uri="http://schemas.microsoft.com/office/word/2010/wordprocessingShape">
                    <wps:wsp>
                      <wps:cNvCnPr/>
                      <wps:spPr>
                        <a:xfrm flipH="1">
                          <a:off x="0" y="0"/>
                          <a:ext cx="1010285" cy="14668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97.5pt;margin-top:352.45pt;height:11.55pt;width:79.55pt;z-index:251727872;mso-width-relative:page;mso-height-relative:page;" filled="f" stroked="t" coordsize="21600,21600" o:gfxdata="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692032" behindDoc="0" locked="0" layoutInCell="1" allowOverlap="1">
                <wp:simplePos x="0" y="0"/>
                <wp:positionH relativeFrom="column">
                  <wp:posOffset>4219575</wp:posOffset>
                </wp:positionH>
                <wp:positionV relativeFrom="paragraph">
                  <wp:posOffset>4537075</wp:posOffset>
                </wp:positionV>
                <wp:extent cx="743585" cy="391160"/>
                <wp:effectExtent l="0" t="0" r="0" b="0"/>
                <wp:wrapNone/>
                <wp:docPr id="32" name="文本框 32"/>
                <wp:cNvGraphicFramePr/>
                <a:graphic xmlns:a="http://schemas.openxmlformats.org/drawingml/2006/main">
                  <a:graphicData uri="http://schemas.microsoft.com/office/word/2010/wordprocessingShape">
                    <wps:wsp>
                      <wps:cNvSpPr txBox="1"/>
                      <wps:spPr>
                        <a:xfrm>
                          <a:off x="0" y="0"/>
                          <a:ext cx="743585"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2C7D8C9">
                            <w:pPr>
                              <w:rPr>
                                <w:rFonts w:hint="default" w:eastAsia="宋体"/>
                                <w:b w:val="0"/>
                                <w:bCs w:val="0"/>
                                <w:lang w:val="en-US" w:eastAsia="zh-CN"/>
                              </w:rPr>
                            </w:pPr>
                            <w:r>
                              <w:rPr>
                                <w:rFonts w:hint="eastAsia"/>
                                <w:b w:val="0"/>
                                <w:bCs w:val="0"/>
                                <w:lang w:val="en-US" w:eastAsia="zh-CN"/>
                              </w:rPr>
                              <w:t>原料区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32.25pt;margin-top:357.25pt;height:30.8pt;width:58.55pt;z-index:251692032;mso-width-relative:page;mso-height-relative:page;" filled="f" stroked="f" coordsize="21600,21600" o:gfxdata="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COa+bzbAAAACwEAAA8AAAAAAAAAAQAgAAAAIgAA&#10;AGRycy9kb3ducmV2LnhtbFBLAQIUABQAAAAIAIdO4kCf5rNRPgIAAGcEAAAOAAAAAAAAAAEAIAAA&#10;ACoBAABkcnMvZTJvRG9jLnhtbFBLBQYAAAAABgAGAFkBAADaBQAAAAA=&#10;">
                <v:fill on="f" focussize="0,0"/>
                <v:stroke on="f" weight="0.5pt"/>
                <v:imagedata o:title=""/>
                <o:lock v:ext="edit" aspectratio="f"/>
                <v:textbox>
                  <w:txbxContent>
                    <w:p w14:paraId="12C7D8C9">
                      <w:pPr>
                        <w:rPr>
                          <w:rFonts w:hint="default" w:eastAsia="宋体"/>
                          <w:b w:val="0"/>
                          <w:bCs w:val="0"/>
                          <w:lang w:val="en-US" w:eastAsia="zh-CN"/>
                        </w:rPr>
                      </w:pPr>
                      <w:r>
                        <w:rPr>
                          <w:rFonts w:hint="eastAsia"/>
                          <w:b w:val="0"/>
                          <w:bCs w:val="0"/>
                          <w:lang w:val="en-US" w:eastAsia="zh-CN"/>
                        </w:rPr>
                        <w:t>原料区</w:t>
                      </w:r>
                    </w:p>
                  </w:txbxContent>
                </v:textbox>
              </v:shape>
            </w:pict>
          </mc:Fallback>
        </mc:AlternateContent>
      </w:r>
      <w:r>
        <w:rPr>
          <w:color w:val="auto"/>
          <w:sz w:val="18"/>
          <w:highlight w:val="none"/>
        </w:rPr>
        <mc:AlternateContent>
          <mc:Choice Requires="wps">
            <w:drawing>
              <wp:anchor distT="0" distB="0" distL="114300" distR="114300" simplePos="0" relativeHeight="251710464" behindDoc="0" locked="0" layoutInCell="1" allowOverlap="1">
                <wp:simplePos x="0" y="0"/>
                <wp:positionH relativeFrom="column">
                  <wp:posOffset>3989705</wp:posOffset>
                </wp:positionH>
                <wp:positionV relativeFrom="paragraph">
                  <wp:posOffset>4264660</wp:posOffset>
                </wp:positionV>
                <wp:extent cx="743585" cy="315595"/>
                <wp:effectExtent l="0" t="0" r="0" b="0"/>
                <wp:wrapNone/>
                <wp:docPr id="121" name="文本框 121"/>
                <wp:cNvGraphicFramePr/>
                <a:graphic xmlns:a="http://schemas.openxmlformats.org/drawingml/2006/main">
                  <a:graphicData uri="http://schemas.microsoft.com/office/word/2010/wordprocessingShape">
                    <wps:wsp>
                      <wps:cNvSpPr txBox="1"/>
                      <wps:spPr>
                        <a:xfrm>
                          <a:off x="0" y="0"/>
                          <a:ext cx="743585" cy="315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9ADB64">
                            <w:pPr>
                              <w:rPr>
                                <w:rFonts w:hint="default" w:eastAsia="宋体"/>
                                <w:b w:val="0"/>
                                <w:bCs w:val="0"/>
                                <w:lang w:val="en-US" w:eastAsia="zh-CN"/>
                              </w:rPr>
                            </w:pPr>
                            <w:r>
                              <w:rPr>
                                <w:rFonts w:hint="eastAsia"/>
                                <w:b w:val="0"/>
                                <w:bCs w:val="0"/>
                                <w:lang w:val="en-US" w:eastAsia="zh-CN"/>
                              </w:rPr>
                              <w:t>集气罩</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4.15pt;margin-top:335.8pt;height:24.85pt;width:58.55pt;z-index:251710464;mso-width-relative:page;mso-height-relative:page;" filled="f" stroked="f" coordsize="21600,21600" o:gfxdata="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s7U8yNwAAAALAQAADwAAAAAAAAABACAAAAAiAAAA&#10;ZHJzL2Rvd25yZXYueG1sUEsBAhQAFAAAAAgAh07iQONLX0Y8AgAAaQQAAA4AAAAAAAAAAQAgAAAA&#10;KwEAAGRycy9lMm9Eb2MueG1sUEsFBgAAAAAGAAYAWQEAANkFAAAAAA==&#10;">
                <v:fill on="f" focussize="0,0"/>
                <v:stroke on="f" weight="0.5pt"/>
                <v:imagedata o:title=""/>
                <o:lock v:ext="edit" aspectratio="f"/>
                <v:textbox>
                  <w:txbxContent>
                    <w:p w14:paraId="4E9ADB64">
                      <w:pPr>
                        <w:rPr>
                          <w:rFonts w:hint="default" w:eastAsia="宋体"/>
                          <w:b w:val="0"/>
                          <w:bCs w:val="0"/>
                          <w:lang w:val="en-US" w:eastAsia="zh-CN"/>
                        </w:rPr>
                      </w:pPr>
                      <w:r>
                        <w:rPr>
                          <w:rFonts w:hint="eastAsia"/>
                          <w:b w:val="0"/>
                          <w:bCs w:val="0"/>
                          <w:lang w:val="en-US" w:eastAsia="zh-CN"/>
                        </w:rPr>
                        <w:t>集气罩</w:t>
                      </w:r>
                    </w:p>
                  </w:txbxContent>
                </v:textbox>
              </v:shape>
            </w:pict>
          </mc:Fallback>
        </mc:AlternateContent>
      </w:r>
      <w:r>
        <w:rPr>
          <w:color w:val="auto"/>
          <w:sz w:val="18"/>
          <w:highlight w:val="none"/>
        </w:rPr>
        <mc:AlternateContent>
          <mc:Choice Requires="wps">
            <w:drawing>
              <wp:anchor distT="0" distB="0" distL="114300" distR="114300" simplePos="0" relativeHeight="251709440" behindDoc="0" locked="0" layoutInCell="1" allowOverlap="1">
                <wp:simplePos x="0" y="0"/>
                <wp:positionH relativeFrom="column">
                  <wp:posOffset>3593465</wp:posOffset>
                </wp:positionH>
                <wp:positionV relativeFrom="paragraph">
                  <wp:posOffset>4333240</wp:posOffset>
                </wp:positionV>
                <wp:extent cx="591820" cy="123190"/>
                <wp:effectExtent l="1270" t="4445" r="16510" b="5715"/>
                <wp:wrapNone/>
                <wp:docPr id="119" name="直接连接符 119"/>
                <wp:cNvGraphicFramePr/>
                <a:graphic xmlns:a="http://schemas.openxmlformats.org/drawingml/2006/main">
                  <a:graphicData uri="http://schemas.microsoft.com/office/word/2010/wordprocessingShape">
                    <wps:wsp>
                      <wps:cNvCnPr/>
                      <wps:spPr>
                        <a:xfrm flipH="1">
                          <a:off x="0" y="0"/>
                          <a:ext cx="591820" cy="123190"/>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282.95pt;margin-top:341.2pt;height:9.7pt;width:46.6pt;z-index:251709440;mso-width-relative:page;mso-height-relative:page;" filled="f" stroked="t" coordsize="21600,21600" o:gfxdata="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08416" behindDoc="0" locked="0" layoutInCell="1" allowOverlap="1">
                <wp:simplePos x="0" y="0"/>
                <wp:positionH relativeFrom="column">
                  <wp:posOffset>3542030</wp:posOffset>
                </wp:positionH>
                <wp:positionV relativeFrom="paragraph">
                  <wp:posOffset>4211320</wp:posOffset>
                </wp:positionV>
                <wp:extent cx="643255" cy="121920"/>
                <wp:effectExtent l="635" t="4445" r="3810" b="6985"/>
                <wp:wrapNone/>
                <wp:docPr id="118" name="直接连接符 118"/>
                <wp:cNvGraphicFramePr/>
                <a:graphic xmlns:a="http://schemas.openxmlformats.org/drawingml/2006/main">
                  <a:graphicData uri="http://schemas.microsoft.com/office/word/2010/wordprocessingShape">
                    <wps:wsp>
                      <wps:cNvCnPr/>
                      <wps:spPr>
                        <a:xfrm flipH="1" flipV="1">
                          <a:off x="0" y="0"/>
                          <a:ext cx="643255" cy="121920"/>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78.9pt;margin-top:331.6pt;height:9.6pt;width:50.65pt;z-index:251708416;mso-width-relative:page;mso-height-relative:page;" filled="f" stroked="t" coordsize="21600,21600" o:gfxdata="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07392" behindDoc="0" locked="0" layoutInCell="1" allowOverlap="1">
                <wp:simplePos x="0" y="0"/>
                <wp:positionH relativeFrom="column">
                  <wp:posOffset>4194175</wp:posOffset>
                </wp:positionH>
                <wp:positionV relativeFrom="paragraph">
                  <wp:posOffset>4036695</wp:posOffset>
                </wp:positionV>
                <wp:extent cx="41275" cy="313055"/>
                <wp:effectExtent l="4445" t="635" r="11430" b="10160"/>
                <wp:wrapNone/>
                <wp:docPr id="117" name="直接连接符 117"/>
                <wp:cNvGraphicFramePr/>
                <a:graphic xmlns:a="http://schemas.openxmlformats.org/drawingml/2006/main">
                  <a:graphicData uri="http://schemas.microsoft.com/office/word/2010/wordprocessingShape">
                    <wps:wsp>
                      <wps:cNvCnPr/>
                      <wps:spPr>
                        <a:xfrm flipH="1">
                          <a:off x="0" y="0"/>
                          <a:ext cx="41275" cy="31305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30.25pt;margin-top:317.85pt;height:24.65pt;width:3.25pt;z-index:251707392;mso-width-relative:page;mso-height-relative:page;" filled="f" stroked="t" coordsize="21600,21600" o:gfxdata="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06368" behindDoc="0" locked="0" layoutInCell="1" allowOverlap="1">
                <wp:simplePos x="0" y="0"/>
                <wp:positionH relativeFrom="column">
                  <wp:posOffset>4219575</wp:posOffset>
                </wp:positionH>
                <wp:positionV relativeFrom="paragraph">
                  <wp:posOffset>3876040</wp:posOffset>
                </wp:positionV>
                <wp:extent cx="659130" cy="457200"/>
                <wp:effectExtent l="2540" t="3810" r="5080" b="15240"/>
                <wp:wrapNone/>
                <wp:docPr id="116" name="直接连接符 116"/>
                <wp:cNvGraphicFramePr/>
                <a:graphic xmlns:a="http://schemas.openxmlformats.org/drawingml/2006/main">
                  <a:graphicData uri="http://schemas.microsoft.com/office/word/2010/wordprocessingShape">
                    <wps:wsp>
                      <wps:cNvCnPr/>
                      <wps:spPr>
                        <a:xfrm flipH="1">
                          <a:off x="0" y="0"/>
                          <a:ext cx="659130" cy="457200"/>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32.25pt;margin-top:305.2pt;height:36pt;width:51.9pt;z-index:251706368;mso-width-relative:page;mso-height-relative:page;" filled="f" stroked="t" coordsize="21600,21600" o:gfxdata="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05344" behindDoc="0" locked="0" layoutInCell="1" allowOverlap="1">
                <wp:simplePos x="0" y="0"/>
                <wp:positionH relativeFrom="column">
                  <wp:posOffset>3821430</wp:posOffset>
                </wp:positionH>
                <wp:positionV relativeFrom="paragraph">
                  <wp:posOffset>3605530</wp:posOffset>
                </wp:positionV>
                <wp:extent cx="631825" cy="427355"/>
                <wp:effectExtent l="2540" t="3810" r="13335" b="6985"/>
                <wp:wrapNone/>
                <wp:docPr id="115" name="直接连接符 115"/>
                <wp:cNvGraphicFramePr/>
                <a:graphic xmlns:a="http://schemas.openxmlformats.org/drawingml/2006/main">
                  <a:graphicData uri="http://schemas.microsoft.com/office/word/2010/wordprocessingShape">
                    <wps:wsp>
                      <wps:cNvCnPr>
                        <a:stCxn id="113" idx="2"/>
                      </wps:cNvCnPr>
                      <wps:spPr>
                        <a:xfrm flipH="1">
                          <a:off x="0" y="0"/>
                          <a:ext cx="631825" cy="42735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300.9pt;margin-top:283.9pt;height:33.65pt;width:49.75pt;z-index:251705344;mso-width-relative:page;mso-height-relative:page;" filled="f" stroked="t" coordsize="21600,21600" o:gfxdata="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enNdQ2AAAAAsBAAAPAAAAAAAAAAEAIAAAACIAAABkcnMvZG93bnJldi54bWxQSwEC&#10;FAAUAAAACACHTuJALGMznvQBAADTAwAADgAAAAAAAAABACAAAAAnAQAAZHJzL2Uyb0RvYy54bWxQ&#10;SwUGAAAAAAYABgBZAQAAjQU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03296" behindDoc="0" locked="0" layoutInCell="1" allowOverlap="1">
                <wp:simplePos x="0" y="0"/>
                <wp:positionH relativeFrom="column">
                  <wp:posOffset>4005580</wp:posOffset>
                </wp:positionH>
                <wp:positionV relativeFrom="paragraph">
                  <wp:posOffset>3348355</wp:posOffset>
                </wp:positionV>
                <wp:extent cx="895350" cy="257175"/>
                <wp:effectExtent l="0" t="0" r="0" b="0"/>
                <wp:wrapNone/>
                <wp:docPr id="113" name="文本框 113"/>
                <wp:cNvGraphicFramePr/>
                <a:graphic xmlns:a="http://schemas.openxmlformats.org/drawingml/2006/main">
                  <a:graphicData uri="http://schemas.microsoft.com/office/word/2010/wordprocessingShape">
                    <wps:wsp>
                      <wps:cNvSpPr txBox="1"/>
                      <wps:spPr>
                        <a:xfrm>
                          <a:off x="0" y="0"/>
                          <a:ext cx="895350" cy="25717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24DBCC">
                            <w:pPr>
                              <w:rPr>
                                <w:rFonts w:hint="default" w:eastAsia="宋体"/>
                                <w:b w:val="0"/>
                                <w:bCs w:val="0"/>
                                <w:sz w:val="21"/>
                                <w:szCs w:val="24"/>
                                <w:lang w:val="en-US" w:eastAsia="zh-CN"/>
                              </w:rPr>
                            </w:pPr>
                            <w:r>
                              <w:rPr>
                                <w:rFonts w:hint="eastAsia"/>
                                <w:b w:val="0"/>
                                <w:bCs w:val="0"/>
                                <w:sz w:val="21"/>
                                <w:szCs w:val="24"/>
                                <w:lang w:val="en-US" w:eastAsia="zh-CN"/>
                              </w:rPr>
                              <w:t>封闭皮带廊</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15.4pt;margin-top:263.65pt;height:20.25pt;width:70.5pt;z-index:251703296;mso-width-relative:page;mso-height-relative:page;" filled="f" stroked="f" coordsize="21600,21600" o:gfxdata="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VzCKOtoAAAALAQAADwAAAAAAAAABACAAAAAiAAAAZHJz&#10;L2Rvd25yZXYueG1sUEsBAhQAFAAAAAgAh07iQNixFH07AgAAaQQAAA4AAAAAAAAAAQAgAAAAKQEA&#10;AGRycy9lMm9Eb2MueG1sUEsFBgAAAAAGAAYAWQEAANYFAAAAAA==&#10;">
                <v:fill on="f" focussize="0,0"/>
                <v:stroke on="f" weight="0.5pt"/>
                <v:imagedata o:title=""/>
                <o:lock v:ext="edit" aspectratio="f"/>
                <v:textbox>
                  <w:txbxContent>
                    <w:p w14:paraId="4E24DBCC">
                      <w:pPr>
                        <w:rPr>
                          <w:rFonts w:hint="default" w:eastAsia="宋体"/>
                          <w:b w:val="0"/>
                          <w:bCs w:val="0"/>
                          <w:sz w:val="21"/>
                          <w:szCs w:val="24"/>
                          <w:lang w:val="en-US" w:eastAsia="zh-CN"/>
                        </w:rPr>
                      </w:pPr>
                      <w:r>
                        <w:rPr>
                          <w:rFonts w:hint="eastAsia"/>
                          <w:b w:val="0"/>
                          <w:bCs w:val="0"/>
                          <w:sz w:val="21"/>
                          <w:szCs w:val="24"/>
                          <w:lang w:val="en-US" w:eastAsia="zh-CN"/>
                        </w:rPr>
                        <w:t>封闭皮带廊</w:t>
                      </w:r>
                    </w:p>
                  </w:txbxContent>
                </v:textbox>
              </v:shape>
            </w:pict>
          </mc:Fallback>
        </mc:AlternateContent>
      </w:r>
      <w:r>
        <w:rPr>
          <w:color w:val="auto"/>
          <w:sz w:val="18"/>
          <w:highlight w:val="none"/>
        </w:rPr>
        <mc:AlternateContent>
          <mc:Choice Requires="wps">
            <w:drawing>
              <wp:anchor distT="0" distB="0" distL="114300" distR="114300" simplePos="0" relativeHeight="251704320" behindDoc="0" locked="0" layoutInCell="1" allowOverlap="1">
                <wp:simplePos x="0" y="0"/>
                <wp:positionH relativeFrom="column">
                  <wp:posOffset>4453255</wp:posOffset>
                </wp:positionH>
                <wp:positionV relativeFrom="paragraph">
                  <wp:posOffset>3605530</wp:posOffset>
                </wp:positionV>
                <wp:extent cx="130175" cy="245110"/>
                <wp:effectExtent l="4445" t="2540" r="17780" b="19050"/>
                <wp:wrapNone/>
                <wp:docPr id="114" name="直接连接符 114"/>
                <wp:cNvGraphicFramePr/>
                <a:graphic xmlns:a="http://schemas.openxmlformats.org/drawingml/2006/main">
                  <a:graphicData uri="http://schemas.microsoft.com/office/word/2010/wordprocessingShape">
                    <wps:wsp>
                      <wps:cNvCnPr>
                        <a:stCxn id="113" idx="2"/>
                      </wps:cNvCnPr>
                      <wps:spPr>
                        <a:xfrm>
                          <a:off x="0" y="0"/>
                          <a:ext cx="130175" cy="245110"/>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margin-left:350.65pt;margin-top:283.9pt;height:19.3pt;width:10.25pt;z-index:251704320;mso-width-relative:page;mso-height-relative:page;" filled="f" stroked="t" coordsize="21600,21600" o:gfxdata="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691008" behindDoc="0" locked="0" layoutInCell="1" allowOverlap="1">
                <wp:simplePos x="0" y="0"/>
                <wp:positionH relativeFrom="column">
                  <wp:posOffset>5691505</wp:posOffset>
                </wp:positionH>
                <wp:positionV relativeFrom="paragraph">
                  <wp:posOffset>3299460</wp:posOffset>
                </wp:positionV>
                <wp:extent cx="743585" cy="315595"/>
                <wp:effectExtent l="0" t="0" r="0" b="0"/>
                <wp:wrapNone/>
                <wp:docPr id="21" name="文本框 21"/>
                <wp:cNvGraphicFramePr/>
                <a:graphic xmlns:a="http://schemas.openxmlformats.org/drawingml/2006/main">
                  <a:graphicData uri="http://schemas.microsoft.com/office/word/2010/wordprocessingShape">
                    <wps:wsp>
                      <wps:cNvSpPr txBox="1"/>
                      <wps:spPr>
                        <a:xfrm>
                          <a:off x="0" y="0"/>
                          <a:ext cx="743585" cy="31559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EF05B90">
                            <w:pPr>
                              <w:rPr>
                                <w:rFonts w:hint="default" w:eastAsia="宋体"/>
                                <w:b w:val="0"/>
                                <w:bCs w:val="0"/>
                                <w:lang w:val="en-US" w:eastAsia="zh-CN"/>
                              </w:rPr>
                            </w:pPr>
                            <w:r>
                              <w:rPr>
                                <w:rFonts w:hint="default"/>
                                <w:b w:val="0"/>
                                <w:bCs w:val="0"/>
                                <w:lang w:val="en-US" w:eastAsia="zh-CN"/>
                              </w:rPr>
                              <w:t>碎石车间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48.15pt;margin-top:259.8pt;height:24.85pt;width:58.55pt;z-index:251691008;mso-width-relative:page;mso-height-relative:page;" filled="f" stroked="f" coordsize="21600,21600" o:gfxdata="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N8/u33dAAAADAEAAA8AAAAAAAAAAQAgAAAAIgAA&#10;AGRycy9kb3ducmV2LnhtbFBLAQIUABQAAAAIAIdO4kBibeZpPAIAAGcEAAAOAAAAAAAAAAEAIAAA&#10;ACwBAABkcnMvZTJvRG9jLnhtbFBLBQYAAAAABgAGAFkBAADaBQAAAAA=&#10;">
                <v:fill on="f" focussize="0,0"/>
                <v:stroke on="f" weight="0.5pt"/>
                <v:imagedata o:title=""/>
                <o:lock v:ext="edit" aspectratio="f"/>
                <v:textbox>
                  <w:txbxContent>
                    <w:p w14:paraId="5EF05B90">
                      <w:pPr>
                        <w:rPr>
                          <w:rFonts w:hint="default" w:eastAsia="宋体"/>
                          <w:b w:val="0"/>
                          <w:bCs w:val="0"/>
                          <w:lang w:val="en-US" w:eastAsia="zh-CN"/>
                        </w:rPr>
                      </w:pPr>
                      <w:r>
                        <w:rPr>
                          <w:rFonts w:hint="default"/>
                          <w:b w:val="0"/>
                          <w:bCs w:val="0"/>
                          <w:lang w:val="en-US" w:eastAsia="zh-CN"/>
                        </w:rPr>
                        <w:t>碎石车间</w:t>
                      </w:r>
                    </w:p>
                  </w:txbxContent>
                </v:textbox>
              </v:shape>
            </w:pict>
          </mc:Fallback>
        </mc:AlternateContent>
      </w:r>
      <w:r>
        <w:rPr>
          <w:color w:val="auto"/>
          <w:sz w:val="18"/>
          <w:highlight w:val="none"/>
        </w:rPr>
        <mc:AlternateContent>
          <mc:Choice Requires="wps">
            <w:drawing>
              <wp:anchor distT="0" distB="0" distL="114300" distR="114300" simplePos="0" relativeHeight="251737088" behindDoc="0" locked="0" layoutInCell="1" allowOverlap="1">
                <wp:simplePos x="0" y="0"/>
                <wp:positionH relativeFrom="column">
                  <wp:posOffset>5532120</wp:posOffset>
                </wp:positionH>
                <wp:positionV relativeFrom="paragraph">
                  <wp:posOffset>3609975</wp:posOffset>
                </wp:positionV>
                <wp:extent cx="311785" cy="275590"/>
                <wp:effectExtent l="3175" t="3810" r="8890" b="6350"/>
                <wp:wrapNone/>
                <wp:docPr id="72" name="直接连接符 72"/>
                <wp:cNvGraphicFramePr/>
                <a:graphic xmlns:a="http://schemas.openxmlformats.org/drawingml/2006/main">
                  <a:graphicData uri="http://schemas.microsoft.com/office/word/2010/wordprocessingShape">
                    <wps:wsp>
                      <wps:cNvCnPr/>
                      <wps:spPr>
                        <a:xfrm flipH="1">
                          <a:off x="0" y="0"/>
                          <a:ext cx="311785" cy="275590"/>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435.6pt;margin-top:284.25pt;height:21.7pt;width:24.55pt;z-index:251737088;mso-width-relative:page;mso-height-relative:page;" filled="f" stroked="t" coordsize="21600,21600" o:gfxdata="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697152" behindDoc="0" locked="0" layoutInCell="1" allowOverlap="1">
                <wp:simplePos x="0" y="0"/>
                <wp:positionH relativeFrom="column">
                  <wp:posOffset>1470660</wp:posOffset>
                </wp:positionH>
                <wp:positionV relativeFrom="paragraph">
                  <wp:posOffset>3461385</wp:posOffset>
                </wp:positionV>
                <wp:extent cx="886460" cy="349250"/>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8864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02BA68D">
                            <w:pPr>
                              <w:rPr>
                                <w:rFonts w:hint="default" w:eastAsia="宋体"/>
                                <w:b w:val="0"/>
                                <w:bCs w:val="0"/>
                                <w:lang w:val="en-US" w:eastAsia="zh-CN"/>
                              </w:rPr>
                            </w:pPr>
                            <w:r>
                              <w:rPr>
                                <w:rFonts w:hint="eastAsia"/>
                                <w:b w:val="0"/>
                                <w:bCs w:val="0"/>
                                <w:lang w:val="en-US" w:eastAsia="zh-CN"/>
                              </w:rPr>
                              <w:t>危废贮存点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5.8pt;margin-top:272.55pt;height:27.5pt;width:69.8pt;z-index:251697152;mso-width-relative:page;mso-height-relative:page;" filled="f" stroked="f" coordsize="21600,21600" o:gfxdata="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n8rFM9wAAAALAQAADwAAAAAAAAABACAAAAAiAAAA&#10;ZHJzL2Rvd25yZXYueG1sUEsBAhQAFAAAAAgAh07iQAGePfE8AgAAZwQAAA4AAAAAAAAAAQAgAAAA&#10;KwEAAGRycy9lMm9Eb2MueG1sUEsFBgAAAAAGAAYAWQEAANkFAAAAAA==&#10;">
                <v:fill on="f" focussize="0,0"/>
                <v:stroke on="f" weight="0.5pt"/>
                <v:imagedata o:title=""/>
                <o:lock v:ext="edit" aspectratio="f"/>
                <v:textbox>
                  <w:txbxContent>
                    <w:p w14:paraId="302BA68D">
                      <w:pPr>
                        <w:rPr>
                          <w:rFonts w:hint="default" w:eastAsia="宋体"/>
                          <w:b w:val="0"/>
                          <w:bCs w:val="0"/>
                          <w:lang w:val="en-US" w:eastAsia="zh-CN"/>
                        </w:rPr>
                      </w:pPr>
                      <w:r>
                        <w:rPr>
                          <w:rFonts w:hint="eastAsia"/>
                          <w:b w:val="0"/>
                          <w:bCs w:val="0"/>
                          <w:lang w:val="en-US" w:eastAsia="zh-CN"/>
                        </w:rPr>
                        <w:t>危废贮存点</w:t>
                      </w:r>
                    </w:p>
                  </w:txbxContent>
                </v:textbox>
              </v:shape>
            </w:pict>
          </mc:Fallback>
        </mc:AlternateContent>
      </w:r>
      <w:r>
        <w:rPr>
          <w:color w:val="auto"/>
          <w:sz w:val="18"/>
          <w:highlight w:val="none"/>
        </w:rPr>
        <mc:AlternateContent>
          <mc:Choice Requires="wps">
            <w:drawing>
              <wp:anchor distT="0" distB="0" distL="114300" distR="114300" simplePos="0" relativeHeight="251695104" behindDoc="0" locked="0" layoutInCell="1" allowOverlap="1">
                <wp:simplePos x="0" y="0"/>
                <wp:positionH relativeFrom="column">
                  <wp:posOffset>1369695</wp:posOffset>
                </wp:positionH>
                <wp:positionV relativeFrom="paragraph">
                  <wp:posOffset>3106420</wp:posOffset>
                </wp:positionV>
                <wp:extent cx="1131570" cy="349250"/>
                <wp:effectExtent l="0" t="0" r="0" b="0"/>
                <wp:wrapNone/>
                <wp:docPr id="85" name="文本框 85"/>
                <wp:cNvGraphicFramePr/>
                <a:graphic xmlns:a="http://schemas.openxmlformats.org/drawingml/2006/main">
                  <a:graphicData uri="http://schemas.microsoft.com/office/word/2010/wordprocessingShape">
                    <wps:wsp>
                      <wps:cNvSpPr txBox="1"/>
                      <wps:spPr>
                        <a:xfrm>
                          <a:off x="0" y="0"/>
                          <a:ext cx="113157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1F30402">
                            <w:pPr>
                              <w:rPr>
                                <w:rFonts w:hint="default" w:eastAsia="宋体"/>
                                <w:b w:val="0"/>
                                <w:bCs w:val="0"/>
                                <w:lang w:val="en-US" w:eastAsia="zh-CN"/>
                              </w:rPr>
                            </w:pPr>
                            <w:r>
                              <w:rPr>
                                <w:rFonts w:hint="eastAsia"/>
                                <w:b w:val="0"/>
                                <w:bCs w:val="0"/>
                                <w:lang w:val="en-US" w:eastAsia="zh-CN"/>
                              </w:rPr>
                              <w:t>一般固废暂存区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07.85pt;margin-top:244.6pt;height:27.5pt;width:89.1pt;z-index:251695104;mso-width-relative:page;mso-height-relative:page;" filled="f" stroked="f" coordsize="21600,21600" o:gfxdata="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Ei78BbcAAAACwEAAA8AAAAAAAAAAQAgAAAAIgAA&#10;AGRycy9kb3ducmV2LnhtbFBLAQIUABQAAAAIAIdO4kBtZzH0PQIAAGgEAAAOAAAAAAAAAAEAIAAA&#10;ACsBAABkcnMvZTJvRG9jLnhtbFBLBQYAAAAABgAGAFkBAADaBQAAAAA=&#10;">
                <v:fill on="f" focussize="0,0"/>
                <v:stroke on="f" weight="0.5pt"/>
                <v:imagedata o:title=""/>
                <o:lock v:ext="edit" aspectratio="f"/>
                <v:textbox>
                  <w:txbxContent>
                    <w:p w14:paraId="71F30402">
                      <w:pPr>
                        <w:rPr>
                          <w:rFonts w:hint="default" w:eastAsia="宋体"/>
                          <w:b w:val="0"/>
                          <w:bCs w:val="0"/>
                          <w:lang w:val="en-US" w:eastAsia="zh-CN"/>
                        </w:rPr>
                      </w:pPr>
                      <w:r>
                        <w:rPr>
                          <w:rFonts w:hint="eastAsia"/>
                          <w:b w:val="0"/>
                          <w:bCs w:val="0"/>
                          <w:lang w:val="en-US" w:eastAsia="zh-CN"/>
                        </w:rPr>
                        <w:t>一般固废暂存区</w:t>
                      </w:r>
                    </w:p>
                  </w:txbxContent>
                </v:textbox>
              </v:shape>
            </w:pict>
          </mc:Fallback>
        </mc:AlternateContent>
      </w:r>
      <w:r>
        <w:rPr>
          <w:color w:val="auto"/>
          <w:sz w:val="18"/>
          <w:highlight w:val="none"/>
        </w:rPr>
        <mc:AlternateContent>
          <mc:Choice Requires="wps">
            <w:drawing>
              <wp:anchor distT="0" distB="0" distL="114300" distR="114300" simplePos="0" relativeHeight="251701248" behindDoc="0" locked="0" layoutInCell="1" allowOverlap="1">
                <wp:simplePos x="0" y="0"/>
                <wp:positionH relativeFrom="column">
                  <wp:posOffset>5263515</wp:posOffset>
                </wp:positionH>
                <wp:positionV relativeFrom="paragraph">
                  <wp:posOffset>2267585</wp:posOffset>
                </wp:positionV>
                <wp:extent cx="488315" cy="349250"/>
                <wp:effectExtent l="0" t="0" r="0" b="0"/>
                <wp:wrapNone/>
                <wp:docPr id="95" name="文本框 95"/>
                <wp:cNvGraphicFramePr/>
                <a:graphic xmlns:a="http://schemas.openxmlformats.org/drawingml/2006/main">
                  <a:graphicData uri="http://schemas.microsoft.com/office/word/2010/wordprocessingShape">
                    <wps:wsp>
                      <wps:cNvSpPr txBox="1"/>
                      <wps:spPr>
                        <a:xfrm>
                          <a:off x="0" y="0"/>
                          <a:ext cx="48831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5AAA65">
                            <w:pPr>
                              <w:rPr>
                                <w:rFonts w:hint="default" w:eastAsia="宋体"/>
                                <w:b w:val="0"/>
                                <w:bCs w:val="0"/>
                                <w:lang w:val="en-US" w:eastAsia="zh-CN"/>
                              </w:rPr>
                            </w:pPr>
                            <w:r>
                              <w:rPr>
                                <w:rFonts w:hint="eastAsia"/>
                                <w:b w:val="0"/>
                                <w:bCs w:val="0"/>
                                <w:lang w:val="en-US" w:eastAsia="zh-CN"/>
                              </w:rPr>
                              <w:t>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14.45pt;margin-top:178.55pt;height:27.5pt;width:38.45pt;z-index:251701248;mso-width-relative:page;mso-height-relative:page;" filled="f" stroked="f" coordsize="21600,21600" o:gfxdata="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6L4ONNwAAAALAQAADwAAAAAAAAABACAAAAAiAAAA&#10;ZHJzL2Rvd25yZXYueG1sUEsBAhQAFAAAAAgAh07iQB5fJZE8AgAAZwQAAA4AAAAAAAAAAQAgAAAA&#10;KwEAAGRycy9lMm9Eb2MueG1sUEsFBgAAAAAGAAYAWQEAANkFAAAAAA==&#10;">
                <v:fill on="f" focussize="0,0"/>
                <v:stroke on="f" weight="0.5pt"/>
                <v:imagedata o:title=""/>
                <o:lock v:ext="edit" aspectratio="f"/>
                <v:textbox>
                  <w:txbxContent>
                    <w:p w14:paraId="7B5AAA65">
                      <w:pPr>
                        <w:rPr>
                          <w:rFonts w:hint="default" w:eastAsia="宋体"/>
                          <w:b w:val="0"/>
                          <w:bCs w:val="0"/>
                          <w:lang w:val="en-US" w:eastAsia="zh-CN"/>
                        </w:rPr>
                      </w:pPr>
                      <w:r>
                        <w:rPr>
                          <w:rFonts w:hint="eastAsia"/>
                          <w:b w:val="0"/>
                          <w:bCs w:val="0"/>
                          <w:lang w:val="en-US" w:eastAsia="zh-CN"/>
                        </w:rPr>
                        <w:t>大门</w:t>
                      </w:r>
                    </w:p>
                  </w:txbxContent>
                </v:textbox>
              </v:shape>
            </w:pict>
          </mc:Fallback>
        </mc:AlternateContent>
      </w:r>
      <w:r>
        <w:rPr>
          <w:color w:val="auto"/>
          <w:sz w:val="18"/>
          <w:highlight w:val="none"/>
        </w:rPr>
        <mc:AlternateContent>
          <mc:Choice Requires="wps">
            <w:drawing>
              <wp:anchor distT="0" distB="0" distL="114300" distR="114300" simplePos="0" relativeHeight="251699200" behindDoc="0" locked="0" layoutInCell="1" allowOverlap="1">
                <wp:simplePos x="0" y="0"/>
                <wp:positionH relativeFrom="column">
                  <wp:posOffset>4785995</wp:posOffset>
                </wp:positionH>
                <wp:positionV relativeFrom="paragraph">
                  <wp:posOffset>2752090</wp:posOffset>
                </wp:positionV>
                <wp:extent cx="381000" cy="795020"/>
                <wp:effectExtent l="0" t="0" r="0" b="0"/>
                <wp:wrapNone/>
                <wp:docPr id="92" name="文本框 92"/>
                <wp:cNvGraphicFramePr/>
                <a:graphic xmlns:a="http://schemas.openxmlformats.org/drawingml/2006/main">
                  <a:graphicData uri="http://schemas.microsoft.com/office/word/2010/wordprocessingShape">
                    <wps:wsp>
                      <wps:cNvSpPr txBox="1"/>
                      <wps:spPr>
                        <a:xfrm>
                          <a:off x="5923915" y="3722370"/>
                          <a:ext cx="381000" cy="795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9027FFD">
                            <w:pPr>
                              <w:rPr>
                                <w:rFonts w:hint="default" w:eastAsia="宋体"/>
                                <w:lang w:val="en-US" w:eastAsia="zh-CN"/>
                              </w:rPr>
                            </w:pPr>
                            <w:r>
                              <w:rPr>
                                <w:rFonts w:hint="eastAsia"/>
                                <w:lang w:val="en-US" w:eastAsia="zh-CN"/>
                              </w:rPr>
                              <w:t>封闭皮带廊</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6.85pt;margin-top:216.7pt;height:62.6pt;width:30pt;z-index:251699200;mso-width-relative:page;mso-height-relative:page;" filled="f" stroked="f" coordsize="21600,21600" o:gfxdata="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">
                <v:fill on="f" focussize="0,0"/>
                <v:stroke on="f" weight="0.5pt"/>
                <v:imagedata o:title=""/>
                <o:lock v:ext="edit" aspectratio="f"/>
                <v:textbox style="layout-flow:vertical-ideographic;">
                  <w:txbxContent>
                    <w:p w14:paraId="29027FFD">
                      <w:pPr>
                        <w:rPr>
                          <w:rFonts w:hint="default" w:eastAsia="宋体"/>
                          <w:lang w:val="en-US" w:eastAsia="zh-CN"/>
                        </w:rPr>
                      </w:pPr>
                      <w:r>
                        <w:rPr>
                          <w:rFonts w:hint="eastAsia"/>
                          <w:lang w:val="en-US" w:eastAsia="zh-CN"/>
                        </w:rPr>
                        <w:t>封闭皮带廊</w:t>
                      </w:r>
                    </w:p>
                  </w:txbxContent>
                </v:textbox>
              </v:shape>
            </w:pict>
          </mc:Fallback>
        </mc:AlternateContent>
      </w:r>
      <w:r>
        <w:rPr>
          <w:color w:val="auto"/>
          <w:sz w:val="18"/>
          <w:highlight w:val="none"/>
        </w:rPr>
        <mc:AlternateContent>
          <mc:Choice Requires="wps">
            <w:drawing>
              <wp:anchor distT="0" distB="0" distL="114300" distR="114300" simplePos="0" relativeHeight="251700224" behindDoc="0" locked="0" layoutInCell="1" allowOverlap="1">
                <wp:simplePos x="0" y="0"/>
                <wp:positionH relativeFrom="column">
                  <wp:posOffset>5311775</wp:posOffset>
                </wp:positionH>
                <wp:positionV relativeFrom="paragraph">
                  <wp:posOffset>2218055</wp:posOffset>
                </wp:positionV>
                <wp:extent cx="372110" cy="490855"/>
                <wp:effectExtent l="10160" t="7620" r="17780" b="15875"/>
                <wp:wrapNone/>
                <wp:docPr id="94" name="直接连接符 94"/>
                <wp:cNvGraphicFramePr/>
                <a:graphic xmlns:a="http://schemas.openxmlformats.org/drawingml/2006/main">
                  <a:graphicData uri="http://schemas.microsoft.com/office/word/2010/wordprocessingShape">
                    <wps:wsp>
                      <wps:cNvCnPr/>
                      <wps:spPr>
                        <a:xfrm flipH="1" flipV="1">
                          <a:off x="6517005" y="3256915"/>
                          <a:ext cx="372110" cy="490855"/>
                        </a:xfrm>
                        <a:prstGeom prst="line">
                          <a:avLst/>
                        </a:prstGeom>
                        <a:ln>
                          <a:solidFill>
                            <a:srgbClr val="9A8A8B"/>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418.25pt;margin-top:174.65pt;height:38.65pt;width:29.3pt;z-index:251700224;mso-width-relative:page;mso-height-relative:page;" filled="f" stroked="t" coordsize="21600,21600" o:gfxdata="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">
                <v:fill on="f" focussize="0,0"/>
                <v:stroke weight="2pt" color="#9A8A8B [3204]" joinstyle="round"/>
                <v:imagedata o:title=""/>
                <o:lock v:ext="edit" aspectratio="f"/>
              </v:line>
            </w:pict>
          </mc:Fallback>
        </mc:AlternateContent>
      </w:r>
      <w:r>
        <w:rPr>
          <w:color w:val="auto"/>
          <w:highlight w:val="none"/>
        </w:rPr>
        <w:drawing>
          <wp:inline distT="0" distB="0" distL="114300" distR="114300">
            <wp:extent cx="6826250" cy="5544185"/>
            <wp:effectExtent l="0" t="0" r="12700" b="18415"/>
            <wp:docPr id="10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12"/>
                    <pic:cNvPicPr>
                      <a:picLocks noChangeAspect="1"/>
                    </pic:cNvPicPr>
                  </pic:nvPicPr>
                  <pic:blipFill>
                    <a:blip r:embed="rId52"/>
                    <a:stretch>
                      <a:fillRect/>
                    </a:stretch>
                  </pic:blipFill>
                  <pic:spPr>
                    <a:xfrm>
                      <a:off x="0" y="0"/>
                      <a:ext cx="6826250" cy="5544185"/>
                    </a:xfrm>
                    <a:prstGeom prst="rect">
                      <a:avLst/>
                    </a:prstGeom>
                    <a:noFill/>
                    <a:ln>
                      <a:noFill/>
                    </a:ln>
                  </pic:spPr>
                </pic:pic>
              </a:graphicData>
            </a:graphic>
          </wp:inline>
        </w:drawing>
      </w:r>
      <w:r>
        <w:rPr>
          <w:color w:val="auto"/>
          <w:sz w:val="18"/>
          <w:highlight w:val="none"/>
        </w:rPr>
        <mc:AlternateContent>
          <mc:Choice Requires="wps">
            <w:drawing>
              <wp:anchor distT="0" distB="0" distL="114300" distR="114300" simplePos="0" relativeHeight="251696128" behindDoc="0" locked="0" layoutInCell="1" allowOverlap="1">
                <wp:simplePos x="0" y="0"/>
                <wp:positionH relativeFrom="column">
                  <wp:posOffset>2357120</wp:posOffset>
                </wp:positionH>
                <wp:positionV relativeFrom="paragraph">
                  <wp:posOffset>3597275</wp:posOffset>
                </wp:positionV>
                <wp:extent cx="608965" cy="38735"/>
                <wp:effectExtent l="0" t="4445" r="635" b="13970"/>
                <wp:wrapNone/>
                <wp:docPr id="86" name="直接连接符 86"/>
                <wp:cNvGraphicFramePr/>
                <a:graphic xmlns:a="http://schemas.openxmlformats.org/drawingml/2006/main">
                  <a:graphicData uri="http://schemas.microsoft.com/office/word/2010/wordprocessingShape">
                    <wps:wsp>
                      <wps:cNvCnPr>
                        <a:endCxn id="89" idx="3"/>
                      </wps:cNvCnPr>
                      <wps:spPr>
                        <a:xfrm flipH="1">
                          <a:off x="0" y="0"/>
                          <a:ext cx="608965" cy="3873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85.6pt;margin-top:283.25pt;height:3.05pt;width:47.95pt;z-index:251696128;mso-width-relative:page;mso-height-relative:page;" filled="f" stroked="t" coordsize="21600,21600" o:gfxdata="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1ahCv9kAAAALAQAADwAAAAAAAAABACAAAAAiAAAAZHJzL2Rvd25yZXYueG1sUEsB&#10;AhQAFAAAAAgAh07iQImXkrv0AQAA0AMAAA4AAAAAAAAAAQAgAAAAKAEAAGRycy9lMm9Eb2MueG1s&#10;UEsFBgAAAAAGAAYAWQEAAI4FA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694080" behindDoc="0" locked="0" layoutInCell="1" allowOverlap="1">
                <wp:simplePos x="0" y="0"/>
                <wp:positionH relativeFrom="column">
                  <wp:posOffset>2501265</wp:posOffset>
                </wp:positionH>
                <wp:positionV relativeFrom="paragraph">
                  <wp:posOffset>3281045</wp:posOffset>
                </wp:positionV>
                <wp:extent cx="362585" cy="62865"/>
                <wp:effectExtent l="635" t="4445" r="17780" b="8890"/>
                <wp:wrapNone/>
                <wp:docPr id="84" name="直接连接符 84"/>
                <wp:cNvGraphicFramePr/>
                <a:graphic xmlns:a="http://schemas.openxmlformats.org/drawingml/2006/main">
                  <a:graphicData uri="http://schemas.microsoft.com/office/word/2010/wordprocessingShape">
                    <wps:wsp>
                      <wps:cNvCnPr>
                        <a:endCxn id="85" idx="3"/>
                      </wps:cNvCnPr>
                      <wps:spPr>
                        <a:xfrm flipH="1" flipV="1">
                          <a:off x="3646805" y="4289425"/>
                          <a:ext cx="362585" cy="6286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196.95pt;margin-top:258.35pt;height:4.95pt;width:28.55pt;z-index:251694080;mso-width-relative:page;mso-height-relative:page;" filled="f" stroked="t" coordsize="21600,21600" o:gfxdata="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689984" behindDoc="0" locked="0" layoutInCell="1" allowOverlap="1">
                <wp:simplePos x="0" y="0"/>
                <wp:positionH relativeFrom="column">
                  <wp:posOffset>3530600</wp:posOffset>
                </wp:positionH>
                <wp:positionV relativeFrom="paragraph">
                  <wp:posOffset>1863090</wp:posOffset>
                </wp:positionV>
                <wp:extent cx="743585" cy="391160"/>
                <wp:effectExtent l="0" t="0" r="0" b="0"/>
                <wp:wrapNone/>
                <wp:docPr id="19" name="文本框 19"/>
                <wp:cNvGraphicFramePr/>
                <a:graphic xmlns:a="http://schemas.openxmlformats.org/drawingml/2006/main">
                  <a:graphicData uri="http://schemas.microsoft.com/office/word/2010/wordprocessingShape">
                    <wps:wsp>
                      <wps:cNvSpPr txBox="1"/>
                      <wps:spPr>
                        <a:xfrm>
                          <a:off x="3983355" y="2613025"/>
                          <a:ext cx="743585"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1991E24">
                            <w:pPr>
                              <w:rPr>
                                <w:rFonts w:hint="eastAsia" w:eastAsia="宋体"/>
                                <w:b w:val="0"/>
                                <w:bCs w:val="0"/>
                                <w:lang w:val="en-US" w:eastAsia="zh-CN"/>
                              </w:rPr>
                            </w:pPr>
                            <w:r>
                              <w:rPr>
                                <w:rFonts w:hint="eastAsia"/>
                                <w:b w:val="0"/>
                                <w:bCs w:val="0"/>
                                <w:lang w:val="en-US" w:eastAsia="zh-CN"/>
                              </w:rPr>
                              <w:t>成品库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78pt;margin-top:146.7pt;height:30.8pt;width:58.55pt;z-index:251689984;mso-width-relative:page;mso-height-relative:page;" filled="f" stroked="f" coordsize="21600,21600" o:gfxdata="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">
                <v:fill on="f" focussize="0,0"/>
                <v:stroke on="f" weight="0.5pt"/>
                <v:imagedata o:title=""/>
                <o:lock v:ext="edit" aspectratio="f"/>
                <v:textbox>
                  <w:txbxContent>
                    <w:p w14:paraId="31991E24">
                      <w:pPr>
                        <w:rPr>
                          <w:rFonts w:hint="eastAsia" w:eastAsia="宋体"/>
                          <w:b w:val="0"/>
                          <w:bCs w:val="0"/>
                          <w:lang w:val="en-US" w:eastAsia="zh-CN"/>
                        </w:rPr>
                      </w:pPr>
                      <w:r>
                        <w:rPr>
                          <w:rFonts w:hint="eastAsia"/>
                          <w:b w:val="0"/>
                          <w:bCs w:val="0"/>
                          <w:lang w:val="en-US" w:eastAsia="zh-CN"/>
                        </w:rPr>
                        <w:t>成品库</w:t>
                      </w:r>
                    </w:p>
                  </w:txbxContent>
                </v:textbox>
              </v:shape>
            </w:pict>
          </mc:Fallback>
        </mc:AlternateContent>
      </w:r>
      <w:r>
        <w:rPr>
          <w:color w:val="auto"/>
          <w:sz w:val="24"/>
          <w:highlight w:val="none"/>
        </w:rPr>
        <mc:AlternateContent>
          <mc:Choice Requires="wps">
            <w:drawing>
              <wp:anchor distT="0" distB="0" distL="114300" distR="114300" simplePos="0" relativeHeight="251693056" behindDoc="0" locked="0" layoutInCell="1" allowOverlap="1">
                <wp:simplePos x="0" y="0"/>
                <wp:positionH relativeFrom="column">
                  <wp:posOffset>5646420</wp:posOffset>
                </wp:positionH>
                <wp:positionV relativeFrom="paragraph">
                  <wp:posOffset>2134870</wp:posOffset>
                </wp:positionV>
                <wp:extent cx="281940" cy="349885"/>
                <wp:effectExtent l="10160" t="8255" r="12700" b="22860"/>
                <wp:wrapNone/>
                <wp:docPr id="58" name="任意多边形 58"/>
                <wp:cNvGraphicFramePr/>
                <a:graphic xmlns:a="http://schemas.openxmlformats.org/drawingml/2006/main">
                  <a:graphicData uri="http://schemas.microsoft.com/office/word/2010/wordprocessingShape">
                    <wps:wsp>
                      <wps:cNvSpPr/>
                      <wps:spPr>
                        <a:xfrm>
                          <a:off x="6554470" y="3241040"/>
                          <a:ext cx="281940" cy="349885"/>
                        </a:xfrm>
                        <a:custGeom>
                          <a:avLst/>
                          <a:gdLst>
                            <a:gd name="connisteX0" fmla="*/ 0 w 281940"/>
                            <a:gd name="connsiteY0" fmla="*/ 0 h 349885"/>
                            <a:gd name="connisteX1" fmla="*/ 281940 w 281940"/>
                            <a:gd name="connsiteY1" fmla="*/ 349885 h 349885"/>
                            <a:gd name="connisteX2" fmla="*/ 274320 w 281940"/>
                            <a:gd name="connsiteY2" fmla="*/ 342900 h 349885"/>
                          </a:gdLst>
                          <a:ahLst/>
                          <a:cxnLst>
                            <a:cxn ang="0">
                              <a:pos x="connisteX0" y="connsiteY0"/>
                            </a:cxn>
                            <a:cxn ang="0">
                              <a:pos x="connisteX1" y="connsiteY1"/>
                            </a:cxn>
                            <a:cxn ang="0">
                              <a:pos x="connisteX2" y="connsiteY2"/>
                            </a:cxn>
                          </a:cxnLst>
                          <a:rect l="l" t="t" r="r" b="b"/>
                          <a:pathLst>
                            <a:path w="281940" h="349885">
                              <a:moveTo>
                                <a:pt x="0" y="0"/>
                              </a:moveTo>
                              <a:lnTo>
                                <a:pt x="281940" y="349885"/>
                              </a:lnTo>
                              <a:lnTo>
                                <a:pt x="274320" y="342900"/>
                              </a:lnTo>
                            </a:path>
                          </a:pathLst>
                        </a:custGeom>
                        <a:noFill/>
                        <a:ln>
                          <a:solidFill>
                            <a:srgbClr val="968387"/>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444.6pt;margin-top:168.1pt;height:27.55pt;width:22.2pt;z-index:251693056;mso-width-relative:page;mso-height-relative:page;" filled="f" stroked="t" coordsize="281940,349885" o:gfxdata="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HTK6LvaAAAA&#10;CwEAAA8AAAAAAAAAAQAgAAAAIgAAAGRycy9kb3ducmV2LnhtbFBLAQIUABQAAAAIAIdO4kA6sM2L&#10;xgIAAJUGAAAOAAAAAAAAAAEAIAAAACkBAABkcnMvZTJvRG9jLnhtbFBLBQYAAAAABgAGAFkBAABh&#10;BgAAAAA=&#10;" path="m0,0l281940,349885,274320,342900e">
                <v:path o:connectlocs="0,0;281940,349885;274320,342900" o:connectangles="0,0,0"/>
                <v:fill on="f" focussize="0,0"/>
                <v:stroke weight="2pt" color="#968387 [2404]" joinstyle="round"/>
                <v:imagedata o:title=""/>
                <o:lock v:ext="edit" aspectratio="f"/>
              </v:shape>
            </w:pict>
          </mc:Fallback>
        </mc:AlternateContent>
      </w:r>
    </w:p>
    <w:p w14:paraId="6AC35F4D">
      <w:pPr>
        <w:pStyle w:val="23"/>
        <w:tabs>
          <w:tab w:val="left" w:pos="7434"/>
        </w:tabs>
        <w:ind w:left="0"/>
        <w:outlineLvl w:val="0"/>
        <w:rPr>
          <w:rFonts w:ascii="Times New Roman" w:hAnsi="Times New Roman"/>
          <w:color w:val="000000" w:themeColor="text1"/>
          <w:sz w:val="24"/>
          <w:szCs w:val="24"/>
          <w:highlight w:val="none"/>
          <w14:textFill>
            <w14:solidFill>
              <w14:schemeClr w14:val="tx1"/>
            </w14:solidFill>
          </w14:textFill>
        </w:rPr>
      </w:pPr>
      <w:r>
        <w:rPr>
          <w:rFonts w:ascii="Times New Roman" w:hAnsi="Times New Roman"/>
          <w:b/>
          <w:bCs/>
          <w:color w:val="000000" w:themeColor="text1"/>
          <w:sz w:val="24"/>
          <w:szCs w:val="24"/>
          <w:highlight w:val="none"/>
          <w14:textFill>
            <w14:solidFill>
              <w14:schemeClr w14:val="tx1"/>
            </w14:solidFill>
          </w14:textFill>
        </w:rPr>
        <w:t>附图5 分区防渗图</w:t>
      </w:r>
    </w:p>
    <w:p w14:paraId="4B511D46">
      <w:pPr>
        <w:jc w:val="center"/>
        <w:rPr>
          <w:color w:val="auto"/>
          <w:highlight w:val="none"/>
        </w:rPr>
      </w:pPr>
      <w:r>
        <w:rPr>
          <w:color w:val="auto"/>
          <w:sz w:val="18"/>
          <w:highlight w:val="none"/>
        </w:rPr>
        <mc:AlternateContent>
          <mc:Choice Requires="wps">
            <w:drawing>
              <wp:anchor distT="0" distB="0" distL="114300" distR="114300" simplePos="0" relativeHeight="251716608" behindDoc="0" locked="0" layoutInCell="1" allowOverlap="1">
                <wp:simplePos x="0" y="0"/>
                <wp:positionH relativeFrom="column">
                  <wp:posOffset>3319145</wp:posOffset>
                </wp:positionH>
                <wp:positionV relativeFrom="paragraph">
                  <wp:posOffset>1863090</wp:posOffset>
                </wp:positionV>
                <wp:extent cx="743585" cy="391160"/>
                <wp:effectExtent l="0" t="0" r="0" b="0"/>
                <wp:wrapNone/>
                <wp:docPr id="96" name="文本框 96"/>
                <wp:cNvGraphicFramePr/>
                <a:graphic xmlns:a="http://schemas.openxmlformats.org/drawingml/2006/main">
                  <a:graphicData uri="http://schemas.microsoft.com/office/word/2010/wordprocessingShape">
                    <wps:wsp>
                      <wps:cNvSpPr txBox="1"/>
                      <wps:spPr>
                        <a:xfrm>
                          <a:off x="0" y="0"/>
                          <a:ext cx="743585"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6BAE487">
                            <w:pPr>
                              <w:rPr>
                                <w:rFonts w:hint="eastAsia" w:eastAsia="宋体"/>
                                <w:b w:val="0"/>
                                <w:bCs w:val="0"/>
                                <w:lang w:val="en-US" w:eastAsia="zh-CN"/>
                              </w:rPr>
                            </w:pPr>
                            <w:r>
                              <w:rPr>
                                <w:rFonts w:hint="eastAsia"/>
                                <w:b w:val="0"/>
                                <w:bCs w:val="0"/>
                                <w:lang w:val="en-US" w:eastAsia="zh-CN"/>
                              </w:rPr>
                              <w:t>成品库</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261.35pt;margin-top:146.7pt;height:30.8pt;width:58.55pt;z-index:251716608;mso-width-relative:page;mso-height-relative:page;" filled="f" stroked="f" coordsize="21600,21600" o:gfxdata="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HZc0t90AAAALAQAADwAAAAAAAAABACAAAAAi&#10;AAAAZHJzL2Rvd25yZXYueG1sUEsBAhQAFAAAAAgAh07iQDAvFAg+AgAAZwQAAA4AAAAAAAAAAQAg&#10;AAAALAEAAGRycy9lMm9Eb2MueG1sUEsFBgAAAAAGAAYAWQEAANwFAAAAAA==&#10;">
                <v:fill on="f" focussize="0,0"/>
                <v:stroke on="f" weight="0.5pt"/>
                <v:imagedata o:title=""/>
                <o:lock v:ext="edit" aspectratio="f"/>
                <v:textbox>
                  <w:txbxContent>
                    <w:p w14:paraId="66BAE487">
                      <w:pPr>
                        <w:rPr>
                          <w:rFonts w:hint="eastAsia" w:eastAsia="宋体"/>
                          <w:b w:val="0"/>
                          <w:bCs w:val="0"/>
                          <w:lang w:val="en-US" w:eastAsia="zh-CN"/>
                        </w:rPr>
                      </w:pPr>
                      <w:r>
                        <w:rPr>
                          <w:rFonts w:hint="eastAsia"/>
                          <w:b w:val="0"/>
                          <w:bCs w:val="0"/>
                          <w:lang w:val="en-US" w:eastAsia="zh-CN"/>
                        </w:rPr>
                        <w:t>成品库</w:t>
                      </w:r>
                    </w:p>
                  </w:txbxContent>
                </v:textbox>
              </v:shape>
            </w:pict>
          </mc:Fallback>
        </mc:AlternateContent>
      </w:r>
      <w:r>
        <w:rPr>
          <w:color w:val="auto"/>
          <w:highlight w:val="none"/>
        </w:rPr>
        <w:drawing>
          <wp:inline distT="0" distB="0" distL="114300" distR="114300">
            <wp:extent cx="6172835" cy="5544185"/>
            <wp:effectExtent l="0" t="0" r="18415" b="18415"/>
            <wp:docPr id="97"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1"/>
                    <pic:cNvPicPr>
                      <a:picLocks noChangeAspect="1"/>
                    </pic:cNvPicPr>
                  </pic:nvPicPr>
                  <pic:blipFill>
                    <a:blip r:embed="rId53"/>
                    <a:stretch>
                      <a:fillRect/>
                    </a:stretch>
                  </pic:blipFill>
                  <pic:spPr>
                    <a:xfrm>
                      <a:off x="0" y="0"/>
                      <a:ext cx="6172835" cy="5544185"/>
                    </a:xfrm>
                    <a:prstGeom prst="rect">
                      <a:avLst/>
                    </a:prstGeom>
                    <a:noFill/>
                    <a:ln>
                      <a:noFill/>
                    </a:ln>
                  </pic:spPr>
                </pic:pic>
              </a:graphicData>
            </a:graphic>
          </wp:inline>
        </w:drawing>
      </w:r>
      <w:r>
        <w:rPr>
          <w:color w:val="auto"/>
          <w:sz w:val="18"/>
          <w:highlight w:val="none"/>
        </w:rPr>
        <mc:AlternateContent>
          <mc:Choice Requires="wps">
            <w:drawing>
              <wp:anchor distT="0" distB="0" distL="114300" distR="114300" simplePos="0" relativeHeight="251726848" behindDoc="0" locked="0" layoutInCell="1" allowOverlap="1">
                <wp:simplePos x="0" y="0"/>
                <wp:positionH relativeFrom="column">
                  <wp:posOffset>4135755</wp:posOffset>
                </wp:positionH>
                <wp:positionV relativeFrom="paragraph">
                  <wp:posOffset>4359275</wp:posOffset>
                </wp:positionV>
                <wp:extent cx="743585" cy="391160"/>
                <wp:effectExtent l="0" t="0" r="0" b="0"/>
                <wp:wrapNone/>
                <wp:docPr id="108" name="文本框 108"/>
                <wp:cNvGraphicFramePr/>
                <a:graphic xmlns:a="http://schemas.openxmlformats.org/drawingml/2006/main">
                  <a:graphicData uri="http://schemas.microsoft.com/office/word/2010/wordprocessingShape">
                    <wps:wsp>
                      <wps:cNvSpPr txBox="1"/>
                      <wps:spPr>
                        <a:xfrm>
                          <a:off x="0" y="0"/>
                          <a:ext cx="743585"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723FD4B">
                            <w:pPr>
                              <w:rPr>
                                <w:rFonts w:hint="default" w:eastAsia="宋体"/>
                                <w:b w:val="0"/>
                                <w:bCs w:val="0"/>
                                <w:lang w:val="en-US" w:eastAsia="zh-CN"/>
                              </w:rPr>
                            </w:pPr>
                            <w:r>
                              <w:rPr>
                                <w:rFonts w:hint="eastAsia"/>
                                <w:b w:val="0"/>
                                <w:bCs w:val="0"/>
                                <w:lang w:val="en-US" w:eastAsia="zh-CN"/>
                              </w:rPr>
                              <w:t>原料区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5.65pt;margin-top:343.25pt;height:30.8pt;width:58.55pt;z-index:251726848;mso-width-relative:page;mso-height-relative:page;" filled="f" stroked="f" coordsize="21600,21600" o:gfxdata="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1mBcT2wAAAAsBAAAPAAAAAAAAAAEAIAAAACIA&#10;AABkcnMvZG93bnJldi54bWxQSwECFAAUAAAACACHTuJA5YDPtz8CAABpBAAADgAAAAAAAAABACAA&#10;AAAqAQAAZHJzL2Uyb0RvYy54bWxQSwUGAAAAAAYABgBZAQAA2wUAAAAA&#10;">
                <v:fill on="f" focussize="0,0"/>
                <v:stroke on="f" weight="0.5pt"/>
                <v:imagedata o:title=""/>
                <o:lock v:ext="edit" aspectratio="f"/>
                <v:textbox>
                  <w:txbxContent>
                    <w:p w14:paraId="6723FD4B">
                      <w:pPr>
                        <w:rPr>
                          <w:rFonts w:hint="default" w:eastAsia="宋体"/>
                          <w:b w:val="0"/>
                          <w:bCs w:val="0"/>
                          <w:lang w:val="en-US" w:eastAsia="zh-CN"/>
                        </w:rPr>
                      </w:pPr>
                      <w:r>
                        <w:rPr>
                          <w:rFonts w:hint="eastAsia"/>
                          <w:b w:val="0"/>
                          <w:bCs w:val="0"/>
                          <w:lang w:val="en-US" w:eastAsia="zh-CN"/>
                        </w:rPr>
                        <w:t>原料区</w:t>
                      </w:r>
                    </w:p>
                  </w:txbxContent>
                </v:textbox>
              </v:shape>
            </w:pict>
          </mc:Fallback>
        </mc:AlternateContent>
      </w:r>
      <w:r>
        <w:rPr>
          <w:color w:val="auto"/>
          <w:sz w:val="18"/>
          <w:highlight w:val="none"/>
        </w:rPr>
        <mc:AlternateContent>
          <mc:Choice Requires="wps">
            <w:drawing>
              <wp:anchor distT="0" distB="0" distL="114300" distR="114300" simplePos="0" relativeHeight="251725824" behindDoc="0" locked="0" layoutInCell="1" allowOverlap="1">
                <wp:simplePos x="0" y="0"/>
                <wp:positionH relativeFrom="column">
                  <wp:posOffset>4175760</wp:posOffset>
                </wp:positionH>
                <wp:positionV relativeFrom="paragraph">
                  <wp:posOffset>3545840</wp:posOffset>
                </wp:positionV>
                <wp:extent cx="743585" cy="391160"/>
                <wp:effectExtent l="0" t="0" r="0" b="0"/>
                <wp:wrapNone/>
                <wp:docPr id="106" name="文本框 106"/>
                <wp:cNvGraphicFramePr/>
                <a:graphic xmlns:a="http://schemas.openxmlformats.org/drawingml/2006/main">
                  <a:graphicData uri="http://schemas.microsoft.com/office/word/2010/wordprocessingShape">
                    <wps:wsp>
                      <wps:cNvSpPr txBox="1"/>
                      <wps:spPr>
                        <a:xfrm>
                          <a:off x="0" y="0"/>
                          <a:ext cx="743585" cy="3911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8330C6">
                            <w:pPr>
                              <w:rPr>
                                <w:rFonts w:hint="default" w:eastAsia="宋体"/>
                                <w:b w:val="0"/>
                                <w:bCs w:val="0"/>
                                <w:lang w:val="en-US" w:eastAsia="zh-CN"/>
                              </w:rPr>
                            </w:pPr>
                            <w:r>
                              <w:rPr>
                                <w:rFonts w:hint="eastAsia"/>
                                <w:b w:val="0"/>
                                <w:bCs w:val="0"/>
                                <w:lang w:val="en-US" w:eastAsia="zh-CN"/>
                              </w:rPr>
                              <w:t>碎石车间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28.8pt;margin-top:279.2pt;height:30.8pt;width:58.55pt;z-index:251725824;mso-width-relative:page;mso-height-relative:page;" filled="f" stroked="f" coordsize="21600,21600" o:gfxdata="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AMCzS42wAAAAsBAAAPAAAAAAAAAAEAIAAAACIA&#10;AABkcnMvZG93bnJldi54bWxQSwECFAAUAAAACACHTuJA4tsuaD8CAABpBAAADgAAAAAAAAABACAA&#10;AAAqAQAAZHJzL2Uyb0RvYy54bWxQSwUGAAAAAAYABgBZAQAA2wUAAAAA&#10;">
                <v:fill on="f" focussize="0,0"/>
                <v:stroke on="f" weight="0.5pt"/>
                <v:imagedata o:title=""/>
                <o:lock v:ext="edit" aspectratio="f"/>
                <v:textbox>
                  <w:txbxContent>
                    <w:p w14:paraId="4D8330C6">
                      <w:pPr>
                        <w:rPr>
                          <w:rFonts w:hint="default" w:eastAsia="宋体"/>
                          <w:b w:val="0"/>
                          <w:bCs w:val="0"/>
                          <w:lang w:val="en-US" w:eastAsia="zh-CN"/>
                        </w:rPr>
                      </w:pPr>
                      <w:r>
                        <w:rPr>
                          <w:rFonts w:hint="eastAsia"/>
                          <w:b w:val="0"/>
                          <w:bCs w:val="0"/>
                          <w:lang w:val="en-US" w:eastAsia="zh-CN"/>
                        </w:rPr>
                        <w:t>碎石车间</w:t>
                      </w:r>
                    </w:p>
                  </w:txbxContent>
                </v:textbox>
              </v:shape>
            </w:pict>
          </mc:Fallback>
        </mc:AlternateContent>
      </w:r>
      <w:r>
        <w:rPr>
          <w:color w:val="auto"/>
          <w:sz w:val="18"/>
          <w:highlight w:val="none"/>
        </w:rPr>
        <mc:AlternateContent>
          <mc:Choice Requires="wps">
            <w:drawing>
              <wp:anchor distT="0" distB="0" distL="114300" distR="114300" simplePos="0" relativeHeight="251724800" behindDoc="0" locked="0" layoutInCell="1" allowOverlap="1">
                <wp:simplePos x="0" y="0"/>
                <wp:positionH relativeFrom="column">
                  <wp:posOffset>5399405</wp:posOffset>
                </wp:positionH>
                <wp:positionV relativeFrom="paragraph">
                  <wp:posOffset>2115820</wp:posOffset>
                </wp:positionV>
                <wp:extent cx="488315" cy="349250"/>
                <wp:effectExtent l="0" t="0" r="0" b="0"/>
                <wp:wrapNone/>
                <wp:docPr id="105" name="文本框 105"/>
                <wp:cNvGraphicFramePr/>
                <a:graphic xmlns:a="http://schemas.openxmlformats.org/drawingml/2006/main">
                  <a:graphicData uri="http://schemas.microsoft.com/office/word/2010/wordprocessingShape">
                    <wps:wsp>
                      <wps:cNvSpPr txBox="1"/>
                      <wps:spPr>
                        <a:xfrm>
                          <a:off x="0" y="0"/>
                          <a:ext cx="488315"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9C7C5D2">
                            <w:pPr>
                              <w:rPr>
                                <w:rFonts w:hint="default" w:eastAsia="宋体"/>
                                <w:b w:val="0"/>
                                <w:bCs w:val="0"/>
                                <w:lang w:val="en-US" w:eastAsia="zh-CN"/>
                              </w:rPr>
                            </w:pPr>
                            <w:r>
                              <w:rPr>
                                <w:rFonts w:hint="eastAsia"/>
                                <w:b w:val="0"/>
                                <w:bCs w:val="0"/>
                                <w:lang w:val="en-US" w:eastAsia="zh-CN"/>
                              </w:rPr>
                              <w:t>大门</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425.15pt;margin-top:166.6pt;height:27.5pt;width:38.45pt;z-index:251724800;mso-width-relative:page;mso-height-relative:page;" filled="f" stroked="f" coordsize="21600,21600" o:gfxdata="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">
                <v:fill on="f" focussize="0,0"/>
                <v:stroke on="f" weight="0.5pt"/>
                <v:imagedata o:title=""/>
                <o:lock v:ext="edit" aspectratio="f"/>
                <v:textbox>
                  <w:txbxContent>
                    <w:p w14:paraId="69C7C5D2">
                      <w:pPr>
                        <w:rPr>
                          <w:rFonts w:hint="default" w:eastAsia="宋体"/>
                          <w:b w:val="0"/>
                          <w:bCs w:val="0"/>
                          <w:lang w:val="en-US" w:eastAsia="zh-CN"/>
                        </w:rPr>
                      </w:pPr>
                      <w:r>
                        <w:rPr>
                          <w:rFonts w:hint="eastAsia"/>
                          <w:b w:val="0"/>
                          <w:bCs w:val="0"/>
                          <w:lang w:val="en-US" w:eastAsia="zh-CN"/>
                        </w:rPr>
                        <w:t>大门</w:t>
                      </w:r>
                    </w:p>
                  </w:txbxContent>
                </v:textbox>
              </v:shape>
            </w:pict>
          </mc:Fallback>
        </mc:AlternateContent>
      </w:r>
      <w:r>
        <w:rPr>
          <w:color w:val="auto"/>
          <w:sz w:val="18"/>
          <w:highlight w:val="none"/>
        </w:rPr>
        <mc:AlternateContent>
          <mc:Choice Requires="wps">
            <w:drawing>
              <wp:anchor distT="0" distB="0" distL="114300" distR="114300" simplePos="0" relativeHeight="251723776" behindDoc="0" locked="0" layoutInCell="1" allowOverlap="1">
                <wp:simplePos x="0" y="0"/>
                <wp:positionH relativeFrom="column">
                  <wp:posOffset>5354320</wp:posOffset>
                </wp:positionH>
                <wp:positionV relativeFrom="paragraph">
                  <wp:posOffset>2099945</wp:posOffset>
                </wp:positionV>
                <wp:extent cx="372110" cy="490855"/>
                <wp:effectExtent l="10160" t="7620" r="17780" b="15875"/>
                <wp:wrapNone/>
                <wp:docPr id="104" name="直接连接符 104"/>
                <wp:cNvGraphicFramePr/>
                <a:graphic xmlns:a="http://schemas.openxmlformats.org/drawingml/2006/main">
                  <a:graphicData uri="http://schemas.microsoft.com/office/word/2010/wordprocessingShape">
                    <wps:wsp>
                      <wps:cNvCnPr/>
                      <wps:spPr>
                        <a:xfrm flipH="1" flipV="1">
                          <a:off x="0" y="0"/>
                          <a:ext cx="372110" cy="490855"/>
                        </a:xfrm>
                        <a:prstGeom prst="line">
                          <a:avLst/>
                        </a:prstGeom>
                        <a:ln>
                          <a:solidFill>
                            <a:srgbClr val="9A8A8B"/>
                          </a:solidFill>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421.6pt;margin-top:165.35pt;height:38.65pt;width:29.3pt;z-index:251723776;mso-width-relative:page;mso-height-relative:page;" filled="f" stroked="t" coordsize="21600,21600" o:gfxdata="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">
                <v:fill on="f" focussize="0,0"/>
                <v:stroke weight="2pt" color="#9A8A8B [3204]"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22752" behindDoc="0" locked="0" layoutInCell="1" allowOverlap="1">
                <wp:simplePos x="0" y="0"/>
                <wp:positionH relativeFrom="column">
                  <wp:posOffset>4950460</wp:posOffset>
                </wp:positionH>
                <wp:positionV relativeFrom="paragraph">
                  <wp:posOffset>2429510</wp:posOffset>
                </wp:positionV>
                <wp:extent cx="1131570" cy="349250"/>
                <wp:effectExtent l="0" t="0" r="0" b="0"/>
                <wp:wrapNone/>
                <wp:docPr id="103" name="文本框 103"/>
                <wp:cNvGraphicFramePr/>
                <a:graphic xmlns:a="http://schemas.openxmlformats.org/drawingml/2006/main">
                  <a:graphicData uri="http://schemas.microsoft.com/office/word/2010/wordprocessingShape">
                    <wps:wsp>
                      <wps:cNvSpPr txBox="1"/>
                      <wps:spPr>
                        <a:xfrm>
                          <a:off x="0" y="0"/>
                          <a:ext cx="113157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B6B17AE">
                            <w:pPr>
                              <w:rPr>
                                <w:rFonts w:hint="default" w:eastAsia="宋体"/>
                                <w:b w:val="0"/>
                                <w:bCs w:val="0"/>
                                <w:lang w:val="en-US" w:eastAsia="zh-CN"/>
                              </w:rPr>
                            </w:pPr>
                            <w:r>
                              <w:rPr>
                                <w:rFonts w:hint="eastAsia"/>
                                <w:b w:val="0"/>
                                <w:bCs w:val="0"/>
                                <w:lang w:val="en-US" w:eastAsia="zh-CN"/>
                              </w:rPr>
                              <w:t>清洗平台</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89.8pt;margin-top:191.3pt;height:27.5pt;width:89.1pt;z-index:251722752;mso-width-relative:page;mso-height-relative:page;" filled="f" stroked="f" coordsize="21600,21600" o:gfxdata="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J7IvhvdAAAACwEAAA8AAAAAAAAAAQAgAAAAIgAA&#10;AGRycy9kb3ducmV2LnhtbFBLAQIUABQAAAAIAIdO4kA2JrroPAIAAGoEAAAOAAAAAAAAAAEAIAAA&#10;ACwBAABkcnMvZTJvRG9jLnhtbFBLBQYAAAAABgAGAFkBAADaBQAAAAA=&#10;">
                <v:fill on="f" focussize="0,0"/>
                <v:stroke on="f" weight="0.5pt"/>
                <v:imagedata o:title=""/>
                <o:lock v:ext="edit" aspectratio="f"/>
                <v:textbox>
                  <w:txbxContent>
                    <w:p w14:paraId="0B6B17AE">
                      <w:pPr>
                        <w:rPr>
                          <w:rFonts w:hint="default" w:eastAsia="宋体"/>
                          <w:b w:val="0"/>
                          <w:bCs w:val="0"/>
                          <w:lang w:val="en-US" w:eastAsia="zh-CN"/>
                        </w:rPr>
                      </w:pPr>
                      <w:r>
                        <w:rPr>
                          <w:rFonts w:hint="eastAsia"/>
                          <w:b w:val="0"/>
                          <w:bCs w:val="0"/>
                          <w:lang w:val="en-US" w:eastAsia="zh-CN"/>
                        </w:rPr>
                        <w:t>清洗平台</w:t>
                      </w:r>
                    </w:p>
                  </w:txbxContent>
                </v:textbox>
              </v:shape>
            </w:pict>
          </mc:Fallback>
        </mc:AlternateContent>
      </w:r>
      <w:r>
        <w:rPr>
          <w:color w:val="auto"/>
          <w:sz w:val="18"/>
          <w:highlight w:val="none"/>
        </w:rPr>
        <mc:AlternateContent>
          <mc:Choice Requires="wps">
            <w:drawing>
              <wp:anchor distT="0" distB="0" distL="114300" distR="114300" simplePos="0" relativeHeight="251721728" behindDoc="0" locked="0" layoutInCell="1" allowOverlap="1">
                <wp:simplePos x="0" y="0"/>
                <wp:positionH relativeFrom="column">
                  <wp:posOffset>4744085</wp:posOffset>
                </wp:positionH>
                <wp:positionV relativeFrom="paragraph">
                  <wp:posOffset>2498090</wp:posOffset>
                </wp:positionV>
                <wp:extent cx="381000" cy="795020"/>
                <wp:effectExtent l="0" t="0" r="0" b="0"/>
                <wp:wrapNone/>
                <wp:docPr id="102" name="文本框 102"/>
                <wp:cNvGraphicFramePr/>
                <a:graphic xmlns:a="http://schemas.openxmlformats.org/drawingml/2006/main">
                  <a:graphicData uri="http://schemas.microsoft.com/office/word/2010/wordprocessingShape">
                    <wps:wsp>
                      <wps:cNvSpPr txBox="1"/>
                      <wps:spPr>
                        <a:xfrm>
                          <a:off x="0" y="0"/>
                          <a:ext cx="381000" cy="79502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D6A6311">
                            <w:pPr>
                              <w:rPr>
                                <w:rFonts w:hint="default" w:eastAsia="宋体"/>
                                <w:lang w:val="en-US" w:eastAsia="zh-CN"/>
                              </w:rPr>
                            </w:pPr>
                            <w:r>
                              <w:rPr>
                                <w:rFonts w:hint="eastAsia"/>
                                <w:lang w:val="en-US" w:eastAsia="zh-CN"/>
                              </w:rPr>
                              <w:t>封闭皮带廊</w:t>
                            </w:r>
                          </w:p>
                        </w:txbxContent>
                      </wps:txbx>
                      <wps:bodyPr rot="0" spcFirstLastPara="0" vertOverflow="overflow" horzOverflow="overflow" vert="eaVert"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373.55pt;margin-top:196.7pt;height:62.6pt;width:30pt;z-index:251721728;mso-width-relative:page;mso-height-relative:page;" filled="f" stroked="f" coordsize="21600,21600" o:gfxdata="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kd6Cd9sAAAALAQAADwAAAAAAAAABACAAAAAi&#10;AAAAZHJzL2Rvd25yZXYueG1sUEsBAhQAFAAAAAgAh07iQAgdeTZAAgAAawQAAA4AAAAAAAAAAQAg&#10;AAAAKgEAAGRycy9lMm9Eb2MueG1sUEsFBgAAAAAGAAYAWQEAANwFAAAAAA==&#10;">
                <v:fill on="f" focussize="0,0"/>
                <v:stroke on="f" weight="0.5pt"/>
                <v:imagedata o:title=""/>
                <o:lock v:ext="edit" aspectratio="f"/>
                <v:textbox style="layout-flow:vertical-ideographic;">
                  <w:txbxContent>
                    <w:p w14:paraId="0D6A6311">
                      <w:pPr>
                        <w:rPr>
                          <w:rFonts w:hint="default" w:eastAsia="宋体"/>
                          <w:lang w:val="en-US" w:eastAsia="zh-CN"/>
                        </w:rPr>
                      </w:pPr>
                      <w:r>
                        <w:rPr>
                          <w:rFonts w:hint="eastAsia"/>
                          <w:lang w:val="en-US" w:eastAsia="zh-CN"/>
                        </w:rPr>
                        <w:t>封闭皮带廊</w:t>
                      </w:r>
                    </w:p>
                  </w:txbxContent>
                </v:textbox>
              </v:shape>
            </w:pict>
          </mc:Fallback>
        </mc:AlternateContent>
      </w:r>
      <w:r>
        <w:rPr>
          <w:color w:val="auto"/>
          <w:sz w:val="18"/>
          <w:highlight w:val="none"/>
        </w:rPr>
        <mc:AlternateContent>
          <mc:Choice Requires="wps">
            <w:drawing>
              <wp:anchor distT="0" distB="0" distL="114300" distR="114300" simplePos="0" relativeHeight="251720704" behindDoc="0" locked="0" layoutInCell="1" allowOverlap="1">
                <wp:simplePos x="0" y="0"/>
                <wp:positionH relativeFrom="column">
                  <wp:posOffset>1496695</wp:posOffset>
                </wp:positionH>
                <wp:positionV relativeFrom="paragraph">
                  <wp:posOffset>3393440</wp:posOffset>
                </wp:positionV>
                <wp:extent cx="886460" cy="349250"/>
                <wp:effectExtent l="0" t="0" r="0" b="0"/>
                <wp:wrapNone/>
                <wp:docPr id="101" name="文本框 101"/>
                <wp:cNvGraphicFramePr/>
                <a:graphic xmlns:a="http://schemas.openxmlformats.org/drawingml/2006/main">
                  <a:graphicData uri="http://schemas.microsoft.com/office/word/2010/wordprocessingShape">
                    <wps:wsp>
                      <wps:cNvSpPr txBox="1"/>
                      <wps:spPr>
                        <a:xfrm>
                          <a:off x="0" y="0"/>
                          <a:ext cx="88646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C50E4E1">
                            <w:pPr>
                              <w:rPr>
                                <w:rFonts w:hint="default" w:eastAsia="宋体"/>
                                <w:b w:val="0"/>
                                <w:bCs w:val="0"/>
                                <w:lang w:val="en-US" w:eastAsia="zh-CN"/>
                              </w:rPr>
                            </w:pPr>
                            <w:r>
                              <w:rPr>
                                <w:rFonts w:hint="eastAsia"/>
                                <w:b w:val="0"/>
                                <w:bCs w:val="0"/>
                                <w:lang w:val="en-US" w:eastAsia="zh-CN"/>
                              </w:rPr>
                              <w:t>危废贮存点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7.85pt;margin-top:267.2pt;height:27.5pt;width:69.8pt;z-index:251720704;mso-width-relative:page;mso-height-relative:page;" filled="f" stroked="f" coordsize="21600,21600" o:gfxdata="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Makb790AAAALAQAADwAAAAAAAAABACAAAAAiAAAA&#10;ZHJzL2Rvd25yZXYueG1sUEsBAhQAFAAAAAgAh07iQHSqHUQ7AgAAaQQAAA4AAAAAAAAAAQAgAAAA&#10;LAEAAGRycy9lMm9Eb2MueG1sUEsFBgAAAAAGAAYAWQEAANkFAAAAAA==&#10;">
                <v:fill on="f" focussize="0,0"/>
                <v:stroke on="f" weight="0.5pt"/>
                <v:imagedata o:title=""/>
                <o:lock v:ext="edit" aspectratio="f"/>
                <v:textbox>
                  <w:txbxContent>
                    <w:p w14:paraId="0C50E4E1">
                      <w:pPr>
                        <w:rPr>
                          <w:rFonts w:hint="default" w:eastAsia="宋体"/>
                          <w:b w:val="0"/>
                          <w:bCs w:val="0"/>
                          <w:lang w:val="en-US" w:eastAsia="zh-CN"/>
                        </w:rPr>
                      </w:pPr>
                      <w:r>
                        <w:rPr>
                          <w:rFonts w:hint="eastAsia"/>
                          <w:b w:val="0"/>
                          <w:bCs w:val="0"/>
                          <w:lang w:val="en-US" w:eastAsia="zh-CN"/>
                        </w:rPr>
                        <w:t>危废贮存点</w:t>
                      </w:r>
                    </w:p>
                  </w:txbxContent>
                </v:textbox>
              </v:shape>
            </w:pict>
          </mc:Fallback>
        </mc:AlternateContent>
      </w:r>
      <w:r>
        <w:rPr>
          <w:color w:val="auto"/>
          <w:sz w:val="18"/>
          <w:highlight w:val="none"/>
        </w:rPr>
        <mc:AlternateContent>
          <mc:Choice Requires="wps">
            <w:drawing>
              <wp:anchor distT="0" distB="0" distL="114300" distR="114300" simplePos="0" relativeHeight="251719680" behindDoc="0" locked="0" layoutInCell="1" allowOverlap="1">
                <wp:simplePos x="0" y="0"/>
                <wp:positionH relativeFrom="column">
                  <wp:posOffset>2383155</wp:posOffset>
                </wp:positionH>
                <wp:positionV relativeFrom="paragraph">
                  <wp:posOffset>3503930</wp:posOffset>
                </wp:positionV>
                <wp:extent cx="566420" cy="64135"/>
                <wp:effectExtent l="635" t="4445" r="4445" b="7620"/>
                <wp:wrapNone/>
                <wp:docPr id="100" name="直接连接符 100"/>
                <wp:cNvGraphicFramePr/>
                <a:graphic xmlns:a="http://schemas.openxmlformats.org/drawingml/2006/main">
                  <a:graphicData uri="http://schemas.microsoft.com/office/word/2010/wordprocessingShape">
                    <wps:wsp>
                      <wps:cNvCnPr>
                        <a:endCxn id="101" idx="3"/>
                      </wps:cNvCnPr>
                      <wps:spPr>
                        <a:xfrm flipH="1">
                          <a:off x="0" y="0"/>
                          <a:ext cx="566420" cy="6413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margin-left:187.65pt;margin-top:275.9pt;height:5.05pt;width:44.6pt;z-index:251719680;mso-width-relative:page;mso-height-relative:page;" filled="f" stroked="t" coordsize="21600,21600" o:gfxdata="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">
                <v:fill on="f" focussize="0,0"/>
                <v:stroke color="#000000" joinstyle="round"/>
                <v:imagedata o:title=""/>
                <o:lock v:ext="edit" aspectratio="f"/>
              </v:line>
            </w:pict>
          </mc:Fallback>
        </mc:AlternateContent>
      </w:r>
      <w:r>
        <w:rPr>
          <w:color w:val="auto"/>
          <w:sz w:val="18"/>
          <w:highlight w:val="none"/>
        </w:rPr>
        <mc:AlternateContent>
          <mc:Choice Requires="wps">
            <w:drawing>
              <wp:anchor distT="0" distB="0" distL="114300" distR="114300" simplePos="0" relativeHeight="251717632" behindDoc="0" locked="0" layoutInCell="1" allowOverlap="1">
                <wp:simplePos x="0" y="0"/>
                <wp:positionH relativeFrom="column">
                  <wp:posOffset>1454150</wp:posOffset>
                </wp:positionH>
                <wp:positionV relativeFrom="paragraph">
                  <wp:posOffset>3046730</wp:posOffset>
                </wp:positionV>
                <wp:extent cx="1131570" cy="349250"/>
                <wp:effectExtent l="0" t="0" r="0" b="0"/>
                <wp:wrapNone/>
                <wp:docPr id="98" name="文本框 98"/>
                <wp:cNvGraphicFramePr/>
                <a:graphic xmlns:a="http://schemas.openxmlformats.org/drawingml/2006/main">
                  <a:graphicData uri="http://schemas.microsoft.com/office/word/2010/wordprocessingShape">
                    <wps:wsp>
                      <wps:cNvSpPr txBox="1"/>
                      <wps:spPr>
                        <a:xfrm>
                          <a:off x="0" y="0"/>
                          <a:ext cx="1131570" cy="34925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002F1A8F">
                            <w:pPr>
                              <w:rPr>
                                <w:rFonts w:hint="default" w:eastAsia="宋体"/>
                                <w:b w:val="0"/>
                                <w:bCs w:val="0"/>
                                <w:lang w:val="en-US" w:eastAsia="zh-CN"/>
                              </w:rPr>
                            </w:pPr>
                            <w:r>
                              <w:rPr>
                                <w:rFonts w:hint="eastAsia"/>
                                <w:b w:val="0"/>
                                <w:bCs w:val="0"/>
                                <w:lang w:val="en-US" w:eastAsia="zh-CN"/>
                              </w:rPr>
                              <w:t>一般固废暂存区</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14.5pt;margin-top:239.9pt;height:27.5pt;width:89.1pt;z-index:251717632;mso-width-relative:page;mso-height-relative:page;" filled="f" stroked="f" coordsize="21600,21600" o:gfxdata="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HOn/jrdAAAACwEAAA8AAAAAAAAAAQAgAAAAIgAA&#10;AGRycy9kb3ducmV2LnhtbFBLAQIUABQAAAAIAIdO4kDxANY+PAIAAGgEAAAOAAAAAAAAAAEAIAAA&#10;ACwBAABkcnMvZTJvRG9jLnhtbFBLBQYAAAAABgAGAFkBAADaBQAAAAA=&#10;">
                <v:fill on="f" focussize="0,0"/>
                <v:stroke on="f" weight="0.5pt"/>
                <v:imagedata o:title=""/>
                <o:lock v:ext="edit" aspectratio="f"/>
                <v:textbox>
                  <w:txbxContent>
                    <w:p w14:paraId="002F1A8F">
                      <w:pPr>
                        <w:rPr>
                          <w:rFonts w:hint="default" w:eastAsia="宋体"/>
                          <w:b w:val="0"/>
                          <w:bCs w:val="0"/>
                          <w:lang w:val="en-US" w:eastAsia="zh-CN"/>
                        </w:rPr>
                      </w:pPr>
                      <w:r>
                        <w:rPr>
                          <w:rFonts w:hint="eastAsia"/>
                          <w:b w:val="0"/>
                          <w:bCs w:val="0"/>
                          <w:lang w:val="en-US" w:eastAsia="zh-CN"/>
                        </w:rPr>
                        <w:t>一般固废暂存区</w:t>
                      </w:r>
                    </w:p>
                  </w:txbxContent>
                </v:textbox>
              </v:shape>
            </w:pict>
          </mc:Fallback>
        </mc:AlternateContent>
      </w:r>
      <w:r>
        <w:rPr>
          <w:color w:val="auto"/>
          <w:sz w:val="18"/>
          <w:highlight w:val="none"/>
        </w:rPr>
        <mc:AlternateContent>
          <mc:Choice Requires="wps">
            <w:drawing>
              <wp:anchor distT="0" distB="0" distL="114300" distR="114300" simplePos="0" relativeHeight="251718656" behindDoc="0" locked="0" layoutInCell="1" allowOverlap="1">
                <wp:simplePos x="0" y="0"/>
                <wp:positionH relativeFrom="column">
                  <wp:posOffset>2585720</wp:posOffset>
                </wp:positionH>
                <wp:positionV relativeFrom="paragraph">
                  <wp:posOffset>3221355</wp:posOffset>
                </wp:positionV>
                <wp:extent cx="345440" cy="62865"/>
                <wp:effectExtent l="635" t="4445" r="15875" b="8890"/>
                <wp:wrapNone/>
                <wp:docPr id="99" name="直接连接符 99"/>
                <wp:cNvGraphicFramePr/>
                <a:graphic xmlns:a="http://schemas.openxmlformats.org/drawingml/2006/main">
                  <a:graphicData uri="http://schemas.microsoft.com/office/word/2010/wordprocessingShape">
                    <wps:wsp>
                      <wps:cNvCnPr>
                        <a:endCxn id="98" idx="3"/>
                      </wps:cNvCnPr>
                      <wps:spPr>
                        <a:xfrm flipH="1" flipV="1">
                          <a:off x="0" y="0"/>
                          <a:ext cx="345440" cy="62865"/>
                        </a:xfrm>
                        <a:prstGeom prst="line">
                          <a:avLst/>
                        </a:prstGeom>
                        <a:ln w="9525"/>
                      </wps:spPr>
                      <wps:style>
                        <a:lnRef idx="2">
                          <a:prstClr val="black"/>
                        </a:lnRef>
                        <a:fillRef idx="0">
                          <a:srgbClr val="FFFFFF"/>
                        </a:fillRef>
                        <a:effectRef idx="0">
                          <a:srgbClr val="FFFFFF"/>
                        </a:effectRef>
                        <a:fontRef idx="minor">
                          <a:schemeClr val="tx1"/>
                        </a:fontRef>
                      </wps:style>
                      <wps:bodyPr/>
                    </wps:wsp>
                  </a:graphicData>
                </a:graphic>
              </wp:anchor>
            </w:drawing>
          </mc:Choice>
          <mc:Fallback>
            <w:pict>
              <v:line id="_x0000_s1026" o:spid="_x0000_s1026" o:spt="20" style="position:absolute;left:0pt;flip:x y;margin-left:203.6pt;margin-top:253.65pt;height:4.95pt;width:27.2pt;z-index:251718656;mso-width-relative:page;mso-height-relative:page;" filled="f" stroked="t" coordsize="21600,21600" o:gfxdata="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DBRxbx1QAAAAsBAAAPAAAAAAAAAAEAIAAAACIAAABkcnMvZG93bnJldi54bWxQSwEC&#10;FAAUAAAACACHTuJASqTI2vcBAADaAwAADgAAAAAAAAABACAAAAAkAQAAZHJzL2Uyb0RvYy54bWxQ&#10;SwUGAAAAAAYABgBZAQAAjQUAAAAA&#10;">
                <v:fill on="f" focussize="0,0"/>
                <v:stroke color="#000000" joinstyle="round"/>
                <v:imagedata o:title=""/>
                <o:lock v:ext="edit" aspectratio="f"/>
              </v:line>
            </w:pict>
          </mc:Fallback>
        </mc:AlternateContent>
      </w:r>
      <w:r>
        <w:rPr>
          <w:color w:val="auto"/>
          <w:sz w:val="24"/>
          <w:highlight w:val="none"/>
        </w:rPr>
        <mc:AlternateContent>
          <mc:Choice Requires="wps">
            <w:drawing>
              <wp:anchor distT="0" distB="0" distL="114300" distR="114300" simplePos="0" relativeHeight="251715584" behindDoc="0" locked="0" layoutInCell="1" allowOverlap="1">
                <wp:simplePos x="0" y="0"/>
                <wp:positionH relativeFrom="column">
                  <wp:posOffset>6227445</wp:posOffset>
                </wp:positionH>
                <wp:positionV relativeFrom="paragraph">
                  <wp:posOffset>4573270</wp:posOffset>
                </wp:positionV>
                <wp:extent cx="217170" cy="116205"/>
                <wp:effectExtent l="4445" t="4445" r="6985" b="12700"/>
                <wp:wrapNone/>
                <wp:docPr id="52" name="自选图形 74"/>
                <wp:cNvGraphicFramePr/>
                <a:graphic xmlns:a="http://schemas.openxmlformats.org/drawingml/2006/main">
                  <a:graphicData uri="http://schemas.microsoft.com/office/word/2010/wordprocessingShape">
                    <wps:wsp>
                      <wps:cNvSpPr/>
                      <wps:spPr>
                        <a:xfrm>
                          <a:off x="0" y="0"/>
                          <a:ext cx="217170" cy="116205"/>
                        </a:xfrm>
                        <a:prstGeom prst="flowChartProcess">
                          <a:avLst/>
                        </a:prstGeom>
                        <a:solidFill>
                          <a:srgbClr val="7A80E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74" o:spid="_x0000_s1026" o:spt="109" type="#_x0000_t109" style="position:absolute;left:0pt;margin-left:490.35pt;margin-top:360.1pt;height:9.15pt;width:17.1pt;z-index:251715584;mso-width-relative:page;mso-height-relative:page;" fillcolor="#7A80E0" filled="t" stroked="t" coordsize="21600,21600" o:gfxdata="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">
                <v:fill on="t" focussize="0,0"/>
                <v:stroke color="#FF0000"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14560" behindDoc="0" locked="0" layoutInCell="1" allowOverlap="1">
                <wp:simplePos x="0" y="0"/>
                <wp:positionH relativeFrom="column">
                  <wp:posOffset>6233160</wp:posOffset>
                </wp:positionH>
                <wp:positionV relativeFrom="paragraph">
                  <wp:posOffset>4375150</wp:posOffset>
                </wp:positionV>
                <wp:extent cx="217170" cy="116205"/>
                <wp:effectExtent l="4445" t="4445" r="6985" b="12700"/>
                <wp:wrapNone/>
                <wp:docPr id="49" name="自选图形 74"/>
                <wp:cNvGraphicFramePr/>
                <a:graphic xmlns:a="http://schemas.openxmlformats.org/drawingml/2006/main">
                  <a:graphicData uri="http://schemas.microsoft.com/office/word/2010/wordprocessingShape">
                    <wps:wsp>
                      <wps:cNvSpPr/>
                      <wps:spPr>
                        <a:xfrm>
                          <a:off x="0" y="0"/>
                          <a:ext cx="217170" cy="116205"/>
                        </a:xfrm>
                        <a:prstGeom prst="flowChartProcess">
                          <a:avLst/>
                        </a:prstGeom>
                        <a:solidFill>
                          <a:srgbClr val="FF0000"/>
                        </a:solid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74" o:spid="_x0000_s1026" o:spt="109" type="#_x0000_t109" style="position:absolute;left:0pt;margin-left:490.8pt;margin-top:344.5pt;height:9.15pt;width:17.1pt;z-index:251714560;mso-width-relative:page;mso-height-relative:page;" fillcolor="#FF0000" filled="t" stroked="t" coordsize="21600,21600" o:gfxdata="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UGJ1MtsAAAAMAQAADwAAAAAAAAABACAAAAAiAAAAZHJzL2Rvd25yZXYueG1sUEsB&#10;AhQAFAAAAAgAh07iQKhWl/orAgAAZAQAAA4AAAAAAAAAAQAgAAAAKgEAAGRycy9lMm9Eb2MueG1s&#10;UEsFBgAAAAAGAAYAWQEAAMcFAAAAAA==&#10;">
                <v:fill on="t" focussize="0,0"/>
                <v:stroke color="#FF0000"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13536" behindDoc="0" locked="0" layoutInCell="1" allowOverlap="1">
                <wp:simplePos x="0" y="0"/>
                <wp:positionH relativeFrom="column">
                  <wp:posOffset>6229350</wp:posOffset>
                </wp:positionH>
                <wp:positionV relativeFrom="paragraph">
                  <wp:posOffset>4185920</wp:posOffset>
                </wp:positionV>
                <wp:extent cx="217170" cy="116205"/>
                <wp:effectExtent l="4445" t="4445" r="6985" b="12700"/>
                <wp:wrapNone/>
                <wp:docPr id="48" name="自选图形 74"/>
                <wp:cNvGraphicFramePr/>
                <a:graphic xmlns:a="http://schemas.openxmlformats.org/drawingml/2006/main">
                  <a:graphicData uri="http://schemas.microsoft.com/office/word/2010/wordprocessingShape">
                    <wps:wsp>
                      <wps:cNvSpPr/>
                      <wps:spPr>
                        <a:xfrm>
                          <a:off x="0" y="0"/>
                          <a:ext cx="217170" cy="116205"/>
                        </a:xfrm>
                        <a:prstGeom prst="flowChartProcess">
                          <a:avLst/>
                        </a:prstGeom>
                        <a:no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74" o:spid="_x0000_s1026" o:spt="109" type="#_x0000_t109" style="position:absolute;left:0pt;margin-left:490.5pt;margin-top:329.6pt;height:9.15pt;width:17.1pt;z-index:251713536;mso-width-relative:page;mso-height-relative:page;" filled="f" stroked="t" coordsize="21600,21600" o:gfxdata="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32zEa9oAAAAMAQAADwAAAAAAAAABACAAAAAiAAAAZHJzL2Rvd25yZXYueG1sUEsBAhQA&#10;FAAAAAgAh07iQKAx8wQpAgAAOwQAAA4AAAAAAAAAAQAgAAAAKQEAAGRycy9lMm9Eb2MueG1sUEsF&#10;BgAAAAAGAAYAWQEAAMQFAAAAAA==&#10;">
                <v:fill on="f" focussize="0,0"/>
                <v:stroke color="#FF0000" joinstyle="miter"/>
                <v:imagedata o:title=""/>
                <o:lock v:ext="edit" aspectratio="f"/>
              </v:shape>
            </w:pict>
          </mc:Fallback>
        </mc:AlternateContent>
      </w:r>
      <w:r>
        <w:rPr>
          <w:color w:val="auto"/>
          <w:sz w:val="24"/>
          <w:highlight w:val="none"/>
        </w:rPr>
        <mc:AlternateContent>
          <mc:Choice Requires="wps">
            <w:drawing>
              <wp:anchor distT="0" distB="0" distL="114300" distR="114300" simplePos="0" relativeHeight="251712512" behindDoc="0" locked="0" layoutInCell="1" allowOverlap="1">
                <wp:simplePos x="0" y="0"/>
                <wp:positionH relativeFrom="column">
                  <wp:posOffset>6174740</wp:posOffset>
                </wp:positionH>
                <wp:positionV relativeFrom="paragraph">
                  <wp:posOffset>3904615</wp:posOffset>
                </wp:positionV>
                <wp:extent cx="1147445" cy="993140"/>
                <wp:effectExtent l="4445" t="4445" r="10160" b="12065"/>
                <wp:wrapNone/>
                <wp:docPr id="47" name="文本框 72"/>
                <wp:cNvGraphicFramePr/>
                <a:graphic xmlns:a="http://schemas.openxmlformats.org/drawingml/2006/main">
                  <a:graphicData uri="http://schemas.microsoft.com/office/word/2010/wordprocessingShape">
                    <wps:wsp>
                      <wps:cNvSpPr txBox="1"/>
                      <wps:spPr>
                        <a:xfrm>
                          <a:off x="0" y="0"/>
                          <a:ext cx="1147445" cy="993140"/>
                        </a:xfrm>
                        <a:prstGeom prst="rect">
                          <a:avLst/>
                        </a:prstGeom>
                        <a:solidFill>
                          <a:srgbClr val="FFFFFF">
                            <a:alpha val="50000"/>
                          </a:srgbClr>
                        </a:solidFill>
                        <a:ln w="9525" cap="flat" cmpd="sng">
                          <a:solidFill>
                            <a:srgbClr val="000000"/>
                          </a:solidFill>
                          <a:prstDash val="solid"/>
                          <a:miter/>
                          <a:headEnd type="none" w="med" len="med"/>
                          <a:tailEnd type="none" w="med" len="med"/>
                        </a:ln>
                      </wps:spPr>
                      <wps:txbx>
                        <w:txbxContent>
                          <w:p w14:paraId="6F76096E">
                            <w:pPr>
                              <w:jc w:val="center"/>
                            </w:pPr>
                            <w:r>
                              <w:rPr>
                                <w:rFonts w:hint="eastAsia"/>
                              </w:rPr>
                              <w:t>图例</w:t>
                            </w:r>
                          </w:p>
                          <w:p w14:paraId="2A452726">
                            <w:pPr>
                              <w:ind w:firstLine="420" w:firstLineChars="200"/>
                            </w:pPr>
                            <w:r>
                              <w:rPr>
                                <w:rFonts w:hint="eastAsia"/>
                              </w:rPr>
                              <w:t>本项目厂界</w:t>
                            </w:r>
                          </w:p>
                          <w:p w14:paraId="6B6534BB">
                            <w:pPr>
                              <w:pStyle w:val="11"/>
                              <w:spacing w:after="0" w:line="240" w:lineRule="auto"/>
                              <w:ind w:left="0" w:leftChars="0" w:firstLine="420" w:firstLineChars="200"/>
                              <w:rPr>
                                <w:rFonts w:hint="eastAsia" w:eastAsia="宋体"/>
                                <w:lang w:eastAsia="zh-CN"/>
                              </w:rPr>
                            </w:pPr>
                            <w:r>
                              <w:rPr>
                                <w:rFonts w:hint="eastAsia"/>
                                <w:lang w:val="en-US" w:eastAsia="zh-CN"/>
                              </w:rPr>
                              <w:t>重点防渗区</w:t>
                            </w:r>
                          </w:p>
                          <w:p w14:paraId="17BE0B3B">
                            <w:pPr>
                              <w:ind w:firstLine="420" w:firstLineChars="200"/>
                              <w:rPr>
                                <w:rFonts w:hint="eastAsia" w:eastAsia="宋体"/>
                                <w:lang w:eastAsia="zh-CN"/>
                              </w:rPr>
                            </w:pPr>
                            <w:r>
                              <w:rPr>
                                <w:rFonts w:hint="eastAsia"/>
                                <w:lang w:val="en-US" w:eastAsia="zh-CN"/>
                              </w:rPr>
                              <w:t>一般防渗区</w:t>
                            </w:r>
                          </w:p>
                          <w:p w14:paraId="20AE8E89">
                            <w:pPr>
                              <w:ind w:firstLine="420" w:firstLineChars="200"/>
                            </w:pPr>
                          </w:p>
                        </w:txbxContent>
                      </wps:txbx>
                      <wps:bodyPr vert="horz" wrap="square" anchor="t" anchorCtr="0" upright="1"/>
                    </wps:wsp>
                  </a:graphicData>
                </a:graphic>
              </wp:anchor>
            </w:drawing>
          </mc:Choice>
          <mc:Fallback>
            <w:pict>
              <v:shape id="文本框 72" o:spid="_x0000_s1026" o:spt="202" type="#_x0000_t202" style="position:absolute;left:0pt;margin-left:486.2pt;margin-top:307.45pt;height:78.2pt;width:90.35pt;z-index:251712512;mso-width-relative:page;mso-height-relative:page;" fillcolor="#FFFFFF" filled="t" stroked="t" coordsize="21600,21600" o:gfxdata="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AxywZ3aAAAADAEAAA8AAAAAAAAAAQAgAAAAIgAAAGRycy9k&#10;b3ducmV2LnhtbFBLAQIUABQAAAAIAIdO4kBrF1FZOQIAAIwEAAAOAAAAAAAAAAEAIAAAACkBAABk&#10;cnMvZTJvRG9jLnhtbFBLBQYAAAAABgAGAFkBAADUBQAAAAA=&#10;">
                <v:fill on="t" opacity="32768f" focussize="0,0"/>
                <v:stroke color="#000000" joinstyle="miter"/>
                <v:imagedata o:title=""/>
                <o:lock v:ext="edit" aspectratio="f"/>
                <v:textbox>
                  <w:txbxContent>
                    <w:p w14:paraId="6F76096E">
                      <w:pPr>
                        <w:jc w:val="center"/>
                      </w:pPr>
                      <w:r>
                        <w:rPr>
                          <w:rFonts w:hint="eastAsia"/>
                        </w:rPr>
                        <w:t>图例</w:t>
                      </w:r>
                    </w:p>
                    <w:p w14:paraId="2A452726">
                      <w:pPr>
                        <w:ind w:firstLine="420" w:firstLineChars="200"/>
                      </w:pPr>
                      <w:r>
                        <w:rPr>
                          <w:rFonts w:hint="eastAsia"/>
                        </w:rPr>
                        <w:t>本项目厂界</w:t>
                      </w:r>
                    </w:p>
                    <w:p w14:paraId="6B6534BB">
                      <w:pPr>
                        <w:pStyle w:val="11"/>
                        <w:spacing w:after="0" w:line="240" w:lineRule="auto"/>
                        <w:ind w:left="0" w:leftChars="0" w:firstLine="420" w:firstLineChars="200"/>
                        <w:rPr>
                          <w:rFonts w:hint="eastAsia" w:eastAsia="宋体"/>
                          <w:lang w:eastAsia="zh-CN"/>
                        </w:rPr>
                      </w:pPr>
                      <w:r>
                        <w:rPr>
                          <w:rFonts w:hint="eastAsia"/>
                          <w:lang w:val="en-US" w:eastAsia="zh-CN"/>
                        </w:rPr>
                        <w:t>重点防渗区</w:t>
                      </w:r>
                    </w:p>
                    <w:p w14:paraId="17BE0B3B">
                      <w:pPr>
                        <w:ind w:firstLine="420" w:firstLineChars="200"/>
                        <w:rPr>
                          <w:rFonts w:hint="eastAsia" w:eastAsia="宋体"/>
                          <w:lang w:eastAsia="zh-CN"/>
                        </w:rPr>
                      </w:pPr>
                      <w:r>
                        <w:rPr>
                          <w:rFonts w:hint="eastAsia"/>
                          <w:lang w:val="en-US" w:eastAsia="zh-CN"/>
                        </w:rPr>
                        <w:t>一般防渗区</w:t>
                      </w:r>
                    </w:p>
                    <w:p w14:paraId="20AE8E89">
                      <w:pPr>
                        <w:ind w:firstLine="420" w:firstLineChars="200"/>
                      </w:pPr>
                    </w:p>
                  </w:txbxContent>
                </v:textbox>
              </v:shape>
            </w:pict>
          </mc:Fallback>
        </mc:AlternateContent>
      </w:r>
      <w:r>
        <w:rPr>
          <w:color w:val="auto"/>
          <w:sz w:val="24"/>
          <w:highlight w:val="none"/>
        </w:rPr>
        <mc:AlternateContent>
          <mc:Choice Requires="wps">
            <w:drawing>
              <wp:anchor distT="0" distB="0" distL="114300" distR="114300" simplePos="0" relativeHeight="251711488" behindDoc="0" locked="0" layoutInCell="1" allowOverlap="1">
                <wp:simplePos x="0" y="0"/>
                <wp:positionH relativeFrom="column">
                  <wp:posOffset>6687185</wp:posOffset>
                </wp:positionH>
                <wp:positionV relativeFrom="paragraph">
                  <wp:posOffset>-62230</wp:posOffset>
                </wp:positionV>
                <wp:extent cx="713740" cy="1064260"/>
                <wp:effectExtent l="0" t="0" r="0" b="0"/>
                <wp:wrapNone/>
                <wp:docPr id="42" name="文本框 42"/>
                <wp:cNvGraphicFramePr/>
                <a:graphic xmlns:a="http://schemas.openxmlformats.org/drawingml/2006/main">
                  <a:graphicData uri="http://schemas.microsoft.com/office/word/2010/wordprocessingShape">
                    <wps:wsp>
                      <wps:cNvSpPr txBox="1"/>
                      <wps:spPr>
                        <a:xfrm>
                          <a:off x="0" y="0"/>
                          <a:ext cx="713740" cy="106426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11CFE698">
                            <w:r>
                              <w:rPr>
                                <w:rFonts w:hint="eastAsia"/>
                              </w:rPr>
                              <w:drawing>
                                <wp:inline distT="0" distB="0" distL="114300" distR="114300">
                                  <wp:extent cx="520700" cy="818515"/>
                                  <wp:effectExtent l="0" t="0" r="12700" b="635"/>
                                  <wp:docPr id="45" name="图片 56" descr="抚顺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6" descr="抚顺风玫瑰"/>
                                          <pic:cNvPicPr>
                                            <a:picLocks noChangeAspect="1"/>
                                          </pic:cNvPicPr>
                                        </pic:nvPicPr>
                                        <pic:blipFill>
                                          <a:blip r:embed="rId49"/>
                                          <a:stretch>
                                            <a:fillRect/>
                                          </a:stretch>
                                        </pic:blipFill>
                                        <pic:spPr>
                                          <a:xfrm>
                                            <a:off x="0" y="0"/>
                                            <a:ext cx="520700" cy="8185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6.55pt;margin-top:-4.9pt;height:83.8pt;width:56.2pt;z-index:251711488;mso-width-relative:page;mso-height-relative:page;" filled="f" stroked="f" coordsize="21600,21600" o:gfxdata="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bIIddsAAAAMAQAADwAAAAAAAAABACAAAAAiAAAA&#10;ZHJzL2Rvd25yZXYueG1sUEsBAhQAFAAAAAgAh07iQNBi5Dk9AgAAaAQAAA4AAAAAAAAAAQAgAAAA&#10;KgEAAGRycy9lMm9Eb2MueG1sUEsFBgAAAAAGAAYAWQEAANkFAAAAAA==&#10;">
                <v:fill on="f" focussize="0,0"/>
                <v:stroke on="f" weight="0.5pt"/>
                <v:imagedata o:title=""/>
                <o:lock v:ext="edit" aspectratio="f"/>
                <v:textbox>
                  <w:txbxContent>
                    <w:p w14:paraId="11CFE698">
                      <w:r>
                        <w:rPr>
                          <w:rFonts w:hint="eastAsia"/>
                        </w:rPr>
                        <w:drawing>
                          <wp:inline distT="0" distB="0" distL="114300" distR="114300">
                            <wp:extent cx="520700" cy="818515"/>
                            <wp:effectExtent l="0" t="0" r="12700" b="635"/>
                            <wp:docPr id="45" name="图片 56" descr="抚顺风玫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56" descr="抚顺风玫瑰"/>
                                    <pic:cNvPicPr>
                                      <a:picLocks noChangeAspect="1"/>
                                    </pic:cNvPicPr>
                                  </pic:nvPicPr>
                                  <pic:blipFill>
                                    <a:blip r:embed="rId49"/>
                                    <a:stretch>
                                      <a:fillRect/>
                                    </a:stretch>
                                  </pic:blipFill>
                                  <pic:spPr>
                                    <a:xfrm>
                                      <a:off x="0" y="0"/>
                                      <a:ext cx="520700" cy="818515"/>
                                    </a:xfrm>
                                    <a:prstGeom prst="rect">
                                      <a:avLst/>
                                    </a:prstGeom>
                                    <a:noFill/>
                                    <a:ln>
                                      <a:noFill/>
                                    </a:ln>
                                  </pic:spPr>
                                </pic:pic>
                              </a:graphicData>
                            </a:graphic>
                          </wp:inline>
                        </w:drawing>
                      </w:r>
                    </w:p>
                  </w:txbxContent>
                </v:textbox>
              </v:shape>
            </w:pict>
          </mc:Fallback>
        </mc:AlternateContent>
      </w:r>
    </w:p>
    <w:p w14:paraId="70581F7A">
      <w:pPr>
        <w:rPr>
          <w:b/>
          <w:bCs/>
          <w:color w:val="auto"/>
          <w:sz w:val="24"/>
          <w:highlight w:val="none"/>
        </w:rPr>
        <w:sectPr>
          <w:pgSz w:w="16838" w:h="11906" w:orient="landscape"/>
          <w:pgMar w:top="1304" w:right="1418" w:bottom="1304" w:left="1418" w:header="851" w:footer="992" w:gutter="0"/>
          <w:pgNumType w:fmt="decimal"/>
          <w:cols w:space="720" w:num="1"/>
          <w:docGrid w:type="lines" w:linePitch="312" w:charSpace="0"/>
        </w:sectPr>
      </w:pPr>
    </w:p>
    <w:p w14:paraId="42A37ED5">
      <w:pPr>
        <w:pStyle w:val="23"/>
        <w:keepNext w:val="0"/>
        <w:keepLines w:val="0"/>
        <w:pageBreakBefore w:val="0"/>
        <w:widowControl/>
        <w:tabs>
          <w:tab w:val="left" w:pos="7434"/>
        </w:tabs>
        <w:kinsoku/>
        <w:wordWrap w:val="0"/>
        <w:overflowPunct/>
        <w:topLinePunct w:val="0"/>
        <w:autoSpaceDE/>
        <w:autoSpaceDN/>
        <w:bidi w:val="0"/>
        <w:adjustRightInd/>
        <w:snapToGrid/>
        <w:spacing w:after="157" w:afterLines="50"/>
        <w:ind w:left="0"/>
        <w:textAlignment w:val="auto"/>
        <w:outlineLvl w:val="0"/>
        <w:rPr>
          <w:rFonts w:ascii="Times New Roman" w:hAnsi="Times New Roman"/>
          <w:b/>
          <w:bCs/>
          <w:color w:val="000000" w:themeColor="text1"/>
          <w:sz w:val="24"/>
          <w:szCs w:val="24"/>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79744" behindDoc="0" locked="0" layoutInCell="1" allowOverlap="1">
                <wp:simplePos x="0" y="0"/>
                <wp:positionH relativeFrom="column">
                  <wp:posOffset>7380605</wp:posOffset>
                </wp:positionH>
                <wp:positionV relativeFrom="paragraph">
                  <wp:posOffset>254635</wp:posOffset>
                </wp:positionV>
                <wp:extent cx="914400" cy="1282700"/>
                <wp:effectExtent l="0" t="0" r="0" b="0"/>
                <wp:wrapNone/>
                <wp:docPr id="18" name="文本框 18"/>
                <wp:cNvGraphicFramePr/>
                <a:graphic xmlns:a="http://schemas.openxmlformats.org/drawingml/2006/main">
                  <a:graphicData uri="http://schemas.microsoft.com/office/word/2010/wordprocessingShape">
                    <wps:wsp>
                      <wps:cNvSpPr txBox="1"/>
                      <wps:spPr>
                        <a:xfrm>
                          <a:off x="8226425" y="828675"/>
                          <a:ext cx="914400" cy="12827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D5EC766">
                            <w:r>
                              <w:rPr>
                                <w:rFonts w:hint="eastAsia"/>
                              </w:rPr>
                              <w:drawing>
                                <wp:inline distT="0" distB="0" distL="114300" distR="114300">
                                  <wp:extent cx="734060" cy="1155700"/>
                                  <wp:effectExtent l="0" t="0" r="12700" b="2540"/>
                                  <wp:docPr id="1771937013" name="图片 50" descr="5f56fa6e2a742f49190ea7231f8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37013" name="图片 50" descr="5f56fa6e2a742f49190ea7231f89774"/>
                                          <pic:cNvPicPr>
                                            <a:picLocks noChangeAspect="1"/>
                                          </pic:cNvPicPr>
                                        </pic:nvPicPr>
                                        <pic:blipFill>
                                          <a:blip r:embed="rId49"/>
                                          <a:stretch>
                                            <a:fillRect/>
                                          </a:stretch>
                                        </pic:blipFill>
                                        <pic:spPr>
                                          <a:xfrm>
                                            <a:off x="0" y="0"/>
                                            <a:ext cx="734060" cy="11557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81.15pt;margin-top:20.05pt;height:101pt;width:72pt;z-index:251679744;mso-width-relative:page;mso-height-relative:page;" filled="f" stroked="f" coordsize="21600,21600" o:gfxdata="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ClCUQHbAAAADAEAAA8AAAAAAAAAAQAg&#10;AAAAIgAAAGRycy9kb3ducmV2LnhtbFBLAQIUABQAAAAIAIdO4kAE+81cRAIAAHMEAAAOAAAAAAAA&#10;AAEAIAAAACoBAABkcnMvZTJvRG9jLnhtbFBLBQYAAAAABgAGAFkBAADgBQAAAAA=&#10;">
                <v:fill on="f" focussize="0,0"/>
                <v:stroke on="f" weight="0.5pt"/>
                <v:imagedata o:title=""/>
                <o:lock v:ext="edit" aspectratio="f"/>
                <v:textbox>
                  <w:txbxContent>
                    <w:p w14:paraId="4D5EC766">
                      <w:r>
                        <w:rPr>
                          <w:rFonts w:hint="eastAsia"/>
                        </w:rPr>
                        <w:drawing>
                          <wp:inline distT="0" distB="0" distL="114300" distR="114300">
                            <wp:extent cx="734060" cy="1155700"/>
                            <wp:effectExtent l="0" t="0" r="12700" b="2540"/>
                            <wp:docPr id="1771937013" name="图片 50" descr="5f56fa6e2a742f49190ea7231f89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937013" name="图片 50" descr="5f56fa6e2a742f49190ea7231f89774"/>
                                    <pic:cNvPicPr>
                                      <a:picLocks noChangeAspect="1"/>
                                    </pic:cNvPicPr>
                                  </pic:nvPicPr>
                                  <pic:blipFill>
                                    <a:blip r:embed="rId49"/>
                                    <a:stretch>
                                      <a:fillRect/>
                                    </a:stretch>
                                  </pic:blipFill>
                                  <pic:spPr>
                                    <a:xfrm>
                                      <a:off x="0" y="0"/>
                                      <a:ext cx="734060" cy="1155700"/>
                                    </a:xfrm>
                                    <a:prstGeom prst="rect">
                                      <a:avLst/>
                                    </a:prstGeom>
                                    <a:noFill/>
                                    <a:ln>
                                      <a:noFill/>
                                    </a:ln>
                                  </pic:spPr>
                                </pic:pic>
                              </a:graphicData>
                            </a:graphic>
                          </wp:inline>
                        </w:drawing>
                      </w:r>
                    </w:p>
                  </w:txbxContent>
                </v:textbox>
              </v:shape>
            </w:pict>
          </mc:Fallback>
        </mc:AlternateContent>
      </w:r>
      <w:r>
        <w:rPr>
          <w:rFonts w:ascii="Times New Roman" w:hAnsi="Times New Roman"/>
          <w:b/>
          <w:bCs/>
          <w:color w:val="000000" w:themeColor="text1"/>
          <w:sz w:val="24"/>
          <w:szCs w:val="24"/>
          <w:highlight w:val="none"/>
          <w14:textFill>
            <w14:solidFill>
              <w14:schemeClr w14:val="tx1"/>
            </w14:solidFill>
          </w14:textFill>
        </w:rPr>
        <w:t>附图</w:t>
      </w:r>
      <w:r>
        <w:rPr>
          <w:rFonts w:hint="eastAsia" w:ascii="Times New Roman" w:hAnsi="Times New Roman"/>
          <w:b/>
          <w:bCs/>
          <w:color w:val="000000" w:themeColor="text1"/>
          <w:sz w:val="24"/>
          <w:szCs w:val="24"/>
          <w:highlight w:val="none"/>
          <w14:textFill>
            <w14:solidFill>
              <w14:schemeClr w14:val="tx1"/>
            </w14:solidFill>
          </w14:textFill>
        </w:rPr>
        <w:t>6</w:t>
      </w:r>
      <w:r>
        <w:rPr>
          <w:rFonts w:ascii="Times New Roman" w:hAnsi="Times New Roman"/>
          <w:b/>
          <w:bCs/>
          <w:color w:val="000000" w:themeColor="text1"/>
          <w:sz w:val="24"/>
          <w:szCs w:val="24"/>
          <w:highlight w:val="none"/>
          <w14:textFill>
            <w14:solidFill>
              <w14:schemeClr w14:val="tx1"/>
            </w14:solidFill>
          </w14:textFill>
        </w:rPr>
        <w:t xml:space="preserve"> </w:t>
      </w:r>
      <w:r>
        <w:rPr>
          <w:rFonts w:hint="eastAsia" w:ascii="Times New Roman" w:hAnsi="Times New Roman"/>
          <w:b/>
          <w:bCs/>
          <w:color w:val="000000" w:themeColor="text1"/>
          <w:sz w:val="24"/>
          <w:szCs w:val="24"/>
          <w:highlight w:val="none"/>
          <w:lang w:val="en-US" w:eastAsia="zh-CN"/>
          <w14:textFill>
            <w14:solidFill>
              <w14:schemeClr w14:val="tx1"/>
            </w14:solidFill>
          </w14:textFill>
        </w:rPr>
        <w:t>引用</w:t>
      </w:r>
      <w:r>
        <w:rPr>
          <w:rFonts w:hint="eastAsia" w:ascii="Times New Roman" w:hAnsi="Times New Roman"/>
          <w:b/>
          <w:bCs/>
          <w:color w:val="000000" w:themeColor="text1"/>
          <w:sz w:val="24"/>
          <w:szCs w:val="24"/>
          <w:highlight w:val="none"/>
          <w14:textFill>
            <w14:solidFill>
              <w14:schemeClr w14:val="tx1"/>
            </w14:solidFill>
          </w14:textFill>
        </w:rPr>
        <w:t>监测点位</w:t>
      </w:r>
      <w:r>
        <w:rPr>
          <w:rFonts w:ascii="Times New Roman" w:hAnsi="Times New Roman"/>
          <w:b/>
          <w:bCs/>
          <w:color w:val="000000" w:themeColor="text1"/>
          <w:sz w:val="24"/>
          <w:szCs w:val="24"/>
          <w:highlight w:val="none"/>
          <w14:textFill>
            <w14:solidFill>
              <w14:schemeClr w14:val="tx1"/>
            </w14:solidFill>
          </w14:textFill>
        </w:rPr>
        <w:t>图</w:t>
      </w:r>
    </w:p>
    <w:p w14:paraId="693B3DE9">
      <w:pPr>
        <w:pStyle w:val="23"/>
        <w:tabs>
          <w:tab w:val="left" w:pos="7434"/>
        </w:tabs>
        <w:ind w:left="0"/>
        <w:jc w:val="center"/>
        <w:rPr>
          <w:rFonts w:ascii="Times New Roman" w:hAnsi="Times New Roman"/>
          <w:color w:val="000000" w:themeColor="text1"/>
          <w:sz w:val="24"/>
          <w:szCs w:val="24"/>
          <w:highlight w:val="none"/>
          <w14:textFill>
            <w14:solidFill>
              <w14:schemeClr w14:val="tx1"/>
            </w14:solidFill>
          </w14:textFill>
        </w:rPr>
      </w:pP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8960" behindDoc="0" locked="0" layoutInCell="1" allowOverlap="1">
                <wp:simplePos x="0" y="0"/>
                <wp:positionH relativeFrom="column">
                  <wp:posOffset>3469640</wp:posOffset>
                </wp:positionH>
                <wp:positionV relativeFrom="paragraph">
                  <wp:posOffset>2442845</wp:posOffset>
                </wp:positionV>
                <wp:extent cx="829945" cy="238125"/>
                <wp:effectExtent l="0" t="0" r="0" b="0"/>
                <wp:wrapNone/>
                <wp:docPr id="56" name="文本框 71"/>
                <wp:cNvGraphicFramePr/>
                <a:graphic xmlns:a="http://schemas.openxmlformats.org/drawingml/2006/main">
                  <a:graphicData uri="http://schemas.microsoft.com/office/word/2010/wordprocessingShape">
                    <wps:wsp>
                      <wps:cNvSpPr txBox="1"/>
                      <wps:spPr>
                        <a:xfrm>
                          <a:off x="0" y="0"/>
                          <a:ext cx="829945" cy="238125"/>
                        </a:xfrm>
                        <a:prstGeom prst="rect">
                          <a:avLst/>
                        </a:prstGeom>
                        <a:noFill/>
                        <a:ln>
                          <a:noFill/>
                        </a:ln>
                      </wps:spPr>
                      <wps:txbx>
                        <w:txbxContent>
                          <w:p w14:paraId="2E6B8D64">
                            <w:pPr>
                              <w:rPr>
                                <w:b/>
                                <w:bCs/>
                                <w:color w:val="FF0000"/>
                                <w:sz w:val="21"/>
                                <w:szCs w:val="21"/>
                              </w:rPr>
                            </w:pPr>
                            <w:r>
                              <w:rPr>
                                <w:rFonts w:hint="eastAsia"/>
                                <w:b/>
                                <w:bCs/>
                                <w:color w:val="FF0000"/>
                                <w:sz w:val="21"/>
                                <w:szCs w:val="21"/>
                                <w:lang w:val="en-US" w:eastAsia="zh-CN"/>
                              </w:rPr>
                              <w:t>2092</w:t>
                            </w:r>
                            <w:r>
                              <w:rPr>
                                <w:rFonts w:hint="eastAsia"/>
                                <w:b/>
                                <w:bCs/>
                                <w:color w:val="FF0000"/>
                                <w:sz w:val="21"/>
                                <w:szCs w:val="21"/>
                              </w:rPr>
                              <w:t>m</w:t>
                            </w:r>
                          </w:p>
                        </w:txbxContent>
                      </wps:txbx>
                      <wps:bodyPr vert="horz" wrap="square" anchor="t" anchorCtr="0" upright="1"/>
                    </wps:wsp>
                  </a:graphicData>
                </a:graphic>
              </wp:anchor>
            </w:drawing>
          </mc:Choice>
          <mc:Fallback>
            <w:pict>
              <v:shape id="文本框 71" o:spid="_x0000_s1026" o:spt="202" type="#_x0000_t202" style="position:absolute;left:0pt;margin-left:273.2pt;margin-top:192.35pt;height:18.75pt;width:65.35pt;z-index:251688960;mso-width-relative:page;mso-height-relative:page;" filled="f" stroked="f" coordsize="21600,21600" o:gfxdata="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BhHaCs2QAAAAsBAAAPAAAAAAAAAAEAIAAAACIAAABk&#10;cnMvZG93bnJldi54bWxQSwECFAAUAAAACACHTuJA2VfaWMwBAACCAwAADgAAAAAAAAABACAAAAAo&#10;AQAAZHJzL2Uyb0RvYy54bWxQSwUGAAAAAAYABgBZAQAAZgUAAAAA&#10;">
                <v:fill on="f" focussize="0,0"/>
                <v:stroke on="f"/>
                <v:imagedata o:title=""/>
                <o:lock v:ext="edit" aspectratio="f"/>
                <v:textbox>
                  <w:txbxContent>
                    <w:p w14:paraId="2E6B8D64">
                      <w:pPr>
                        <w:rPr>
                          <w:b/>
                          <w:bCs/>
                          <w:color w:val="FF0000"/>
                          <w:sz w:val="21"/>
                          <w:szCs w:val="21"/>
                        </w:rPr>
                      </w:pPr>
                      <w:r>
                        <w:rPr>
                          <w:rFonts w:hint="eastAsia"/>
                          <w:b/>
                          <w:bCs/>
                          <w:color w:val="FF0000"/>
                          <w:sz w:val="21"/>
                          <w:szCs w:val="21"/>
                          <w:lang w:val="en-US" w:eastAsia="zh-CN"/>
                        </w:rPr>
                        <w:t>2092</w:t>
                      </w:r>
                      <w:r>
                        <w:rPr>
                          <w:rFonts w:hint="eastAsia"/>
                          <w:b/>
                          <w:bCs/>
                          <w:color w:val="FF0000"/>
                          <w:sz w:val="21"/>
                          <w:szCs w:val="21"/>
                        </w:rPr>
                        <w:t>m</w:t>
                      </w:r>
                    </w:p>
                  </w:txbxContent>
                </v:textbox>
              </v:shape>
            </w:pict>
          </mc:Fallback>
        </mc:AlternateContent>
      </w:r>
      <w:r>
        <w:rPr>
          <w:sz w:val="24"/>
          <w:highlight w:val="none"/>
        </w:rPr>
        <mc:AlternateContent>
          <mc:Choice Requires="wps">
            <w:drawing>
              <wp:anchor distT="0" distB="0" distL="114300" distR="114300" simplePos="0" relativeHeight="251687936" behindDoc="0" locked="0" layoutInCell="1" allowOverlap="1">
                <wp:simplePos x="0" y="0"/>
                <wp:positionH relativeFrom="column">
                  <wp:posOffset>1455420</wp:posOffset>
                </wp:positionH>
                <wp:positionV relativeFrom="paragraph">
                  <wp:posOffset>2192655</wp:posOffset>
                </wp:positionV>
                <wp:extent cx="5027295" cy="1272540"/>
                <wp:effectExtent l="3175" t="12065" r="13970" b="41275"/>
                <wp:wrapNone/>
                <wp:docPr id="55" name="直接箭头连接符 55"/>
                <wp:cNvGraphicFramePr/>
                <a:graphic xmlns:a="http://schemas.openxmlformats.org/drawingml/2006/main">
                  <a:graphicData uri="http://schemas.microsoft.com/office/word/2010/wordprocessingShape">
                    <wps:wsp>
                      <wps:cNvCnPr/>
                      <wps:spPr>
                        <a:xfrm>
                          <a:off x="2355850" y="3390265"/>
                          <a:ext cx="5027295" cy="1272540"/>
                        </a:xfrm>
                        <a:prstGeom prst="straightConnector1">
                          <a:avLst/>
                        </a:prstGeom>
                        <a:ln>
                          <a:solidFill>
                            <a:srgbClr val="FF0000"/>
                          </a:solidFill>
                          <a:tailEnd type="arrow"/>
                        </a:ln>
                      </wps:spPr>
                      <wps:style>
                        <a:lnRef idx="2">
                          <a:schemeClr val="accent1"/>
                        </a:lnRef>
                        <a:fillRef idx="0">
                          <a:srgbClr val="FFFFFF"/>
                        </a:fillRef>
                        <a:effectRef idx="0">
                          <a:srgbClr val="FFFFFF"/>
                        </a:effectRef>
                        <a:fontRef idx="minor">
                          <a:schemeClr val="tx1"/>
                        </a:fontRef>
                      </wps:style>
                      <wps:bodyPr/>
                    </wps:wsp>
                  </a:graphicData>
                </a:graphic>
              </wp:anchor>
            </w:drawing>
          </mc:Choice>
          <mc:Fallback>
            <w:pict>
              <v:shape id="_x0000_s1026" o:spid="_x0000_s1026" o:spt="32" type="#_x0000_t32" style="position:absolute;left:0pt;margin-left:114.6pt;margin-top:172.65pt;height:100.2pt;width:395.85pt;z-index:251687936;mso-width-relative:page;mso-height-relative:page;" filled="f" stroked="t" coordsize="21600,21600" o:gfxdata="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">
                <v:fill on="f" focussize="0,0"/>
                <v:stroke weight="2pt" color="#FF0000 [3204]" joinstyle="round" endarrow="open"/>
                <v:imagedata o:title=""/>
                <o:lock v:ext="edit" aspectratio="f"/>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4864" behindDoc="0" locked="0" layoutInCell="1" allowOverlap="1">
                <wp:simplePos x="0" y="0"/>
                <wp:positionH relativeFrom="column">
                  <wp:posOffset>6718935</wp:posOffset>
                </wp:positionH>
                <wp:positionV relativeFrom="paragraph">
                  <wp:posOffset>4408170</wp:posOffset>
                </wp:positionV>
                <wp:extent cx="497840" cy="445770"/>
                <wp:effectExtent l="0" t="0" r="0" b="0"/>
                <wp:wrapNone/>
                <wp:docPr id="64" name="文本框 64"/>
                <wp:cNvGraphicFramePr/>
                <a:graphic xmlns:a="http://schemas.openxmlformats.org/drawingml/2006/main">
                  <a:graphicData uri="http://schemas.microsoft.com/office/word/2010/wordprocessingShape">
                    <wps:wsp>
                      <wps:cNvSpPr txBox="1"/>
                      <wps:spPr>
                        <a:xfrm>
                          <a:off x="7693660" y="5074920"/>
                          <a:ext cx="497840" cy="4457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6EAE555">
                            <w:r>
                              <w:drawing>
                                <wp:inline distT="0" distB="0" distL="114300" distR="114300">
                                  <wp:extent cx="189865" cy="215900"/>
                                  <wp:effectExtent l="0" t="0" r="8255" b="12700"/>
                                  <wp:docPr id="16485604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560457" name="图片 16"/>
                                          <pic:cNvPicPr>
                                            <a:picLocks noChangeAspect="1"/>
                                          </pic:cNvPicPr>
                                        </pic:nvPicPr>
                                        <pic:blipFill>
                                          <a:blip r:embed="rId54"/>
                                          <a:stretch>
                                            <a:fillRect/>
                                          </a:stretch>
                                        </pic:blipFill>
                                        <pic:spPr>
                                          <a:xfrm>
                                            <a:off x="0" y="0"/>
                                            <a:ext cx="189865" cy="2159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29.05pt;margin-top:347.1pt;height:35.1pt;width:39.2pt;z-index:251684864;mso-width-relative:page;mso-height-relative:page;" filled="f" stroked="f" coordsize="21600,21600" o:gfxdata="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">
                <v:fill on="f" focussize="0,0"/>
                <v:stroke on="f" weight="0.5pt"/>
                <v:imagedata o:title=""/>
                <o:lock v:ext="edit" aspectratio="f"/>
                <v:textbox>
                  <w:txbxContent>
                    <w:p w14:paraId="26EAE555">
                      <w:r>
                        <w:drawing>
                          <wp:inline distT="0" distB="0" distL="114300" distR="114300">
                            <wp:extent cx="189865" cy="215900"/>
                            <wp:effectExtent l="0" t="0" r="8255" b="12700"/>
                            <wp:docPr id="164856045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560457" name="图片 16"/>
                                    <pic:cNvPicPr>
                                      <a:picLocks noChangeAspect="1"/>
                                    </pic:cNvPicPr>
                                  </pic:nvPicPr>
                                  <pic:blipFill>
                                    <a:blip r:embed="rId54"/>
                                    <a:stretch>
                                      <a:fillRect/>
                                    </a:stretch>
                                  </pic:blipFill>
                                  <pic:spPr>
                                    <a:xfrm>
                                      <a:off x="0" y="0"/>
                                      <a:ext cx="189865" cy="215900"/>
                                    </a:xfrm>
                                    <a:prstGeom prst="rect">
                                      <a:avLst/>
                                    </a:prstGeom>
                                    <a:noFill/>
                                    <a:ln>
                                      <a:noFill/>
                                    </a:ln>
                                  </pic:spPr>
                                </pic:pic>
                              </a:graphicData>
                            </a:graphic>
                          </wp:inline>
                        </w:drawing>
                      </w:r>
                    </w:p>
                  </w:txbxContent>
                </v:textbox>
              </v:shape>
            </w:pict>
          </mc:Fallback>
        </mc:AlternateContent>
      </w:r>
      <w:r>
        <w:rPr>
          <w:color w:val="000000" w:themeColor="text1"/>
          <w:sz w:val="24"/>
          <w:highlight w:val="none"/>
          <w14:textFill>
            <w14:solidFill>
              <w14:schemeClr w14:val="tx1"/>
            </w14:solidFill>
          </w14:textFill>
        </w:rPr>
        <mc:AlternateContent>
          <mc:Choice Requires="wps">
            <w:drawing>
              <wp:anchor distT="0" distB="0" distL="114300" distR="114300" simplePos="0" relativeHeight="251683840" behindDoc="0" locked="0" layoutInCell="1" allowOverlap="1">
                <wp:simplePos x="0" y="0"/>
                <wp:positionH relativeFrom="column">
                  <wp:posOffset>6793865</wp:posOffset>
                </wp:positionH>
                <wp:positionV relativeFrom="paragraph">
                  <wp:posOffset>4312920</wp:posOffset>
                </wp:positionV>
                <wp:extent cx="217170" cy="116205"/>
                <wp:effectExtent l="4445" t="4445" r="6985" b="16510"/>
                <wp:wrapNone/>
                <wp:docPr id="43" name="自选图形 74"/>
                <wp:cNvGraphicFramePr/>
                <a:graphic xmlns:a="http://schemas.openxmlformats.org/drawingml/2006/main">
                  <a:graphicData uri="http://schemas.microsoft.com/office/word/2010/wordprocessingShape">
                    <wps:wsp>
                      <wps:cNvSpPr/>
                      <wps:spPr>
                        <a:xfrm>
                          <a:off x="0" y="0"/>
                          <a:ext cx="217170" cy="116205"/>
                        </a:xfrm>
                        <a:prstGeom prst="flowChartProcess">
                          <a:avLst/>
                        </a:prstGeom>
                        <a:noFill/>
                        <a:ln w="9525" cap="flat" cmpd="sng">
                          <a:solidFill>
                            <a:srgbClr val="FF0000"/>
                          </a:solidFill>
                          <a:prstDash val="solid"/>
                          <a:miter/>
                          <a:headEnd type="none" w="med" len="med"/>
                          <a:tailEnd type="none" w="med" len="med"/>
                        </a:ln>
                      </wps:spPr>
                      <wps:bodyPr vert="horz" wrap="square" anchor="t" anchorCtr="0" upright="1"/>
                    </wps:wsp>
                  </a:graphicData>
                </a:graphic>
              </wp:anchor>
            </w:drawing>
          </mc:Choice>
          <mc:Fallback>
            <w:pict>
              <v:shape id="自选图形 74" o:spid="_x0000_s1026" o:spt="109" type="#_x0000_t109" style="position:absolute;left:0pt;margin-left:534.95pt;margin-top:339.6pt;height:9.15pt;width:17.1pt;z-index:251683840;mso-width-relative:page;mso-height-relative:page;" filled="f" stroked="t" coordsize="21600,21600" o:gfxdata="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Ya2QUtkAAAANAQAADwAAAAAAAAABACAAAAAiAAAAZHJzL2Rvd25yZXYueG1sUEsBAhQA&#10;FAAAAAgAh07iQOoJYY8qAgAAOwQAAA4AAAAAAAAAAQAgAAAAKAEAAGRycy9lMm9Eb2MueG1sUEsF&#10;BgAAAAAGAAYAWQEAAMQFAAAAAA==&#10;">
                <v:fill on="f" focussize="0,0"/>
                <v:stroke color="#FF0000" joinstyle="miter"/>
                <v:imagedata o:title=""/>
                <o:lock v:ext="edit" aspectratio="f"/>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2816" behindDoc="0" locked="0" layoutInCell="1" allowOverlap="1">
                <wp:simplePos x="0" y="0"/>
                <wp:positionH relativeFrom="column">
                  <wp:posOffset>6743065</wp:posOffset>
                </wp:positionH>
                <wp:positionV relativeFrom="paragraph">
                  <wp:posOffset>3976370</wp:posOffset>
                </wp:positionV>
                <wp:extent cx="1546860" cy="916940"/>
                <wp:effectExtent l="4445" t="4445" r="18415" b="8255"/>
                <wp:wrapNone/>
                <wp:docPr id="40" name="文本框 40"/>
                <wp:cNvGraphicFramePr/>
                <a:graphic xmlns:a="http://schemas.openxmlformats.org/drawingml/2006/main">
                  <a:graphicData uri="http://schemas.microsoft.com/office/word/2010/wordprocessingShape">
                    <wps:wsp>
                      <wps:cNvSpPr txBox="1"/>
                      <wps:spPr>
                        <a:xfrm>
                          <a:off x="0" y="0"/>
                          <a:ext cx="1546860" cy="916940"/>
                        </a:xfrm>
                        <a:prstGeom prst="rect">
                          <a:avLst/>
                        </a:prstGeom>
                        <a:solidFill>
                          <a:schemeClr val="lt1"/>
                        </a:solidFill>
                        <a:ln w="6350">
                          <a:solidFill>
                            <a:prstClr val="black"/>
                          </a:solidFill>
                        </a:ln>
                      </wps:spPr>
                      <wps:style>
                        <a:lnRef idx="0">
                          <a:schemeClr val="accent1"/>
                        </a:lnRef>
                        <a:fillRef idx="0">
                          <a:schemeClr val="accent1"/>
                        </a:fillRef>
                        <a:effectRef idx="0">
                          <a:schemeClr val="accent1"/>
                        </a:effectRef>
                        <a:fontRef idx="minor">
                          <a:schemeClr val="dk1"/>
                        </a:fontRef>
                      </wps:style>
                      <wps:txbx>
                        <w:txbxContent>
                          <w:p w14:paraId="3EB380AA">
                            <w:pPr>
                              <w:jc w:val="center"/>
                            </w:pPr>
                            <w:r>
                              <w:rPr>
                                <w:rFonts w:hint="eastAsia"/>
                              </w:rPr>
                              <w:t>图例</w:t>
                            </w:r>
                          </w:p>
                          <w:p w14:paraId="27F55C8D">
                            <w:pPr>
                              <w:spacing w:line="360" w:lineRule="auto"/>
                              <w:ind w:firstLine="420"/>
                              <w:jc w:val="left"/>
                            </w:pPr>
                            <w:r>
                              <w:rPr>
                                <w:rFonts w:hint="eastAsia"/>
                              </w:rPr>
                              <w:t>本项目厂界</w:t>
                            </w:r>
                          </w:p>
                          <w:p w14:paraId="3632B220">
                            <w:pPr>
                              <w:spacing w:line="360" w:lineRule="auto"/>
                              <w:ind w:firstLine="420"/>
                              <w:jc w:val="left"/>
                            </w:pPr>
                            <w:r>
                              <w:rPr>
                                <w:rFonts w:hint="eastAsia"/>
                              </w:rPr>
                              <w:t>环境空气监测点位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530.95pt;margin-top:313.1pt;height:72.2pt;width:121.8pt;z-index:251682816;mso-width-relative:page;mso-height-relative:page;" fillcolor="#FFFFFF [3201]" filled="t" stroked="t" coordsize="21600,21600" o:gfxdata="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">
                <v:fill on="t" focussize="0,0"/>
                <v:stroke weight="0.5pt" color="#000000 [3204]" joinstyle="round"/>
                <v:imagedata o:title=""/>
                <o:lock v:ext="edit" aspectratio="f"/>
                <v:textbox>
                  <w:txbxContent>
                    <w:p w14:paraId="3EB380AA">
                      <w:pPr>
                        <w:jc w:val="center"/>
                      </w:pPr>
                      <w:r>
                        <w:rPr>
                          <w:rFonts w:hint="eastAsia"/>
                        </w:rPr>
                        <w:t>图例</w:t>
                      </w:r>
                    </w:p>
                    <w:p w14:paraId="27F55C8D">
                      <w:pPr>
                        <w:spacing w:line="360" w:lineRule="auto"/>
                        <w:ind w:firstLine="420"/>
                        <w:jc w:val="left"/>
                      </w:pPr>
                      <w:r>
                        <w:rPr>
                          <w:rFonts w:hint="eastAsia"/>
                        </w:rPr>
                        <w:t>本项目厂界</w:t>
                      </w:r>
                    </w:p>
                    <w:p w14:paraId="3632B220">
                      <w:pPr>
                        <w:spacing w:line="360" w:lineRule="auto"/>
                        <w:ind w:firstLine="420"/>
                        <w:jc w:val="left"/>
                      </w:pPr>
                      <w:r>
                        <w:rPr>
                          <w:rFonts w:hint="eastAsia"/>
                        </w:rPr>
                        <w:t>环境空气监测点位</w:t>
                      </w:r>
                    </w:p>
                  </w:txbxContent>
                </v:textbox>
              </v:shape>
            </w:pict>
          </mc:Fallback>
        </mc:AlternateContent>
      </w:r>
      <w:r>
        <w:rPr>
          <w:highlight w:val="none"/>
        </w:rPr>
        <w:drawing>
          <wp:inline distT="0" distB="0" distL="114300" distR="114300">
            <wp:extent cx="7753350" cy="5328285"/>
            <wp:effectExtent l="0" t="0" r="3810" b="5715"/>
            <wp:docPr id="5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14"/>
                    <pic:cNvPicPr>
                      <a:picLocks noChangeAspect="1"/>
                    </pic:cNvPicPr>
                  </pic:nvPicPr>
                  <pic:blipFill>
                    <a:blip r:embed="rId55"/>
                    <a:stretch>
                      <a:fillRect/>
                    </a:stretch>
                  </pic:blipFill>
                  <pic:spPr>
                    <a:xfrm>
                      <a:off x="0" y="0"/>
                      <a:ext cx="7753350" cy="5328285"/>
                    </a:xfrm>
                    <a:prstGeom prst="rect">
                      <a:avLst/>
                    </a:prstGeom>
                    <a:noFill/>
                    <a:ln>
                      <a:noFill/>
                    </a:ln>
                  </pic:spPr>
                </pic:pic>
              </a:graphicData>
            </a:graphic>
          </wp:inline>
        </w:drawing>
      </w:r>
    </w:p>
    <w:p w14:paraId="5C062194">
      <w:pPr>
        <w:pStyle w:val="13"/>
        <w:rPr>
          <w:b/>
          <w:bCs/>
          <w:color w:val="000000" w:themeColor="text1"/>
          <w:sz w:val="24"/>
          <w:szCs w:val="24"/>
          <w:highlight w:val="none"/>
          <w14:textFill>
            <w14:solidFill>
              <w14:schemeClr w14:val="tx1"/>
            </w14:solidFill>
          </w14:textFill>
        </w:rPr>
        <w:sectPr>
          <w:pgSz w:w="16838" w:h="11906" w:orient="landscape"/>
          <w:pgMar w:top="1418" w:right="1418" w:bottom="1418" w:left="1418" w:header="851" w:footer="992" w:gutter="0"/>
          <w:pgNumType w:fmt="decimal"/>
          <w:cols w:space="720" w:num="1"/>
          <w:docGrid w:type="lines" w:linePitch="312" w:charSpace="0"/>
        </w:sectPr>
      </w:pPr>
    </w:p>
    <w:p w14:paraId="1D135FE2">
      <w:pPr>
        <w:pStyle w:val="13"/>
        <w:jc w:val="both"/>
        <w:outlineLvl w:val="0"/>
        <w:rPr>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附图</w:t>
      </w:r>
      <w:r>
        <w:rPr>
          <w:rFonts w:hint="eastAsia"/>
          <w:b/>
          <w:bCs/>
          <w:color w:val="000000" w:themeColor="text1"/>
          <w:sz w:val="24"/>
          <w:szCs w:val="24"/>
          <w:highlight w:val="none"/>
          <w:lang w:val="en-US" w:eastAsia="zh-CN"/>
          <w14:textFill>
            <w14:solidFill>
              <w14:schemeClr w14:val="tx1"/>
            </w14:solidFill>
          </w14:textFill>
        </w:rPr>
        <w:t>7</w:t>
      </w:r>
      <w:r>
        <w:rPr>
          <w:rFonts w:hint="eastAsia"/>
          <w:b/>
          <w:bCs/>
          <w:color w:val="000000" w:themeColor="text1"/>
          <w:sz w:val="24"/>
          <w:szCs w:val="24"/>
          <w:highlight w:val="none"/>
          <w14:textFill>
            <w14:solidFill>
              <w14:schemeClr w14:val="tx1"/>
            </w14:solidFill>
          </w14:textFill>
        </w:rPr>
        <w:t xml:space="preserve"> 本项目与抚顺市环境管控单元的位置关系图</w:t>
      </w:r>
    </w:p>
    <w:p w14:paraId="6714B4B6">
      <w:pPr>
        <w:jc w:val="center"/>
        <w:rPr>
          <w:b/>
          <w:bCs/>
          <w:color w:val="000000" w:themeColor="text1"/>
          <w:sz w:val="24"/>
          <w:highlight w:val="none"/>
          <w14:textFill>
            <w14:solidFill>
              <w14:schemeClr w14:val="tx1"/>
            </w14:solidFill>
          </w14:textFill>
        </w:rPr>
        <w:sectPr>
          <w:pgSz w:w="16838" w:h="11906" w:orient="landscape"/>
          <w:pgMar w:top="1800" w:right="1440" w:bottom="1800" w:left="1440" w:header="851" w:footer="992" w:gutter="0"/>
          <w:pgNumType w:fmt="decimal"/>
          <w:cols w:space="425" w:num="1"/>
          <w:docGrid w:type="lines" w:linePitch="312" w:charSpace="0"/>
        </w:sectPr>
      </w:pPr>
      <w:r>
        <w:rPr>
          <w:color w:val="000000" w:themeColor="text1"/>
          <w:highlight w:val="none"/>
          <w14:textFill>
            <w14:solidFill>
              <w14:schemeClr w14:val="tx1"/>
            </w14:solidFill>
          </w14:textFill>
        </w:rPr>
        <mc:AlternateContent>
          <mc:Choice Requires="wps">
            <w:drawing>
              <wp:anchor distT="0" distB="0" distL="114300" distR="114300" simplePos="0" relativeHeight="251681792" behindDoc="0" locked="0" layoutInCell="1" allowOverlap="1">
                <wp:simplePos x="0" y="0"/>
                <wp:positionH relativeFrom="column">
                  <wp:posOffset>3343275</wp:posOffset>
                </wp:positionH>
                <wp:positionV relativeFrom="paragraph">
                  <wp:posOffset>1642745</wp:posOffset>
                </wp:positionV>
                <wp:extent cx="934720" cy="380365"/>
                <wp:effectExtent l="368300" t="12700" r="22860" b="64135"/>
                <wp:wrapNone/>
                <wp:docPr id="25" name="线形标注 1 25"/>
                <wp:cNvGraphicFramePr/>
                <a:graphic xmlns:a="http://schemas.openxmlformats.org/drawingml/2006/main">
                  <a:graphicData uri="http://schemas.microsoft.com/office/word/2010/wordprocessingShape">
                    <wps:wsp>
                      <wps:cNvSpPr/>
                      <wps:spPr>
                        <a:xfrm>
                          <a:off x="0" y="0"/>
                          <a:ext cx="934720" cy="380365"/>
                        </a:xfrm>
                        <a:prstGeom prst="borderCallout1">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82149E4">
                            <w:pPr>
                              <w:jc w:val="center"/>
                              <w:rPr>
                                <w:color w:val="FFFFFF" w:themeColor="background1"/>
                                <w14:textFill>
                                  <w14:solidFill>
                                    <w14:schemeClr w14:val="bg1"/>
                                  </w14:solidFill>
                                </w14:textFill>
                              </w:rPr>
                            </w:pPr>
                            <w:r>
                              <w:rPr>
                                <w:rFonts w:hint="eastAsia"/>
                                <w:b/>
                                <w:bCs/>
                                <w:color w:val="000000" w:themeColor="text1"/>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47" type="#_x0000_t47" style="position:absolute;left:0pt;margin-left:263.25pt;margin-top:129.35pt;height:29.95pt;width:73.6pt;z-index:251681792;v-text-anchor:middle;mso-width-relative:page;mso-height-relative:page;" fillcolor="#FFFFFF [3212]" filled="t" stroked="t" coordsize="21600,21600" o:gfxdata="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CGoHE2AAAAAsBAAAPAAAAAAAAAAEAIAAA&#10;ACIAAABkcnMvZG93bnJldi54bWxQSwECFAAUAAAACACHTuJAWwftrn4CAAD7BAAADgAAAAAAAAAB&#10;ACAAAAAnAQAAZHJzL2Uyb0RvYy54bWxQSwUGAAAAAAYABgBZAQAAFwYAAAAA&#10;" adj="-8280,24300,-1800,4050">
                <v:fill on="t" focussize="0,0"/>
                <v:stroke weight="2pt" color="#000000 [3213]" joinstyle="round"/>
                <v:imagedata o:title=""/>
                <o:lock v:ext="edit" aspectratio="f"/>
                <v:textbox>
                  <w:txbxContent>
                    <w:p w14:paraId="482149E4">
                      <w:pPr>
                        <w:jc w:val="center"/>
                        <w:rPr>
                          <w:color w:val="FFFFFF" w:themeColor="background1"/>
                          <w14:textFill>
                            <w14:solidFill>
                              <w14:schemeClr w14:val="bg1"/>
                            </w14:solidFill>
                          </w14:textFill>
                        </w:rPr>
                      </w:pPr>
                      <w:r>
                        <w:rPr>
                          <w:rFonts w:hint="eastAsia"/>
                          <w:b/>
                          <w:bCs/>
                          <w:color w:val="000000" w:themeColor="text1"/>
                          <w14:textFill>
                            <w14:solidFill>
                              <w14:schemeClr w14:val="tx1"/>
                            </w14:solidFill>
                          </w14:textFill>
                        </w:rPr>
                        <w:t>本项目位置</w:t>
                      </w:r>
                    </w:p>
                  </w:txbxContent>
                </v:textbox>
              </v:shape>
            </w:pict>
          </mc:Fallback>
        </mc:AlternateContent>
      </w:r>
      <w:r>
        <w:rPr>
          <w:color w:val="000000" w:themeColor="text1"/>
          <w:highlight w:val="none"/>
          <w14:textFill>
            <w14:solidFill>
              <w14:schemeClr w14:val="tx1"/>
            </w14:solidFill>
          </w14:textFill>
        </w:rPr>
        <mc:AlternateContent>
          <mc:Choice Requires="wps">
            <w:drawing>
              <wp:anchor distT="0" distB="0" distL="114300" distR="114300" simplePos="0" relativeHeight="251680768" behindDoc="0" locked="0" layoutInCell="1" allowOverlap="1">
                <wp:simplePos x="0" y="0"/>
                <wp:positionH relativeFrom="column">
                  <wp:posOffset>2834640</wp:posOffset>
                </wp:positionH>
                <wp:positionV relativeFrom="paragraph">
                  <wp:posOffset>2058035</wp:posOffset>
                </wp:positionV>
                <wp:extent cx="141605" cy="119380"/>
                <wp:effectExtent l="12700" t="12700" r="13335" b="20320"/>
                <wp:wrapNone/>
                <wp:docPr id="26" name="五角星 26"/>
                <wp:cNvGraphicFramePr/>
                <a:graphic xmlns:a="http://schemas.openxmlformats.org/drawingml/2006/main">
                  <a:graphicData uri="http://schemas.microsoft.com/office/word/2010/wordprocessingShape">
                    <wps:wsp>
                      <wps:cNvSpPr/>
                      <wps:spPr>
                        <a:xfrm>
                          <a:off x="0" y="0"/>
                          <a:ext cx="141605" cy="119380"/>
                        </a:xfrm>
                        <a:prstGeom prst="star5">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style="position:absolute;left:0pt;margin-left:223.2pt;margin-top:162.05pt;height:9.4pt;width:11.15pt;z-index:251680768;v-text-anchor:middle;mso-width-relative:page;mso-height-relative:page;" fillcolor="#FF0000" filled="t" stroked="t" coordsize="141605,119380" o:gfxdata="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0cXVcNoAAAALAQAADwAAAAAAAAABACAAAAAiAAAAZHJzL2Rvd25yZXYueG1s&#10;UEsBAhQAFAAAAAgAh07iQL5IT4xoAgAA4gQAAA4AAAAAAAAAAQAgAAAAKQEAAGRycy9lMm9Eb2Mu&#10;eG1sUEsFBgAAAAAGAAYAWQEAAAMGAAAAAA==&#10;" path="m0,45598l54088,45599,70802,0,87516,45599,141604,45598,97846,73780,114560,119379,70802,91197,27044,119379,43758,73780xe">
                <v:path o:connectlocs="70802,0;0,45598;27044,119379;114560,119379;141604,45598" o:connectangles="247,164,82,82,0"/>
                <v:fill on="t" focussize="0,0"/>
                <v:stroke weight="2pt" color="#FF0000 [3204]" joinstyle="round"/>
                <v:imagedata o:title=""/>
                <o:lock v:ext="edit" aspectratio="f"/>
              </v:shape>
            </w:pict>
          </mc:Fallback>
        </mc:AlternateContent>
      </w:r>
      <w:r>
        <w:rPr>
          <w:rFonts w:hint="eastAsia" w:eastAsia="宋体"/>
          <w:color w:val="C00000"/>
          <w:highlight w:val="none"/>
          <w:lang w:eastAsia="zh-CN"/>
        </w:rPr>
        <w:drawing>
          <wp:inline distT="0" distB="0" distL="114300" distR="114300">
            <wp:extent cx="6992620" cy="4949190"/>
            <wp:effectExtent l="0" t="0" r="17780" b="3810"/>
            <wp:docPr id="3" name="图片 3" descr="环境管控单元图2024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环境管控单元图2024_00"/>
                    <pic:cNvPicPr>
                      <a:picLocks noChangeAspect="1"/>
                    </pic:cNvPicPr>
                  </pic:nvPicPr>
                  <pic:blipFill>
                    <a:blip r:embed="rId56"/>
                    <a:stretch>
                      <a:fillRect/>
                    </a:stretch>
                  </pic:blipFill>
                  <pic:spPr>
                    <a:xfrm>
                      <a:off x="0" y="0"/>
                      <a:ext cx="6992620" cy="4949190"/>
                    </a:xfrm>
                    <a:prstGeom prst="rect">
                      <a:avLst/>
                    </a:prstGeom>
                  </pic:spPr>
                </pic:pic>
              </a:graphicData>
            </a:graphic>
          </wp:inline>
        </w:drawing>
      </w:r>
    </w:p>
    <w:p w14:paraId="634BF808">
      <w:pPr>
        <w:pStyle w:val="13"/>
        <w:outlineLvl w:val="0"/>
        <w:rPr>
          <w:rFonts w:hint="eastAsia"/>
          <w:b/>
          <w:bCs/>
          <w:color w:val="000000" w:themeColor="text1"/>
          <w:sz w:val="24"/>
          <w:szCs w:val="24"/>
          <w:highlight w:val="none"/>
          <w:lang w:val="en-US" w:eastAsia="zh-CN"/>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附图</w:t>
      </w:r>
      <w:r>
        <w:rPr>
          <w:rFonts w:hint="eastAsia"/>
          <w:b/>
          <w:bCs/>
          <w:color w:val="000000" w:themeColor="text1"/>
          <w:sz w:val="24"/>
          <w:szCs w:val="24"/>
          <w:highlight w:val="none"/>
          <w:lang w:val="en-US" w:eastAsia="zh-CN"/>
          <w14:textFill>
            <w14:solidFill>
              <w14:schemeClr w14:val="tx1"/>
            </w14:solidFill>
          </w14:textFill>
        </w:rPr>
        <w:t>8</w:t>
      </w:r>
      <w:r>
        <w:rPr>
          <w:rFonts w:hint="eastAsia"/>
          <w:b/>
          <w:bCs/>
          <w:color w:val="000000" w:themeColor="text1"/>
          <w:sz w:val="24"/>
          <w:szCs w:val="24"/>
          <w:highlight w:val="none"/>
          <w14:textFill>
            <w14:solidFill>
              <w14:schemeClr w14:val="tx1"/>
            </w14:solidFill>
          </w14:textFill>
        </w:rPr>
        <w:t xml:space="preserve"> 本项目</w:t>
      </w:r>
      <w:r>
        <w:rPr>
          <w:rFonts w:hint="eastAsia"/>
          <w:b/>
          <w:bCs/>
          <w:color w:val="000000" w:themeColor="text1"/>
          <w:sz w:val="24"/>
          <w:szCs w:val="24"/>
          <w:highlight w:val="none"/>
          <w:lang w:val="en-US" w:eastAsia="zh-CN"/>
          <w14:textFill>
            <w14:solidFill>
              <w14:schemeClr w14:val="tx1"/>
            </w14:solidFill>
          </w14:textFill>
        </w:rPr>
        <w:t>与采区位置关系示意图</w:t>
      </w:r>
    </w:p>
    <w:p w14:paraId="478F77E2">
      <w:pPr>
        <w:pStyle w:val="9"/>
        <w:jc w:val="center"/>
        <w:rPr>
          <w:rFonts w:hint="default"/>
          <w:highlight w:val="none"/>
          <w:lang w:val="en-US" w:eastAsia="zh-CN"/>
        </w:rPr>
        <w:sectPr>
          <w:pgSz w:w="16838" w:h="11906" w:orient="landscape"/>
          <w:pgMar w:top="1418" w:right="1418" w:bottom="1418" w:left="1418" w:header="851" w:footer="992" w:gutter="0"/>
          <w:pgNumType w:fmt="decimal"/>
          <w:cols w:space="720" w:num="1"/>
          <w:docGrid w:type="lines" w:linePitch="312" w:charSpace="0"/>
        </w:sectPr>
      </w:pPr>
      <w:r>
        <w:rPr>
          <w:rFonts w:hint="default"/>
          <w:highlight w:val="none"/>
          <w:lang w:val="en-US" w:eastAsia="zh-CN"/>
        </w:rPr>
        <w:drawing>
          <wp:inline distT="0" distB="0" distL="114300" distR="114300">
            <wp:extent cx="7906385" cy="5365115"/>
            <wp:effectExtent l="0" t="0" r="18415" b="6985"/>
            <wp:docPr id="24" name="图片 24" descr="项目在矿区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项目在矿区位置"/>
                    <pic:cNvPicPr>
                      <a:picLocks noChangeAspect="1"/>
                    </pic:cNvPicPr>
                  </pic:nvPicPr>
                  <pic:blipFill>
                    <a:blip r:embed="rId57"/>
                    <a:stretch>
                      <a:fillRect/>
                    </a:stretch>
                  </pic:blipFill>
                  <pic:spPr>
                    <a:xfrm>
                      <a:off x="0" y="0"/>
                      <a:ext cx="7906385" cy="5365115"/>
                    </a:xfrm>
                    <a:prstGeom prst="rect">
                      <a:avLst/>
                    </a:prstGeom>
                  </pic:spPr>
                </pic:pic>
              </a:graphicData>
            </a:graphic>
          </wp:inline>
        </w:drawing>
      </w:r>
    </w:p>
    <w:p w14:paraId="1DD756B3">
      <w:pPr>
        <w:pStyle w:val="7"/>
        <w:rPr>
          <w:rFonts w:hint="default"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pPr>
      <w:r>
        <w:rPr>
          <w:rFonts w:hint="eastAsia" w:ascii="Times New Roman" w:hAnsi="Times New Roman" w:eastAsia="宋体" w:cs="Times New Roman"/>
          <w:b/>
          <w:bCs/>
          <w:color w:val="000000" w:themeColor="text1"/>
          <w:kern w:val="0"/>
          <w:sz w:val="24"/>
          <w:szCs w:val="24"/>
          <w:highlight w:val="none"/>
          <w:lang w:val="en-US" w:eastAsia="zh-CN" w:bidi="ar-SA"/>
          <w14:textFill>
            <w14:solidFill>
              <w14:schemeClr w14:val="tx1"/>
            </w14:solidFill>
          </w14:textFill>
        </w:rPr>
        <w:t>附图</w:t>
      </w:r>
      <w:r>
        <w:rPr>
          <w:rFonts w:hint="eastAsia" w:cs="Times New Roman"/>
          <w:b/>
          <w:bCs/>
          <w:color w:val="000000" w:themeColor="text1"/>
          <w:kern w:val="0"/>
          <w:sz w:val="24"/>
          <w:szCs w:val="24"/>
          <w:highlight w:val="none"/>
          <w:lang w:val="en-US" w:eastAsia="zh-CN" w:bidi="ar-SA"/>
          <w14:textFill>
            <w14:solidFill>
              <w14:schemeClr w14:val="tx1"/>
            </w14:solidFill>
          </w14:textFill>
        </w:rPr>
        <w:t>9 本项目与地表水监测断面位置关系</w:t>
      </w:r>
    </w:p>
    <w:p w14:paraId="1BF7DAAB">
      <w:pPr>
        <w:pStyle w:val="8"/>
        <w:widowControl w:val="0"/>
        <w:numPr>
          <w:ilvl w:val="0"/>
          <w:numId w:val="0"/>
        </w:numPr>
        <w:jc w:val="both"/>
        <w:rPr>
          <w:rFonts w:hint="default"/>
          <w:highlight w:val="none"/>
          <w:lang w:val="en-US" w:eastAsia="zh-CN"/>
        </w:rPr>
        <w:sectPr>
          <w:pgSz w:w="11906" w:h="16838"/>
          <w:pgMar w:top="1418" w:right="1418" w:bottom="1418" w:left="1418" w:header="851" w:footer="992" w:gutter="0"/>
          <w:pgNumType w:fmt="decimal"/>
          <w:cols w:space="720" w:num="1"/>
          <w:docGrid w:type="lines" w:linePitch="312" w:charSpace="0"/>
        </w:sectPr>
      </w:pPr>
      <w:r>
        <w:rPr>
          <w:rFonts w:hint="default"/>
          <w:highlight w:val="none"/>
          <w:lang w:val="en-US" w:eastAsia="zh-CN"/>
        </w:rPr>
        <w:drawing>
          <wp:inline distT="0" distB="0" distL="114300" distR="114300">
            <wp:extent cx="5752465" cy="7636510"/>
            <wp:effectExtent l="0" t="0" r="635" b="2540"/>
            <wp:docPr id="23" name="图片 23" descr="监测断面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监测断面位置"/>
                    <pic:cNvPicPr>
                      <a:picLocks noChangeAspect="1"/>
                    </pic:cNvPicPr>
                  </pic:nvPicPr>
                  <pic:blipFill>
                    <a:blip r:embed="rId58"/>
                    <a:stretch>
                      <a:fillRect/>
                    </a:stretch>
                  </pic:blipFill>
                  <pic:spPr>
                    <a:xfrm>
                      <a:off x="0" y="0"/>
                      <a:ext cx="5752465" cy="7636510"/>
                    </a:xfrm>
                    <a:prstGeom prst="rect">
                      <a:avLst/>
                    </a:prstGeom>
                  </pic:spPr>
                </pic:pic>
              </a:graphicData>
            </a:graphic>
          </wp:inline>
        </w:drawing>
      </w:r>
    </w:p>
    <w:p w14:paraId="2F8A932E">
      <w:pPr>
        <w:pStyle w:val="13"/>
        <w:outlineLvl w:val="0"/>
        <w:rPr>
          <w:b/>
          <w:bCs/>
          <w:color w:val="000000" w:themeColor="text1"/>
          <w:sz w:val="24"/>
          <w:szCs w:val="24"/>
          <w:highlight w:val="none"/>
          <w14:textFill>
            <w14:solidFill>
              <w14:schemeClr w14:val="tx1"/>
            </w14:solidFill>
          </w14:textFill>
        </w:rPr>
      </w:pPr>
      <w:r>
        <w:rPr>
          <w:b/>
          <w:bCs/>
          <w:color w:val="000000" w:themeColor="text1"/>
          <w:sz w:val="24"/>
          <w:szCs w:val="24"/>
          <w:highlight w:val="none"/>
          <w14:textFill>
            <w14:solidFill>
              <w14:schemeClr w14:val="tx1"/>
            </w14:solidFill>
          </w14:textFill>
        </w:rPr>
        <w:t>附件1 委托书</w:t>
      </w:r>
    </w:p>
    <w:p w14:paraId="484F8AD5">
      <w:pPr>
        <w:jc w:val="center"/>
        <w:rPr>
          <w:b/>
          <w:color w:val="000000" w:themeColor="text1"/>
          <w:sz w:val="30"/>
          <w:szCs w:val="30"/>
          <w:highlight w:val="none"/>
          <w14:textFill>
            <w14:solidFill>
              <w14:schemeClr w14:val="tx1"/>
            </w14:solidFill>
          </w14:textFill>
        </w:rPr>
      </w:pPr>
    </w:p>
    <w:p w14:paraId="6A189716">
      <w:pPr>
        <w:jc w:val="center"/>
        <w:rPr>
          <w:b/>
          <w:color w:val="000000" w:themeColor="text1"/>
          <w:sz w:val="30"/>
          <w:szCs w:val="30"/>
          <w:highlight w:val="none"/>
          <w14:textFill>
            <w14:solidFill>
              <w14:schemeClr w14:val="tx1"/>
            </w14:solidFill>
          </w14:textFill>
        </w:rPr>
      </w:pPr>
    </w:p>
    <w:p w14:paraId="72FC4127">
      <w:pPr>
        <w:jc w:val="center"/>
        <w:rPr>
          <w:bCs/>
          <w:color w:val="000000" w:themeColor="text1"/>
          <w:sz w:val="30"/>
          <w:szCs w:val="30"/>
          <w:highlight w:val="none"/>
          <w14:textFill>
            <w14:solidFill>
              <w14:schemeClr w14:val="tx1"/>
            </w14:solidFill>
          </w14:textFill>
        </w:rPr>
      </w:pPr>
      <w:r>
        <w:rPr>
          <w:b/>
          <w:color w:val="000000" w:themeColor="text1"/>
          <w:sz w:val="30"/>
          <w:szCs w:val="30"/>
          <w:highlight w:val="none"/>
          <w14:textFill>
            <w14:solidFill>
              <w14:schemeClr w14:val="tx1"/>
            </w14:solidFill>
          </w14:textFill>
        </w:rPr>
        <w:t>委托书</w:t>
      </w:r>
    </w:p>
    <w:p w14:paraId="0BD72E58">
      <w:pPr>
        <w:jc w:val="center"/>
        <w:rPr>
          <w:bCs/>
          <w:color w:val="000000" w:themeColor="text1"/>
          <w:sz w:val="30"/>
          <w:szCs w:val="30"/>
          <w:highlight w:val="none"/>
          <w14:textFill>
            <w14:solidFill>
              <w14:schemeClr w14:val="tx1"/>
            </w14:solidFill>
          </w14:textFill>
        </w:rPr>
      </w:pPr>
    </w:p>
    <w:p w14:paraId="38DCCCBF">
      <w:pPr>
        <w:rPr>
          <w:bCs/>
          <w:color w:val="000000" w:themeColor="text1"/>
          <w:sz w:val="30"/>
          <w:szCs w:val="30"/>
          <w:highlight w:val="none"/>
          <w14:textFill>
            <w14:solidFill>
              <w14:schemeClr w14:val="tx1"/>
            </w14:solidFill>
          </w14:textFill>
        </w:rPr>
      </w:pPr>
      <w:r>
        <w:rPr>
          <w:rFonts w:hint="eastAsia"/>
          <w:bCs/>
          <w:color w:val="000000" w:themeColor="text1"/>
          <w:sz w:val="30"/>
          <w:szCs w:val="30"/>
          <w:highlight w:val="none"/>
          <w14:textFill>
            <w14:solidFill>
              <w14:schemeClr w14:val="tx1"/>
            </w14:solidFill>
          </w14:textFill>
        </w:rPr>
        <w:t>辽宁中杰环保科技有限公司</w:t>
      </w:r>
      <w:r>
        <w:rPr>
          <w:bCs/>
          <w:color w:val="000000" w:themeColor="text1"/>
          <w:sz w:val="30"/>
          <w:szCs w:val="30"/>
          <w:highlight w:val="none"/>
          <w14:textFill>
            <w14:solidFill>
              <w14:schemeClr w14:val="tx1"/>
            </w14:solidFill>
          </w14:textFill>
        </w:rPr>
        <w:t>：</w:t>
      </w:r>
    </w:p>
    <w:p w14:paraId="39E33744">
      <w:pPr>
        <w:ind w:firstLine="480"/>
        <w:rPr>
          <w:bCs/>
          <w:color w:val="000000" w:themeColor="text1"/>
          <w:sz w:val="30"/>
          <w:szCs w:val="30"/>
          <w:highlight w:val="none"/>
          <w14:textFill>
            <w14:solidFill>
              <w14:schemeClr w14:val="tx1"/>
            </w14:solidFill>
          </w14:textFill>
        </w:rPr>
      </w:pPr>
      <w:r>
        <w:rPr>
          <w:bCs/>
          <w:color w:val="000000" w:themeColor="text1"/>
          <w:sz w:val="30"/>
          <w:szCs w:val="30"/>
          <w:highlight w:val="none"/>
          <w14:textFill>
            <w14:solidFill>
              <w14:schemeClr w14:val="tx1"/>
            </w14:solidFill>
          </w14:textFill>
        </w:rPr>
        <w:t>根据《中华人民共和国环境影响评价法》和《建设项目环境保护管理条例》的有关规定，今委托贵单位对我方《</w:t>
      </w:r>
      <w:r>
        <w:rPr>
          <w:rFonts w:hint="eastAsia"/>
          <w:bCs/>
          <w:color w:val="000000" w:themeColor="text1"/>
          <w:sz w:val="30"/>
          <w:szCs w:val="30"/>
          <w:highlight w:val="none"/>
          <w:lang w:eastAsia="zh-CN"/>
          <w14:textFill>
            <w14:solidFill>
              <w14:schemeClr w14:val="tx1"/>
            </w14:solidFill>
          </w14:textFill>
        </w:rPr>
        <w:t>抚顺禹烽建筑石材有限公司碎石加工项目</w:t>
      </w:r>
      <w:r>
        <w:rPr>
          <w:bCs/>
          <w:color w:val="000000" w:themeColor="text1"/>
          <w:sz w:val="30"/>
          <w:szCs w:val="30"/>
          <w:highlight w:val="none"/>
          <w14:textFill>
            <w14:solidFill>
              <w14:schemeClr w14:val="tx1"/>
            </w14:solidFill>
          </w14:textFill>
        </w:rPr>
        <w:t>》进行环境影响评价。</w:t>
      </w:r>
    </w:p>
    <w:p w14:paraId="5A6B2998">
      <w:pPr>
        <w:rPr>
          <w:color w:val="000000" w:themeColor="text1"/>
          <w:sz w:val="30"/>
          <w:szCs w:val="30"/>
          <w:highlight w:val="none"/>
          <w14:textFill>
            <w14:solidFill>
              <w14:schemeClr w14:val="tx1"/>
            </w14:solidFill>
          </w14:textFill>
        </w:rPr>
      </w:pPr>
    </w:p>
    <w:p w14:paraId="20C0BC43">
      <w:pPr>
        <w:ind w:firstLine="480"/>
        <w:rPr>
          <w:bCs/>
          <w:color w:val="000000" w:themeColor="text1"/>
          <w:sz w:val="30"/>
          <w:szCs w:val="30"/>
          <w:highlight w:val="none"/>
          <w14:textFill>
            <w14:solidFill>
              <w14:schemeClr w14:val="tx1"/>
            </w14:solidFill>
          </w14:textFill>
        </w:rPr>
      </w:pPr>
      <w:r>
        <w:rPr>
          <w:bCs/>
          <w:color w:val="000000" w:themeColor="text1"/>
          <w:sz w:val="30"/>
          <w:szCs w:val="30"/>
          <w:highlight w:val="none"/>
          <w14:textFill>
            <w14:solidFill>
              <w14:schemeClr w14:val="tx1"/>
            </w14:solidFill>
          </w14:textFill>
        </w:rPr>
        <w:t>特此委托</w:t>
      </w:r>
      <w:r>
        <w:rPr>
          <w:rFonts w:hint="eastAsia"/>
          <w:bCs/>
          <w:color w:val="000000" w:themeColor="text1"/>
          <w:sz w:val="30"/>
          <w:szCs w:val="30"/>
          <w:highlight w:val="none"/>
          <w14:textFill>
            <w14:solidFill>
              <w14:schemeClr w14:val="tx1"/>
            </w14:solidFill>
          </w14:textFill>
        </w:rPr>
        <w:t>！</w:t>
      </w:r>
    </w:p>
    <w:p w14:paraId="74CBFEA6">
      <w:pPr>
        <w:ind w:firstLine="480"/>
        <w:rPr>
          <w:bCs/>
          <w:color w:val="000000" w:themeColor="text1"/>
          <w:sz w:val="30"/>
          <w:szCs w:val="30"/>
          <w:highlight w:val="none"/>
          <w14:textFill>
            <w14:solidFill>
              <w14:schemeClr w14:val="tx1"/>
            </w14:solidFill>
          </w14:textFill>
        </w:rPr>
      </w:pPr>
    </w:p>
    <w:p w14:paraId="7CECCF42">
      <w:pPr>
        <w:ind w:firstLine="480"/>
        <w:jc w:val="right"/>
        <w:rPr>
          <w:rFonts w:hint="eastAsia" w:eastAsia="宋体"/>
          <w:bCs/>
          <w:color w:val="000000" w:themeColor="text1"/>
          <w:sz w:val="30"/>
          <w:szCs w:val="30"/>
          <w:highlight w:val="none"/>
          <w:lang w:eastAsia="zh-CN"/>
          <w14:textFill>
            <w14:solidFill>
              <w14:schemeClr w14:val="tx1"/>
            </w14:solidFill>
          </w14:textFill>
        </w:rPr>
      </w:pPr>
      <w:r>
        <w:rPr>
          <w:bCs/>
          <w:color w:val="000000" w:themeColor="text1"/>
          <w:sz w:val="30"/>
          <w:szCs w:val="30"/>
          <w:highlight w:val="none"/>
          <w14:textFill>
            <w14:solidFill>
              <w14:schemeClr w14:val="tx1"/>
            </w14:solidFill>
          </w14:textFill>
        </w:rPr>
        <w:t>单位名称（盖章）：</w:t>
      </w:r>
      <w:r>
        <w:rPr>
          <w:rFonts w:hint="eastAsia"/>
          <w:bCs/>
          <w:color w:val="000000" w:themeColor="text1"/>
          <w:sz w:val="30"/>
          <w:szCs w:val="30"/>
          <w:highlight w:val="none"/>
          <w:lang w:eastAsia="zh-CN"/>
          <w14:textFill>
            <w14:solidFill>
              <w14:schemeClr w14:val="tx1"/>
            </w14:solidFill>
          </w14:textFill>
        </w:rPr>
        <w:t>抚顺禹烽建筑石材有限公司</w:t>
      </w:r>
    </w:p>
    <w:p w14:paraId="01CF0EFB">
      <w:pPr>
        <w:ind w:firstLine="480"/>
        <w:jc w:val="right"/>
        <w:rPr>
          <w:bCs/>
          <w:color w:val="000000" w:themeColor="text1"/>
          <w:sz w:val="30"/>
          <w:szCs w:val="30"/>
          <w:highlight w:val="none"/>
          <w14:textFill>
            <w14:solidFill>
              <w14:schemeClr w14:val="tx1"/>
            </w14:solidFill>
          </w14:textFill>
        </w:rPr>
        <w:sectPr>
          <w:pgSz w:w="11906" w:h="16838"/>
          <w:pgMar w:top="1418" w:right="1418" w:bottom="1418" w:left="1418" w:header="851" w:footer="992" w:gutter="0"/>
          <w:pgNumType w:fmt="decimal"/>
          <w:cols w:space="720" w:num="1"/>
          <w:docGrid w:type="lines" w:linePitch="312" w:charSpace="0"/>
        </w:sectPr>
      </w:pPr>
      <w:r>
        <w:rPr>
          <w:bCs/>
          <w:color w:val="000000" w:themeColor="text1"/>
          <w:sz w:val="30"/>
          <w:szCs w:val="30"/>
          <w:highlight w:val="none"/>
          <w14:textFill>
            <w14:solidFill>
              <w14:schemeClr w14:val="tx1"/>
            </w14:solidFill>
          </w14:textFill>
        </w:rPr>
        <w:t>20</w:t>
      </w:r>
      <w:r>
        <w:rPr>
          <w:rFonts w:hint="eastAsia"/>
          <w:bCs/>
          <w:color w:val="000000" w:themeColor="text1"/>
          <w:sz w:val="30"/>
          <w:szCs w:val="30"/>
          <w:highlight w:val="none"/>
          <w14:textFill>
            <w14:solidFill>
              <w14:schemeClr w14:val="tx1"/>
            </w14:solidFill>
          </w14:textFill>
        </w:rPr>
        <w:t>24年</w:t>
      </w:r>
      <w:r>
        <w:rPr>
          <w:rFonts w:hint="eastAsia"/>
          <w:bCs/>
          <w:color w:val="000000" w:themeColor="text1"/>
          <w:sz w:val="30"/>
          <w:szCs w:val="30"/>
          <w:highlight w:val="none"/>
          <w:lang w:val="en-US" w:eastAsia="zh-CN"/>
          <w14:textFill>
            <w14:solidFill>
              <w14:schemeClr w14:val="tx1"/>
            </w14:solidFill>
          </w14:textFill>
        </w:rPr>
        <w:t>6</w:t>
      </w:r>
      <w:r>
        <w:rPr>
          <w:rFonts w:hint="eastAsia"/>
          <w:bCs/>
          <w:color w:val="000000" w:themeColor="text1"/>
          <w:sz w:val="30"/>
          <w:szCs w:val="30"/>
          <w:highlight w:val="none"/>
          <w14:textFill>
            <w14:solidFill>
              <w14:schemeClr w14:val="tx1"/>
            </w14:solidFill>
          </w14:textFill>
        </w:rPr>
        <w:t>月11日</w:t>
      </w:r>
    </w:p>
    <w:p w14:paraId="1EDA1B16">
      <w:pPr>
        <w:outlineLvl w:val="0"/>
        <w:rPr>
          <w:b/>
          <w:bCs/>
          <w:color w:val="000000" w:themeColor="text1"/>
          <w:sz w:val="24"/>
          <w:highlight w:val="none"/>
          <w14:textFill>
            <w14:solidFill>
              <w14:schemeClr w14:val="tx1"/>
            </w14:solidFill>
          </w14:textFill>
        </w:rPr>
      </w:pPr>
      <w:r>
        <w:rPr>
          <w:b/>
          <w:bCs/>
          <w:color w:val="000000" w:themeColor="text1"/>
          <w:sz w:val="24"/>
          <w:highlight w:val="none"/>
          <w14:textFill>
            <w14:solidFill>
              <w14:schemeClr w14:val="tx1"/>
            </w14:solidFill>
          </w14:textFill>
        </w:rPr>
        <w:t xml:space="preserve">附件2 </w:t>
      </w:r>
      <w:r>
        <w:rPr>
          <w:rFonts w:hint="eastAsia"/>
          <w:b/>
          <w:bCs/>
          <w:color w:val="000000" w:themeColor="text1"/>
          <w:sz w:val="24"/>
          <w:highlight w:val="none"/>
          <w14:textFill>
            <w14:solidFill>
              <w14:schemeClr w14:val="tx1"/>
            </w14:solidFill>
          </w14:textFill>
        </w:rPr>
        <w:t>土地</w:t>
      </w:r>
      <w:r>
        <w:rPr>
          <w:b/>
          <w:bCs/>
          <w:color w:val="000000" w:themeColor="text1"/>
          <w:sz w:val="24"/>
          <w:highlight w:val="none"/>
          <w14:textFill>
            <w14:solidFill>
              <w14:schemeClr w14:val="tx1"/>
            </w14:solidFill>
          </w14:textFill>
        </w:rPr>
        <w:t>证明</w:t>
      </w:r>
    </w:p>
    <w:tbl>
      <w:tblPr>
        <w:tblStyle w:val="19"/>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6841"/>
        <w:gridCol w:w="6811"/>
      </w:tblGrid>
      <w:tr w14:paraId="2D8FA8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826" w:type="dxa"/>
            <w:vAlign w:val="center"/>
          </w:tcPr>
          <w:p w14:paraId="50243033">
            <w:pPr>
              <w:jc w:val="cente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4033520" cy="5333365"/>
                  <wp:effectExtent l="0" t="0" r="5080" b="635"/>
                  <wp:docPr id="62" name="图片 62" descr="9597eff94935d02d7e3da53d4ad24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9597eff94935d02d7e3da53d4ad24ff"/>
                          <pic:cNvPicPr>
                            <a:picLocks noChangeAspect="1"/>
                          </pic:cNvPicPr>
                        </pic:nvPicPr>
                        <pic:blipFill>
                          <a:blip r:embed="rId59"/>
                          <a:srcRect l="252" t="20295" b="20374"/>
                          <a:stretch>
                            <a:fillRect/>
                          </a:stretch>
                        </pic:blipFill>
                        <pic:spPr>
                          <a:xfrm>
                            <a:off x="0" y="0"/>
                            <a:ext cx="4033520" cy="5333365"/>
                          </a:xfrm>
                          <a:prstGeom prst="rect">
                            <a:avLst/>
                          </a:prstGeom>
                        </pic:spPr>
                      </pic:pic>
                    </a:graphicData>
                  </a:graphic>
                </wp:inline>
              </w:drawing>
            </w:r>
          </w:p>
        </w:tc>
        <w:tc>
          <w:tcPr>
            <w:tcW w:w="6826" w:type="dxa"/>
            <w:vAlign w:val="center"/>
          </w:tcPr>
          <w:p w14:paraId="0DD6E8E2">
            <w:pPr>
              <w:jc w:val="cente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4002405" cy="5283200"/>
                  <wp:effectExtent l="0" t="0" r="17145" b="12700"/>
                  <wp:docPr id="67" name="图片 67" descr="f91b47d1401491ce4866929b014d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f91b47d1401491ce4866929b014d396"/>
                          <pic:cNvPicPr>
                            <a:picLocks noChangeAspect="1"/>
                          </pic:cNvPicPr>
                        </pic:nvPicPr>
                        <pic:blipFill>
                          <a:blip r:embed="rId60"/>
                          <a:srcRect t="20147" b="20465"/>
                          <a:stretch>
                            <a:fillRect/>
                          </a:stretch>
                        </pic:blipFill>
                        <pic:spPr>
                          <a:xfrm>
                            <a:off x="0" y="0"/>
                            <a:ext cx="4002405" cy="5283200"/>
                          </a:xfrm>
                          <a:prstGeom prst="rect">
                            <a:avLst/>
                          </a:prstGeom>
                        </pic:spPr>
                      </pic:pic>
                    </a:graphicData>
                  </a:graphic>
                </wp:inline>
              </w:drawing>
            </w:r>
          </w:p>
        </w:tc>
      </w:tr>
      <w:tr w14:paraId="08052B4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6826" w:type="dxa"/>
            <w:vAlign w:val="center"/>
          </w:tcPr>
          <w:p w14:paraId="304EF22A">
            <w:pPr>
              <w:jc w:val="cente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4197350" cy="5420995"/>
                  <wp:effectExtent l="0" t="0" r="12700" b="8255"/>
                  <wp:docPr id="65" name="图片 65" descr="5efe85d8935948882bdc6bb8f74c3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5efe85d8935948882bdc6bb8f74c33b"/>
                          <pic:cNvPicPr>
                            <a:picLocks noChangeAspect="1"/>
                          </pic:cNvPicPr>
                        </pic:nvPicPr>
                        <pic:blipFill>
                          <a:blip r:embed="rId61"/>
                          <a:stretch>
                            <a:fillRect/>
                          </a:stretch>
                        </pic:blipFill>
                        <pic:spPr>
                          <a:xfrm>
                            <a:off x="0" y="0"/>
                            <a:ext cx="4197350" cy="5420995"/>
                          </a:xfrm>
                          <a:prstGeom prst="rect">
                            <a:avLst/>
                          </a:prstGeom>
                        </pic:spPr>
                      </pic:pic>
                    </a:graphicData>
                  </a:graphic>
                </wp:inline>
              </w:drawing>
            </w:r>
          </w:p>
        </w:tc>
        <w:tc>
          <w:tcPr>
            <w:tcW w:w="6826" w:type="dxa"/>
            <w:vAlign w:val="center"/>
          </w:tcPr>
          <w:p w14:paraId="73E0F5E4">
            <w:pPr>
              <w:jc w:val="center"/>
              <w:rPr>
                <w:rFonts w:hint="eastAsia" w:eastAsia="宋体"/>
                <w:highlight w:val="none"/>
                <w:vertAlign w:val="baseline"/>
                <w:lang w:eastAsia="zh-CN"/>
              </w:rPr>
            </w:pPr>
            <w:r>
              <w:rPr>
                <w:rFonts w:hint="eastAsia" w:eastAsia="宋体"/>
                <w:highlight w:val="none"/>
                <w:vertAlign w:val="baseline"/>
                <w:lang w:eastAsia="zh-CN"/>
              </w:rPr>
              <w:drawing>
                <wp:inline distT="0" distB="0" distL="114300" distR="114300">
                  <wp:extent cx="4176395" cy="5483860"/>
                  <wp:effectExtent l="0" t="0" r="14605" b="2540"/>
                  <wp:docPr id="66" name="图片 66" descr="ebbcae382a4049c20afc2755b2cf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ebbcae382a4049c20afc2755b2cf639"/>
                          <pic:cNvPicPr>
                            <a:picLocks noChangeAspect="1"/>
                          </pic:cNvPicPr>
                        </pic:nvPicPr>
                        <pic:blipFill>
                          <a:blip r:embed="rId62"/>
                          <a:stretch>
                            <a:fillRect/>
                          </a:stretch>
                        </pic:blipFill>
                        <pic:spPr>
                          <a:xfrm>
                            <a:off x="0" y="0"/>
                            <a:ext cx="4176395" cy="5483860"/>
                          </a:xfrm>
                          <a:prstGeom prst="rect">
                            <a:avLst/>
                          </a:prstGeom>
                        </pic:spPr>
                      </pic:pic>
                    </a:graphicData>
                  </a:graphic>
                </wp:inline>
              </w:drawing>
            </w:r>
          </w:p>
        </w:tc>
      </w:tr>
    </w:tbl>
    <w:p w14:paraId="0953A5D6">
      <w:pPr>
        <w:jc w:val="center"/>
        <w:rPr>
          <w:highlight w:val="none"/>
        </w:rPr>
        <w:sectPr>
          <w:footerReference r:id="rId11" w:type="default"/>
          <w:pgSz w:w="16838" w:h="11906" w:orient="landscape"/>
          <w:pgMar w:top="1531" w:right="1701" w:bottom="1531" w:left="1701" w:header="851" w:footer="851" w:gutter="0"/>
          <w:pgNumType w:fmt="decimal"/>
          <w:cols w:space="720" w:num="1"/>
          <w:docGrid w:linePitch="312" w:charSpace="0"/>
        </w:sectPr>
      </w:pPr>
    </w:p>
    <w:p w14:paraId="47F598AB">
      <w:pPr>
        <w:pStyle w:val="9"/>
        <w:ind w:left="0" w:leftChars="0" w:firstLine="0" w:firstLineChars="0"/>
        <w:rPr>
          <w:rFonts w:hint="eastAsia" w:eastAsia="宋体"/>
          <w:highlight w:val="none"/>
          <w:lang w:eastAsia="zh-CN"/>
        </w:rPr>
        <w:sectPr>
          <w:pgSz w:w="11906" w:h="16838"/>
          <w:pgMar w:top="1701" w:right="1531" w:bottom="1701" w:left="1531" w:header="851" w:footer="851" w:gutter="0"/>
          <w:pgNumType w:fmt="decimal"/>
          <w:cols w:space="720" w:num="1"/>
          <w:docGrid w:linePitch="312" w:charSpace="0"/>
        </w:sectPr>
      </w:pPr>
      <w:r>
        <w:rPr>
          <w:rFonts w:hint="eastAsia" w:eastAsia="宋体"/>
          <w:highlight w:val="none"/>
          <w:lang w:eastAsia="zh-CN"/>
        </w:rPr>
        <w:drawing>
          <wp:inline distT="0" distB="0" distL="114300" distR="114300">
            <wp:extent cx="5608320" cy="7948295"/>
            <wp:effectExtent l="0" t="0" r="11430" b="14605"/>
            <wp:docPr id="38" name="图片 38" descr="222da19780226f8a22a0cc46e6cc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222da19780226f8a22a0cc46e6cc797"/>
                    <pic:cNvPicPr>
                      <a:picLocks noChangeAspect="1"/>
                    </pic:cNvPicPr>
                  </pic:nvPicPr>
                  <pic:blipFill>
                    <a:blip r:embed="rId63"/>
                    <a:stretch>
                      <a:fillRect/>
                    </a:stretch>
                  </pic:blipFill>
                  <pic:spPr>
                    <a:xfrm>
                      <a:off x="0" y="0"/>
                      <a:ext cx="5608320" cy="7948295"/>
                    </a:xfrm>
                    <a:prstGeom prst="rect">
                      <a:avLst/>
                    </a:prstGeom>
                  </pic:spPr>
                </pic:pic>
              </a:graphicData>
            </a:graphic>
          </wp:inline>
        </w:drawing>
      </w:r>
    </w:p>
    <w:p w14:paraId="744E8A7F">
      <w:pPr>
        <w:pStyle w:val="23"/>
        <w:ind w:left="0"/>
        <w:outlineLvl w:val="0"/>
        <w:rPr>
          <w:rFonts w:ascii="Times New Roman" w:hAnsi="Times New Roman"/>
          <w:b/>
          <w:bCs/>
          <w:color w:val="000000" w:themeColor="text1"/>
          <w:sz w:val="24"/>
          <w:szCs w:val="24"/>
          <w:highlight w:val="none"/>
          <w14:textFill>
            <w14:solidFill>
              <w14:schemeClr w14:val="tx1"/>
            </w14:solidFill>
          </w14:textFill>
        </w:rPr>
      </w:pPr>
      <w:r>
        <w:rPr>
          <w:rFonts w:ascii="Times New Roman" w:hAnsi="Times New Roman"/>
          <w:b/>
          <w:bCs/>
          <w:color w:val="000000" w:themeColor="text1"/>
          <w:sz w:val="24"/>
          <w:szCs w:val="24"/>
          <w:highlight w:val="none"/>
          <w14:textFill>
            <w14:solidFill>
              <w14:schemeClr w14:val="tx1"/>
            </w14:solidFill>
          </w14:textFill>
        </w:rPr>
        <w:t>附件</w:t>
      </w:r>
      <w:r>
        <w:rPr>
          <w:rFonts w:hint="eastAsia" w:ascii="Times New Roman" w:hAnsi="Times New Roman"/>
          <w:b/>
          <w:bCs/>
          <w:color w:val="000000" w:themeColor="text1"/>
          <w:sz w:val="24"/>
          <w:szCs w:val="24"/>
          <w:highlight w:val="none"/>
          <w14:textFill>
            <w14:solidFill>
              <w14:schemeClr w14:val="tx1"/>
            </w14:solidFill>
          </w14:textFill>
        </w:rPr>
        <w:t>3</w:t>
      </w:r>
      <w:r>
        <w:rPr>
          <w:rFonts w:ascii="Times New Roman" w:hAnsi="Times New Roman"/>
          <w:b/>
          <w:bCs/>
          <w:color w:val="000000" w:themeColor="text1"/>
          <w:sz w:val="24"/>
          <w:szCs w:val="24"/>
          <w:highlight w:val="none"/>
          <w14:textFill>
            <w14:solidFill>
              <w14:schemeClr w14:val="tx1"/>
            </w14:solidFill>
          </w14:textFill>
        </w:rPr>
        <w:t xml:space="preserve"> 营业执照</w:t>
      </w:r>
    </w:p>
    <w:p w14:paraId="4B92D048">
      <w:pPr>
        <w:pStyle w:val="13"/>
        <w:jc w:val="center"/>
        <w:rPr>
          <w:rFonts w:hint="eastAsia" w:eastAsia="宋体"/>
          <w:b/>
          <w:bCs/>
          <w:color w:val="000000" w:themeColor="text1"/>
          <w:sz w:val="24"/>
          <w:szCs w:val="24"/>
          <w:highlight w:val="none"/>
          <w:lang w:eastAsia="zh-CN"/>
          <w14:textFill>
            <w14:solidFill>
              <w14:schemeClr w14:val="tx1"/>
            </w14:solidFill>
          </w14:textFill>
        </w:rPr>
      </w:pPr>
      <w:r>
        <w:rPr>
          <w:rFonts w:hint="eastAsia" w:eastAsia="宋体"/>
          <w:b/>
          <w:bCs/>
          <w:color w:val="000000" w:themeColor="text1"/>
          <w:sz w:val="24"/>
          <w:szCs w:val="24"/>
          <w:highlight w:val="none"/>
          <w:lang w:eastAsia="zh-CN"/>
          <w14:textFill>
            <w14:solidFill>
              <w14:schemeClr w14:val="tx1"/>
            </w14:solidFill>
          </w14:textFill>
        </w:rPr>
        <w:drawing>
          <wp:inline distT="0" distB="0" distL="114300" distR="114300">
            <wp:extent cx="7026910" cy="4989195"/>
            <wp:effectExtent l="0" t="0" r="2540" b="1905"/>
            <wp:docPr id="60" name="图片 60" descr="新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新营业执照"/>
                    <pic:cNvPicPr>
                      <a:picLocks noChangeAspect="1"/>
                    </pic:cNvPicPr>
                  </pic:nvPicPr>
                  <pic:blipFill>
                    <a:blip r:embed="rId64"/>
                    <a:stretch>
                      <a:fillRect/>
                    </a:stretch>
                  </pic:blipFill>
                  <pic:spPr>
                    <a:xfrm>
                      <a:off x="0" y="0"/>
                      <a:ext cx="7026910" cy="4989195"/>
                    </a:xfrm>
                    <a:prstGeom prst="rect">
                      <a:avLst/>
                    </a:prstGeom>
                  </pic:spPr>
                </pic:pic>
              </a:graphicData>
            </a:graphic>
          </wp:inline>
        </w:drawing>
      </w:r>
    </w:p>
    <w:p w14:paraId="469B54D8">
      <w:pPr>
        <w:pStyle w:val="13"/>
        <w:outlineLvl w:val="0"/>
        <w:rPr>
          <w:rFonts w:hint="eastAsia"/>
          <w:b/>
          <w:bCs/>
          <w:color w:val="000000" w:themeColor="text1"/>
          <w:sz w:val="24"/>
          <w:szCs w:val="24"/>
          <w:highlight w:val="none"/>
          <w14:textFill>
            <w14:solidFill>
              <w14:schemeClr w14:val="tx1"/>
            </w14:solidFill>
          </w14:textFill>
        </w:rPr>
        <w:sectPr>
          <w:footerReference r:id="rId12" w:type="default"/>
          <w:pgSz w:w="16838" w:h="11906" w:orient="landscape"/>
          <w:pgMar w:top="1531" w:right="1701" w:bottom="1531" w:left="1701" w:header="851" w:footer="851" w:gutter="0"/>
          <w:pgNumType w:fmt="decimal"/>
          <w:cols w:space="720" w:num="1"/>
          <w:docGrid w:linePitch="312" w:charSpace="0"/>
        </w:sectPr>
      </w:pPr>
    </w:p>
    <w:p w14:paraId="027FCC45">
      <w:pPr>
        <w:pStyle w:val="13"/>
        <w:outlineLvl w:val="0"/>
        <w:rPr>
          <w:rFonts w:hint="eastAsia"/>
          <w:b/>
          <w:bCs/>
          <w:color w:val="000000" w:themeColor="text1"/>
          <w:sz w:val="24"/>
          <w:szCs w:val="24"/>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附件4 三线一单查询截图</w:t>
      </w:r>
    </w:p>
    <w:p w14:paraId="4F7077CE">
      <w:pPr>
        <w:rPr>
          <w:highlight w:val="none"/>
        </w:rPr>
      </w:pPr>
      <w:r>
        <w:rPr>
          <w:highlight w:val="none"/>
        </w:rPr>
        <w:drawing>
          <wp:inline distT="0" distB="0" distL="114300" distR="114300">
            <wp:extent cx="8522335" cy="4208145"/>
            <wp:effectExtent l="0" t="0" r="12065" b="13335"/>
            <wp:docPr id="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1"/>
                    <pic:cNvPicPr>
                      <a:picLocks noChangeAspect="1"/>
                    </pic:cNvPicPr>
                  </pic:nvPicPr>
                  <pic:blipFill>
                    <a:blip r:embed="rId65"/>
                    <a:stretch>
                      <a:fillRect/>
                    </a:stretch>
                  </pic:blipFill>
                  <pic:spPr>
                    <a:xfrm>
                      <a:off x="0" y="0"/>
                      <a:ext cx="8522335" cy="4208145"/>
                    </a:xfrm>
                    <a:prstGeom prst="rect">
                      <a:avLst/>
                    </a:prstGeom>
                    <a:noFill/>
                    <a:ln>
                      <a:noFill/>
                    </a:ln>
                  </pic:spPr>
                </pic:pic>
              </a:graphicData>
            </a:graphic>
          </wp:inline>
        </w:drawing>
      </w:r>
    </w:p>
    <w:p w14:paraId="24918FE4">
      <w:pPr>
        <w:pStyle w:val="23"/>
        <w:ind w:left="0"/>
        <w:jc w:val="center"/>
        <w:rPr>
          <w:rFonts w:ascii="Times New Roman" w:hAnsi="Times New Roman"/>
          <w:color w:val="000000" w:themeColor="text1"/>
          <w:sz w:val="24"/>
          <w:szCs w:val="24"/>
          <w:highlight w:val="none"/>
          <w14:textFill>
            <w14:solidFill>
              <w14:schemeClr w14:val="tx1"/>
            </w14:solidFill>
          </w14:textFill>
        </w:rPr>
      </w:pPr>
      <w:r>
        <w:rPr>
          <w:color w:val="000000" w:themeColor="text1"/>
          <w:highlight w:val="none"/>
          <w14:textFill>
            <w14:solidFill>
              <w14:schemeClr w14:val="tx1"/>
            </w14:solidFill>
          </w14:textFill>
        </w:rPr>
        <mc:AlternateContent>
          <mc:Choice Requires="wps">
            <w:drawing>
              <wp:anchor distT="0" distB="0" distL="114300" distR="114300" simplePos="0" relativeHeight="251672576" behindDoc="0" locked="0" layoutInCell="1" allowOverlap="1">
                <wp:simplePos x="0" y="0"/>
                <wp:positionH relativeFrom="column">
                  <wp:posOffset>3662045</wp:posOffset>
                </wp:positionH>
                <wp:positionV relativeFrom="paragraph">
                  <wp:posOffset>2355850</wp:posOffset>
                </wp:positionV>
                <wp:extent cx="1007745" cy="406400"/>
                <wp:effectExtent l="468630" t="563880" r="17145" b="5080"/>
                <wp:wrapNone/>
                <wp:docPr id="34" name="矩形标注 34"/>
                <wp:cNvGraphicFramePr/>
                <a:graphic xmlns:a="http://schemas.openxmlformats.org/drawingml/2006/main">
                  <a:graphicData uri="http://schemas.microsoft.com/office/word/2010/wordprocessingShape">
                    <wps:wsp>
                      <wps:cNvSpPr/>
                      <wps:spPr>
                        <a:xfrm>
                          <a:off x="5579745" y="2246630"/>
                          <a:ext cx="1007745" cy="406400"/>
                        </a:xfrm>
                        <a:prstGeom prst="wedgeRectCallout">
                          <a:avLst>
                            <a:gd name="adj1" fmla="val -96061"/>
                            <a:gd name="adj2" fmla="val -187656"/>
                          </a:avLst>
                        </a:prstGeom>
                        <a:solidFill>
                          <a:schemeClr val="bg1"/>
                        </a:solidFill>
                        <a:ln w="6350">
                          <a:solidFill>
                            <a:schemeClr val="tx1"/>
                          </a:solidFill>
                        </a:ln>
                      </wps:spPr>
                      <wps:style>
                        <a:lnRef idx="2">
                          <a:schemeClr val="accent1"/>
                        </a:lnRef>
                        <a:fillRef idx="0">
                          <a:srgbClr val="FFFFFF"/>
                        </a:fillRef>
                        <a:effectRef idx="0">
                          <a:srgbClr val="FFFFFF"/>
                        </a:effectRef>
                        <a:fontRef idx="minor">
                          <a:schemeClr val="tx1"/>
                        </a:fontRef>
                      </wps:style>
                      <wps:txbx>
                        <w:txbxContent>
                          <w:p w14:paraId="2FF646C7">
                            <w:pPr>
                              <w:jc w:val="center"/>
                            </w:pPr>
                            <w:r>
                              <w:rPr>
                                <w:rFonts w:hint="eastAsia"/>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288.35pt;margin-top:185.5pt;height:32pt;width:79.35pt;z-index:251672576;v-text-anchor:middle;mso-width-relative:page;mso-height-relative:page;" fillcolor="#FFFFFF [3212]" filled="t" stroked="t" coordsize="21600,21600" o:gfxdata="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RifMu9sAAAALAQAADwAAAAAAAAABACAAAAAiAAAA&#10;ZHJzL2Rvd25yZXYueG1sUEsBAhQAFAAAAAgAh07iQASNiOOvAgAAWwUAAA4AAAAAAAAAAQAgAAAA&#10;KgEAAGRycy9lMm9Eb2MueG1sUEsFBgAAAAAGAAYAWQEAAEsGAAAAAA==&#10;" adj="-9949,-29734">
                <v:fill on="t" focussize="0,0"/>
                <v:stroke weight="0.5pt" color="#000000 [3213]" joinstyle="round"/>
                <v:imagedata o:title=""/>
                <o:lock v:ext="edit" aspectratio="f"/>
                <v:textbox>
                  <w:txbxContent>
                    <w:p w14:paraId="2FF646C7">
                      <w:pPr>
                        <w:jc w:val="center"/>
                      </w:pPr>
                      <w:r>
                        <w:rPr>
                          <w:rFonts w:hint="eastAsia"/>
                        </w:rPr>
                        <w:t>本项目位置</w:t>
                      </w:r>
                    </w:p>
                  </w:txbxContent>
                </v:textbox>
              </v:shape>
            </w:pict>
          </mc:Fallback>
        </mc:AlternateContent>
      </w:r>
      <w:r>
        <w:rPr>
          <w:highlight w:val="none"/>
        </w:rPr>
        <w:drawing>
          <wp:inline distT="0" distB="0" distL="114300" distR="114300">
            <wp:extent cx="8524875" cy="4549140"/>
            <wp:effectExtent l="0" t="0" r="9525" b="7620"/>
            <wp:docPr id="2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3"/>
                    <pic:cNvPicPr>
                      <a:picLocks noChangeAspect="1"/>
                    </pic:cNvPicPr>
                  </pic:nvPicPr>
                  <pic:blipFill>
                    <a:blip r:embed="rId66"/>
                    <a:stretch>
                      <a:fillRect/>
                    </a:stretch>
                  </pic:blipFill>
                  <pic:spPr>
                    <a:xfrm>
                      <a:off x="0" y="0"/>
                      <a:ext cx="8524875" cy="4549140"/>
                    </a:xfrm>
                    <a:prstGeom prst="rect">
                      <a:avLst/>
                    </a:prstGeom>
                    <a:noFill/>
                    <a:ln>
                      <a:noFill/>
                    </a:ln>
                  </pic:spPr>
                </pic:pic>
              </a:graphicData>
            </a:graphic>
          </wp:inline>
        </w:drawing>
      </w:r>
    </w:p>
    <w:p w14:paraId="3D82B4C3">
      <w:pPr>
        <w:pStyle w:val="11"/>
        <w:rPr>
          <w:color w:val="000000" w:themeColor="text1"/>
          <w:sz w:val="24"/>
          <w:highlight w:val="none"/>
          <w14:textFill>
            <w14:solidFill>
              <w14:schemeClr w14:val="tx1"/>
            </w14:solidFill>
          </w14:textFill>
        </w:rPr>
        <w:sectPr>
          <w:pgSz w:w="16838" w:h="11906" w:orient="landscape"/>
          <w:pgMar w:top="1531" w:right="1701" w:bottom="1531" w:left="1701" w:header="851" w:footer="851" w:gutter="0"/>
          <w:pgNumType w:fmt="decimal"/>
          <w:cols w:space="720" w:num="1"/>
          <w:docGrid w:linePitch="312" w:charSpace="0"/>
        </w:sectPr>
      </w:pPr>
    </w:p>
    <w:p w14:paraId="27767A8C">
      <w:pPr>
        <w:pStyle w:val="13"/>
        <w:outlineLvl w:val="0"/>
        <w:rPr>
          <w:color w:val="000000" w:themeColor="text1"/>
          <w:highlight w:val="none"/>
          <w14:textFill>
            <w14:solidFill>
              <w14:schemeClr w14:val="tx1"/>
            </w14:solidFill>
          </w14:textFill>
        </w:rPr>
      </w:pPr>
      <w:r>
        <w:rPr>
          <w:rFonts w:hint="eastAsia"/>
          <w:b/>
          <w:bCs/>
          <w:color w:val="000000" w:themeColor="text1"/>
          <w:sz w:val="24"/>
          <w:szCs w:val="24"/>
          <w:highlight w:val="none"/>
          <w14:textFill>
            <w14:solidFill>
              <w14:schemeClr w14:val="tx1"/>
            </w14:solidFill>
          </w14:textFill>
        </w:rPr>
        <w:t xml:space="preserve">附件5 </w:t>
      </w:r>
      <w:r>
        <w:rPr>
          <w:rFonts w:hint="eastAsia"/>
          <w:b/>
          <w:bCs/>
          <w:color w:val="000000" w:themeColor="text1"/>
          <w:sz w:val="24"/>
          <w:szCs w:val="24"/>
          <w:highlight w:val="none"/>
          <w:lang w:val="en-US" w:eastAsia="zh-CN"/>
          <w14:textFill>
            <w14:solidFill>
              <w14:schemeClr w14:val="tx1"/>
            </w14:solidFill>
          </w14:textFill>
        </w:rPr>
        <w:t>引用</w:t>
      </w:r>
      <w:r>
        <w:rPr>
          <w:rFonts w:hint="eastAsia"/>
          <w:b/>
          <w:bCs/>
          <w:color w:val="000000" w:themeColor="text1"/>
          <w:sz w:val="24"/>
          <w:szCs w:val="24"/>
          <w:highlight w:val="none"/>
          <w14:textFill>
            <w14:solidFill>
              <w14:schemeClr w14:val="tx1"/>
            </w14:solidFill>
          </w14:textFill>
        </w:rPr>
        <w:t>检测报告</w:t>
      </w:r>
    </w:p>
    <w:p w14:paraId="565767BD">
      <w:pPr>
        <w:rPr>
          <w:highlight w:val="none"/>
        </w:rPr>
        <w:sectPr>
          <w:pgSz w:w="11906" w:h="16838"/>
          <w:pgMar w:top="1701" w:right="1531" w:bottom="1701" w:left="1531" w:header="851" w:footer="851" w:gutter="0"/>
          <w:pgNumType w:fmt="decimal"/>
          <w:cols w:space="720" w:num="1"/>
          <w:docGrid w:linePitch="312" w:charSpace="0"/>
        </w:sectPr>
      </w:pPr>
      <w:r>
        <w:rPr>
          <w:highlight w:val="none"/>
        </w:rPr>
        <w:drawing>
          <wp:inline distT="0" distB="0" distL="114300" distR="114300">
            <wp:extent cx="5598795" cy="7987665"/>
            <wp:effectExtent l="0" t="0" r="9525" b="13335"/>
            <wp:docPr id="6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9"/>
                    <pic:cNvPicPr>
                      <a:picLocks noChangeAspect="1"/>
                    </pic:cNvPicPr>
                  </pic:nvPicPr>
                  <pic:blipFill>
                    <a:blip r:embed="rId67"/>
                    <a:stretch>
                      <a:fillRect/>
                    </a:stretch>
                  </pic:blipFill>
                  <pic:spPr>
                    <a:xfrm>
                      <a:off x="0" y="0"/>
                      <a:ext cx="5598795" cy="7987665"/>
                    </a:xfrm>
                    <a:prstGeom prst="rect">
                      <a:avLst/>
                    </a:prstGeom>
                    <a:noFill/>
                    <a:ln>
                      <a:noFill/>
                    </a:ln>
                  </pic:spPr>
                </pic:pic>
              </a:graphicData>
            </a:graphic>
          </wp:inline>
        </w:drawing>
      </w:r>
      <w:r>
        <w:rPr>
          <w:highlight w:val="none"/>
        </w:rPr>
        <w:drawing>
          <wp:inline distT="0" distB="0" distL="114300" distR="114300">
            <wp:extent cx="5598795" cy="7987665"/>
            <wp:effectExtent l="0" t="0" r="9525" b="13335"/>
            <wp:docPr id="6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10"/>
                    <pic:cNvPicPr>
                      <a:picLocks noChangeAspect="1"/>
                    </pic:cNvPicPr>
                  </pic:nvPicPr>
                  <pic:blipFill>
                    <a:blip r:embed="rId68"/>
                    <a:stretch>
                      <a:fillRect/>
                    </a:stretch>
                  </pic:blipFill>
                  <pic:spPr>
                    <a:xfrm>
                      <a:off x="0" y="0"/>
                      <a:ext cx="5598795" cy="7987665"/>
                    </a:xfrm>
                    <a:prstGeom prst="rect">
                      <a:avLst/>
                    </a:prstGeom>
                    <a:noFill/>
                    <a:ln>
                      <a:noFill/>
                    </a:ln>
                  </pic:spPr>
                </pic:pic>
              </a:graphicData>
            </a:graphic>
          </wp:inline>
        </w:drawing>
      </w:r>
      <w:r>
        <w:rPr>
          <w:highlight w:val="none"/>
        </w:rPr>
        <w:drawing>
          <wp:inline distT="0" distB="0" distL="114300" distR="114300">
            <wp:extent cx="5598795" cy="7987665"/>
            <wp:effectExtent l="0" t="0" r="9525" b="13335"/>
            <wp:docPr id="1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pic:cNvPicPr>
                      <a:picLocks noChangeAspect="1"/>
                    </pic:cNvPicPr>
                  </pic:nvPicPr>
                  <pic:blipFill>
                    <a:blip r:embed="rId69"/>
                    <a:stretch>
                      <a:fillRect/>
                    </a:stretch>
                  </pic:blipFill>
                  <pic:spPr>
                    <a:xfrm>
                      <a:off x="0" y="0"/>
                      <a:ext cx="5598795" cy="7987665"/>
                    </a:xfrm>
                    <a:prstGeom prst="rect">
                      <a:avLst/>
                    </a:prstGeom>
                    <a:noFill/>
                    <a:ln>
                      <a:noFill/>
                    </a:ln>
                  </pic:spPr>
                </pic:pic>
              </a:graphicData>
            </a:graphic>
          </wp:inline>
        </w:drawing>
      </w:r>
      <w:r>
        <w:rPr>
          <w:highlight w:val="none"/>
        </w:rPr>
        <w:drawing>
          <wp:inline distT="0" distB="0" distL="114300" distR="114300">
            <wp:extent cx="5598795" cy="7987665"/>
            <wp:effectExtent l="0" t="0" r="9525" b="13335"/>
            <wp:docPr id="1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2"/>
                    <pic:cNvPicPr>
                      <a:picLocks noChangeAspect="1"/>
                    </pic:cNvPicPr>
                  </pic:nvPicPr>
                  <pic:blipFill>
                    <a:blip r:embed="rId70"/>
                    <a:stretch>
                      <a:fillRect/>
                    </a:stretch>
                  </pic:blipFill>
                  <pic:spPr>
                    <a:xfrm>
                      <a:off x="0" y="0"/>
                      <a:ext cx="5598795" cy="7987665"/>
                    </a:xfrm>
                    <a:prstGeom prst="rect">
                      <a:avLst/>
                    </a:prstGeom>
                    <a:noFill/>
                    <a:ln>
                      <a:noFill/>
                    </a:ln>
                  </pic:spPr>
                </pic:pic>
              </a:graphicData>
            </a:graphic>
          </wp:inline>
        </w:drawing>
      </w:r>
      <w:r>
        <w:rPr>
          <w:highlight w:val="none"/>
        </w:rPr>
        <w:drawing>
          <wp:inline distT="0" distB="0" distL="114300" distR="114300">
            <wp:extent cx="5598795" cy="7987665"/>
            <wp:effectExtent l="0" t="0" r="9525" b="13335"/>
            <wp:docPr id="7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3"/>
                    <pic:cNvPicPr>
                      <a:picLocks noChangeAspect="1"/>
                    </pic:cNvPicPr>
                  </pic:nvPicPr>
                  <pic:blipFill>
                    <a:blip r:embed="rId71"/>
                    <a:stretch>
                      <a:fillRect/>
                    </a:stretch>
                  </pic:blipFill>
                  <pic:spPr>
                    <a:xfrm>
                      <a:off x="0" y="0"/>
                      <a:ext cx="5598795" cy="7987665"/>
                    </a:xfrm>
                    <a:prstGeom prst="rect">
                      <a:avLst/>
                    </a:prstGeom>
                    <a:noFill/>
                    <a:ln>
                      <a:noFill/>
                    </a:ln>
                  </pic:spPr>
                </pic:pic>
              </a:graphicData>
            </a:graphic>
          </wp:inline>
        </w:drawing>
      </w:r>
    </w:p>
    <w:p w14:paraId="02247AC5">
      <w:pPr>
        <w:pStyle w:val="13"/>
        <w:outlineLvl w:val="0"/>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pPr>
      <w:r>
        <w:rPr>
          <w:rFonts w:hint="eastAsia" w:ascii="Times New Roman" w:hAnsi="Times New Roman" w:eastAsia="宋体" w:cs="Times New Roman"/>
          <w:b/>
          <w:bCs/>
          <w:color w:val="000000" w:themeColor="text1"/>
          <w:sz w:val="24"/>
          <w:szCs w:val="24"/>
          <w:highlight w:val="none"/>
          <w:lang w:val="en-US" w:eastAsia="zh-CN"/>
          <w14:textFill>
            <w14:solidFill>
              <w14:schemeClr w14:val="tx1"/>
            </w14:solidFill>
          </w14:textFill>
        </w:rPr>
        <w:t>附件6 采区原有环保手续</w:t>
      </w:r>
    </w:p>
    <w:p w14:paraId="3910FD86">
      <w:pPr>
        <w:pStyle w:val="7"/>
        <w:rPr>
          <w:highlight w:val="none"/>
        </w:rPr>
      </w:pPr>
      <w:r>
        <w:rPr>
          <w:highlight w:val="none"/>
        </w:rPr>
        <w:drawing>
          <wp:inline distT="0" distB="0" distL="114300" distR="114300">
            <wp:extent cx="5610225" cy="7940040"/>
            <wp:effectExtent l="0" t="0" r="9525" b="3810"/>
            <wp:docPr id="7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9"/>
                    <pic:cNvPicPr>
                      <a:picLocks noChangeAspect="1"/>
                    </pic:cNvPicPr>
                  </pic:nvPicPr>
                  <pic:blipFill>
                    <a:blip r:embed="rId72"/>
                    <a:stretch>
                      <a:fillRect/>
                    </a:stretch>
                  </pic:blipFill>
                  <pic:spPr>
                    <a:xfrm>
                      <a:off x="0" y="0"/>
                      <a:ext cx="5610225" cy="7940040"/>
                    </a:xfrm>
                    <a:prstGeom prst="rect">
                      <a:avLst/>
                    </a:prstGeom>
                    <a:noFill/>
                    <a:ln>
                      <a:noFill/>
                    </a:ln>
                  </pic:spPr>
                </pic:pic>
              </a:graphicData>
            </a:graphic>
          </wp:inline>
        </w:drawing>
      </w:r>
    </w:p>
    <w:p w14:paraId="6AFFB42B">
      <w:pPr>
        <w:pStyle w:val="8"/>
        <w:numPr>
          <w:ilvl w:val="0"/>
          <w:numId w:val="0"/>
        </w:numPr>
        <w:rPr>
          <w:highlight w:val="none"/>
        </w:rPr>
      </w:pPr>
      <w:r>
        <w:rPr>
          <w:highlight w:val="none"/>
        </w:rPr>
        <w:drawing>
          <wp:inline distT="0" distB="0" distL="114300" distR="114300">
            <wp:extent cx="5610225" cy="7940040"/>
            <wp:effectExtent l="0" t="0" r="9525" b="3810"/>
            <wp:docPr id="7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0"/>
                    <pic:cNvPicPr>
                      <a:picLocks noChangeAspect="1"/>
                    </pic:cNvPicPr>
                  </pic:nvPicPr>
                  <pic:blipFill>
                    <a:blip r:embed="rId73"/>
                    <a:stretch>
                      <a:fillRect/>
                    </a:stretch>
                  </pic:blipFill>
                  <pic:spPr>
                    <a:xfrm>
                      <a:off x="0" y="0"/>
                      <a:ext cx="5610225" cy="7940040"/>
                    </a:xfrm>
                    <a:prstGeom prst="rect">
                      <a:avLst/>
                    </a:prstGeom>
                    <a:noFill/>
                    <a:ln>
                      <a:noFill/>
                    </a:ln>
                  </pic:spPr>
                </pic:pic>
              </a:graphicData>
            </a:graphic>
          </wp:inline>
        </w:drawing>
      </w:r>
    </w:p>
    <w:p w14:paraId="0771DC64">
      <w:pPr>
        <w:pStyle w:val="8"/>
        <w:numPr>
          <w:ilvl w:val="0"/>
          <w:numId w:val="0"/>
        </w:numPr>
        <w:rPr>
          <w:highlight w:val="none"/>
        </w:rPr>
      </w:pPr>
      <w:r>
        <w:rPr>
          <w:highlight w:val="none"/>
        </w:rPr>
        <w:drawing>
          <wp:inline distT="0" distB="0" distL="114300" distR="114300">
            <wp:extent cx="5610225" cy="7940040"/>
            <wp:effectExtent l="0" t="0" r="9525" b="3810"/>
            <wp:docPr id="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1"/>
                    <pic:cNvPicPr>
                      <a:picLocks noChangeAspect="1"/>
                    </pic:cNvPicPr>
                  </pic:nvPicPr>
                  <pic:blipFill>
                    <a:blip r:embed="rId74"/>
                    <a:stretch>
                      <a:fillRect/>
                    </a:stretch>
                  </pic:blipFill>
                  <pic:spPr>
                    <a:xfrm>
                      <a:off x="0" y="0"/>
                      <a:ext cx="5610225" cy="7940040"/>
                    </a:xfrm>
                    <a:prstGeom prst="rect">
                      <a:avLst/>
                    </a:prstGeom>
                    <a:noFill/>
                    <a:ln>
                      <a:noFill/>
                    </a:ln>
                  </pic:spPr>
                </pic:pic>
              </a:graphicData>
            </a:graphic>
          </wp:inline>
        </w:drawing>
      </w:r>
    </w:p>
    <w:p w14:paraId="1797583E">
      <w:pPr>
        <w:pStyle w:val="8"/>
        <w:numPr>
          <w:ilvl w:val="0"/>
          <w:numId w:val="0"/>
        </w:numPr>
        <w:rPr>
          <w:highlight w:val="none"/>
        </w:rPr>
      </w:pPr>
      <w:r>
        <w:rPr>
          <w:highlight w:val="none"/>
        </w:rPr>
        <w:drawing>
          <wp:inline distT="0" distB="0" distL="114300" distR="114300">
            <wp:extent cx="5610225" cy="7940040"/>
            <wp:effectExtent l="0" t="0" r="9525" b="3810"/>
            <wp:docPr id="7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2"/>
                    <pic:cNvPicPr>
                      <a:picLocks noChangeAspect="1"/>
                    </pic:cNvPicPr>
                  </pic:nvPicPr>
                  <pic:blipFill>
                    <a:blip r:embed="rId75"/>
                    <a:stretch>
                      <a:fillRect/>
                    </a:stretch>
                  </pic:blipFill>
                  <pic:spPr>
                    <a:xfrm>
                      <a:off x="0" y="0"/>
                      <a:ext cx="5610225" cy="7940040"/>
                    </a:xfrm>
                    <a:prstGeom prst="rect">
                      <a:avLst/>
                    </a:prstGeom>
                    <a:noFill/>
                    <a:ln>
                      <a:noFill/>
                    </a:ln>
                  </pic:spPr>
                </pic:pic>
              </a:graphicData>
            </a:graphic>
          </wp:inline>
        </w:drawing>
      </w:r>
    </w:p>
    <w:p w14:paraId="2E7A223A">
      <w:pPr>
        <w:pStyle w:val="8"/>
        <w:numPr>
          <w:ilvl w:val="0"/>
          <w:numId w:val="0"/>
        </w:numPr>
        <w:rPr>
          <w:highlight w:val="none"/>
        </w:rPr>
      </w:pPr>
      <w:r>
        <w:rPr>
          <w:highlight w:val="none"/>
        </w:rPr>
        <w:drawing>
          <wp:inline distT="0" distB="0" distL="114300" distR="114300">
            <wp:extent cx="5610225" cy="7940040"/>
            <wp:effectExtent l="0" t="0" r="9525" b="3810"/>
            <wp:docPr id="80"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3"/>
                    <pic:cNvPicPr>
                      <a:picLocks noChangeAspect="1"/>
                    </pic:cNvPicPr>
                  </pic:nvPicPr>
                  <pic:blipFill>
                    <a:blip r:embed="rId76"/>
                    <a:stretch>
                      <a:fillRect/>
                    </a:stretch>
                  </pic:blipFill>
                  <pic:spPr>
                    <a:xfrm>
                      <a:off x="0" y="0"/>
                      <a:ext cx="5610225" cy="7940040"/>
                    </a:xfrm>
                    <a:prstGeom prst="rect">
                      <a:avLst/>
                    </a:prstGeom>
                    <a:noFill/>
                    <a:ln>
                      <a:noFill/>
                    </a:ln>
                  </pic:spPr>
                </pic:pic>
              </a:graphicData>
            </a:graphic>
          </wp:inline>
        </w:drawing>
      </w:r>
    </w:p>
    <w:p w14:paraId="089BA76E">
      <w:pPr>
        <w:pStyle w:val="8"/>
        <w:numPr>
          <w:ilvl w:val="0"/>
          <w:numId w:val="0"/>
        </w:numPr>
        <w:rPr>
          <w:rFonts w:hint="default"/>
          <w:highlight w:val="none"/>
          <w:lang w:val="en-US" w:eastAsia="zh-CN"/>
        </w:rPr>
      </w:pPr>
      <w:r>
        <w:rPr>
          <w:highlight w:val="none"/>
        </w:rPr>
        <w:drawing>
          <wp:inline distT="0" distB="0" distL="114300" distR="114300">
            <wp:extent cx="5605145" cy="7931150"/>
            <wp:effectExtent l="0" t="0" r="14605" b="12700"/>
            <wp:docPr id="8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14"/>
                    <pic:cNvPicPr>
                      <a:picLocks noChangeAspect="1"/>
                    </pic:cNvPicPr>
                  </pic:nvPicPr>
                  <pic:blipFill>
                    <a:blip r:embed="rId77"/>
                    <a:stretch>
                      <a:fillRect/>
                    </a:stretch>
                  </pic:blipFill>
                  <pic:spPr>
                    <a:xfrm>
                      <a:off x="0" y="0"/>
                      <a:ext cx="5605145" cy="7931150"/>
                    </a:xfrm>
                    <a:prstGeom prst="rect">
                      <a:avLst/>
                    </a:prstGeom>
                    <a:noFill/>
                    <a:ln>
                      <a:noFill/>
                    </a:ln>
                  </pic:spPr>
                </pic:pic>
              </a:graphicData>
            </a:graphic>
          </wp:inline>
        </w:drawing>
      </w:r>
    </w:p>
    <w:p w14:paraId="028054EE">
      <w:pPr>
        <w:rPr>
          <w:color w:val="000000" w:themeColor="text1"/>
          <w:highlight w:val="none"/>
          <w14:textFill>
            <w14:solidFill>
              <w14:schemeClr w14:val="tx1"/>
            </w14:solidFill>
          </w14:textFill>
        </w:rPr>
      </w:pPr>
    </w:p>
    <w:sectPr>
      <w:pgSz w:w="11906" w:h="16838"/>
      <w:pgMar w:top="1701" w:right="1531" w:bottom="1701" w:left="1531" w:header="851" w:footer="851" w:gutter="0"/>
      <w:pgNumType w:fmt="decimal"/>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modern"/>
    <w:pitch w:val="default"/>
    <w:sig w:usb0="800002BF" w:usb1="38CF7CFA" w:usb2="00000016" w:usb3="00000000" w:csb0="00040001" w:csb1="00000000"/>
  </w:font>
  <w:font w:name="方正小标宋_GBK">
    <w:altName w:val="微软雅黑"/>
    <w:panose1 w:val="00000000000000000000"/>
    <w:charset w:val="86"/>
    <w:family w:val="script"/>
    <w:pitch w:val="default"/>
    <w:sig w:usb0="00000000" w:usb1="00000000" w:usb2="00000010" w:usb3="00000000" w:csb0="00040000" w:csb1="00000000"/>
  </w:font>
  <w:font w:name="微软雅黑">
    <w:panose1 w:val="020B0503020204020204"/>
    <w:charset w:val="86"/>
    <w:family w:val="auto"/>
    <w:pitch w:val="default"/>
    <w:sig w:usb0="80000287" w:usb1="280F3C52" w:usb2="00000016" w:usb3="00000000" w:csb0="0004001F" w:csb1="00000000"/>
  </w:font>
  <w:font w:name="楷体_GB2312">
    <w:altName w:val="楷体"/>
    <w:panose1 w:val="00000000000000000000"/>
    <w:charset w:val="86"/>
    <w:family w:val="modern"/>
    <w:pitch w:val="default"/>
    <w:sig w:usb0="00000000" w:usb1="00000000" w:usb2="00000010" w:usb3="00000000" w:csb0="00040000" w:csb1="00000000"/>
  </w:font>
  <w:font w:name="楷体">
    <w:panose1 w:val="02010609060101010101"/>
    <w:charset w:val="86"/>
    <w:family w:val="auto"/>
    <w:pitch w:val="default"/>
    <w:sig w:usb0="800002BF" w:usb1="38CF7CFA" w:usb2="00000016" w:usb3="00000000" w:csb0="00040001" w:csb1="00000000"/>
  </w:font>
  <w:font w:name="Segoe UI Symbol">
    <w:panose1 w:val="020B0502040204020203"/>
    <w:charset w:val="00"/>
    <w:family w:val="swiss"/>
    <w:pitch w:val="default"/>
    <w:sig w:usb0="8000006F" w:usb1="1200FBEF" w:usb2="0064C000" w:usb3="00000002" w:csb0="00000001" w:csb1="40000000"/>
  </w:font>
  <w:font w:name="TimesNewRomanPSMT">
    <w:altName w:val="Times New Roman"/>
    <w:panose1 w:val="00000000000000000000"/>
    <w:charset w:val="00"/>
    <w:family w:val="roman"/>
    <w:pitch w:val="default"/>
    <w:sig w:usb0="00000000" w:usb1="00000000" w:usb2="00000010" w:usb3="00000000" w:csb0="00040001" w:csb1="00000000"/>
  </w:font>
  <w:font w:name="Cambria Math">
    <w:panose1 w:val="02040503050406030204"/>
    <w:charset w:val="00"/>
    <w:family w:val="roman"/>
    <w:pitch w:val="default"/>
    <w:sig w:usb0="E00002FF" w:usb1="420024FF" w:usb2="00000000" w:usb3="00000000" w:csb0="2000019F"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8D81A42">
    <w:pPr>
      <w:pStyle w:val="13"/>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140A2B">
    <w:pPr>
      <w:pStyle w:val="13"/>
      <w:framePr w:wrap="around" w:vAnchor="text" w:hAnchor="margin" w:xAlign="center" w:y="1"/>
      <w:rPr>
        <w:rStyle w:val="21"/>
      </w:rPr>
    </w:pPr>
    <w:r>
      <w:fldChar w:fldCharType="begin"/>
    </w:r>
    <w:r>
      <w:rPr>
        <w:rStyle w:val="21"/>
      </w:rPr>
      <w:instrText xml:space="preserve">PAGE  </w:instrText>
    </w:r>
    <w:r>
      <w:fldChar w:fldCharType="end"/>
    </w:r>
  </w:p>
  <w:p w14:paraId="1369A61B">
    <w:pPr>
      <w:pStyle w:val="13"/>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031B93">
    <w:pPr>
      <w:pStyle w:val="13"/>
      <w:ind w:right="360" w:firstLine="360"/>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4A2471">
    <w:pPr>
      <w:pStyle w:val="13"/>
      <w:ind w:right="360" w:firstLine="360"/>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50668D2">
    <w:pPr>
      <w:pStyle w:val="13"/>
      <w:ind w:right="360" w:firstLine="360"/>
      <w:jc w:val="center"/>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35" name="文本框 3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723C93">
                          <w:pPr>
                            <w:pStyle w:val="13"/>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AjFjpkzAgAAYwQAAA4AAAAAAAAAAQAgAAAAHwEAAGRycy9lMm9Eb2MueG1sUEsF&#10;BgAAAAAGAAYAWQEAAMQFAAAAAA==&#10;">
              <v:fill on="f" focussize="0,0"/>
              <v:stroke on="f" weight="0.5pt"/>
              <v:imagedata o:title=""/>
              <o:lock v:ext="edit" aspectratio="f"/>
              <v:textbox inset="0mm,0mm,0mm,0mm" style="mso-fit-shape-to-text:t;">
                <w:txbxContent>
                  <w:p w14:paraId="2C723C93">
                    <w:pPr>
                      <w:pStyle w:val="13"/>
                    </w:pPr>
                    <w:r>
                      <w:fldChar w:fldCharType="begin"/>
                    </w:r>
                    <w:r>
                      <w:instrText xml:space="preserve"> PAGE  \* MERGEFORMAT </w:instrText>
                    </w:r>
                    <w:r>
                      <w:fldChar w:fldCharType="separate"/>
                    </w:r>
                    <w:r>
                      <w:t>1</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DF0165">
    <w:pPr>
      <w:pStyle w:val="13"/>
      <w:ind w:right="360" w:firstLine="360"/>
      <w:jc w:val="center"/>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6" name="文本框 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EAC490">
                          <w:pPr>
                            <w:pStyle w:val="13"/>
                          </w:pPr>
                          <w:r>
                            <w:fldChar w:fldCharType="begin"/>
                          </w:r>
                          <w:r>
                            <w:instrText xml:space="preserve"> PAGE  \* MERGEFORMAT </w:instrText>
                          </w:r>
                          <w:r>
                            <w:fldChar w:fldCharType="separate"/>
                          </w:r>
                          <w:r>
                            <w:t>19</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I87R3IzAgAAYwQAAA4AAAAAAAAAAQAgAAAAHwEAAGRycy9lMm9Eb2MueG1sUEsF&#10;BgAAAAAGAAYAWQEAAMQFAAAAAA==&#10;">
              <v:fill on="f" focussize="0,0"/>
              <v:stroke on="f" weight="0.5pt"/>
              <v:imagedata o:title=""/>
              <o:lock v:ext="edit" aspectratio="f"/>
              <v:textbox inset="0mm,0mm,0mm,0mm" style="mso-fit-shape-to-text:t;">
                <w:txbxContent>
                  <w:p w14:paraId="27EAC490">
                    <w:pPr>
                      <w:pStyle w:val="13"/>
                    </w:pPr>
                    <w:r>
                      <w:fldChar w:fldCharType="begin"/>
                    </w:r>
                    <w:r>
                      <w:instrText xml:space="preserve"> PAGE  \* MERGEFORMAT </w:instrText>
                    </w:r>
                    <w:r>
                      <w:fldChar w:fldCharType="separate"/>
                    </w:r>
                    <w:r>
                      <w:t>19</w:t>
                    </w:r>
                    <w: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AA93F0D">
    <w:pPr>
      <w:pStyle w:val="13"/>
      <w:ind w:right="360" w:firstLine="360"/>
      <w:jc w:val="center"/>
    </w:pPr>
    <w:r>
      <w:rPr>
        <w:sz w:val="18"/>
      </w:rP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DE1DC19">
                          <w:pPr>
                            <w:pStyle w:val="13"/>
                          </w:pPr>
                          <w:r>
                            <w:fldChar w:fldCharType="begin"/>
                          </w:r>
                          <w:r>
                            <w:instrText xml:space="preserve"> PAGE  \* MERGEFORMAT </w:instrText>
                          </w:r>
                          <w:r>
                            <w:fldChar w:fldCharType="separate"/>
                          </w:r>
                          <w:r>
                            <w:t>72</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2T0J0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M2T0J0zAgAAYwQAAA4AAAAAAAAAAQAgAAAAHwEAAGRycy9lMm9Eb2MueG1sUEsF&#10;BgAAAAAGAAYAWQEAAMQFAAAAAA==&#10;">
              <v:fill on="f" focussize="0,0"/>
              <v:stroke on="f" weight="0.5pt"/>
              <v:imagedata o:title=""/>
              <o:lock v:ext="edit" aspectratio="f"/>
              <v:textbox inset="0mm,0mm,0mm,0mm" style="mso-fit-shape-to-text:t;">
                <w:txbxContent>
                  <w:p w14:paraId="2DE1DC19">
                    <w:pPr>
                      <w:pStyle w:val="13"/>
                    </w:pPr>
                    <w:r>
                      <w:fldChar w:fldCharType="begin"/>
                    </w:r>
                    <w:r>
                      <w:instrText xml:space="preserve"> PAGE  \* MERGEFORMAT </w:instrText>
                    </w:r>
                    <w:r>
                      <w:fldChar w:fldCharType="separate"/>
                    </w:r>
                    <w:r>
                      <w:t>72</w:t>
                    </w:r>
                    <w:r>
                      <w:fldChar w:fldCharType="end"/>
                    </w:r>
                  </w:p>
                </w:txbxContent>
              </v:textbox>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C3EE8D">
    <w:pPr>
      <w:pStyle w:val="13"/>
      <w:ind w:right="360" w:firstLine="360"/>
      <w:jc w:val="center"/>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39" name="文本框 3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4B8EB67">
                          <w:pPr>
                            <w:pStyle w:val="13"/>
                          </w:pPr>
                          <w:r>
                            <w:fldChar w:fldCharType="begin"/>
                          </w:r>
                          <w:r>
                            <w:instrText xml:space="preserve"> PAGE  \* MERGEFORMAT </w:instrText>
                          </w:r>
                          <w:r>
                            <w:fldChar w:fldCharType="separate"/>
                          </w:r>
                          <w:r>
                            <w:t>83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YzS4AzAgAAYwQAAA4AAABkcnMvZTJvRG9jLnhtbK1UzY7TMBC+I/EO&#10;lu80aVesSt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OoN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YzS4AzAgAAYwQAAA4AAAAAAAAAAQAgAAAAHwEAAGRycy9lMm9Eb2MueG1sUEsF&#10;BgAAAAAGAAYAWQEAAMQFAAAAAA==&#10;">
              <v:fill on="f" focussize="0,0"/>
              <v:stroke on="f" weight="0.5pt"/>
              <v:imagedata o:title=""/>
              <o:lock v:ext="edit" aspectratio="f"/>
              <v:textbox inset="0mm,0mm,0mm,0mm" style="mso-fit-shape-to-text:t;">
                <w:txbxContent>
                  <w:p w14:paraId="54B8EB67">
                    <w:pPr>
                      <w:pStyle w:val="13"/>
                    </w:pPr>
                    <w:r>
                      <w:fldChar w:fldCharType="begin"/>
                    </w:r>
                    <w:r>
                      <w:instrText xml:space="preserve"> PAGE  \* MERGEFORMAT </w:instrText>
                    </w:r>
                    <w:r>
                      <w:fldChar w:fldCharType="separate"/>
                    </w:r>
                    <w:r>
                      <w:t>83</w:t>
                    </w:r>
                    <w:r>
                      <w:fldChar w:fldCharType="end"/>
                    </w:r>
                  </w:p>
                </w:txbxContent>
              </v:textbox>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D620B6">
    <w:pPr>
      <w:pStyle w:val="13"/>
      <w:ind w:right="360" w:firstLine="360"/>
      <w:jc w:val="center"/>
    </w:pPr>
    <w:r>
      <w:rPr>
        <w:sz w:val="18"/>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41" name="文本框 4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05CADDF">
                          <w:pPr>
                            <w:pStyle w:val="13"/>
                          </w:pPr>
                          <w:r>
                            <w:fldChar w:fldCharType="begin"/>
                          </w:r>
                          <w:r>
                            <w:instrText xml:space="preserve"> PAGE  \* MERGEFORMAT </w:instrText>
                          </w:r>
                          <w:r>
                            <w:fldChar w:fldCharType="separate"/>
                          </w:r>
                          <w:r>
                            <w:t>86</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GxhYO8zAgAAYwQAAA4AAAAAAAAAAQAgAAAAHwEAAGRycy9lMm9Eb2MueG1sUEsF&#10;BgAAAAAGAAYAWQEAAMQFAAAAAA==&#10;">
              <v:fill on="f" focussize="0,0"/>
              <v:stroke on="f" weight="0.5pt"/>
              <v:imagedata o:title=""/>
              <o:lock v:ext="edit" aspectratio="f"/>
              <v:textbox inset="0mm,0mm,0mm,0mm" style="mso-fit-shape-to-text:t;">
                <w:txbxContent>
                  <w:p w14:paraId="705CADDF">
                    <w:pPr>
                      <w:pStyle w:val="13"/>
                    </w:pPr>
                    <w:r>
                      <w:fldChar w:fldCharType="begin"/>
                    </w:r>
                    <w:r>
                      <w:instrText xml:space="preserve"> PAGE  \* MERGEFORMAT </w:instrText>
                    </w:r>
                    <w:r>
                      <w:fldChar w:fldCharType="separate"/>
                    </w:r>
                    <w:r>
                      <w:t>86</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1C7483">
    <w:pPr>
      <w:pStyle w:val="14"/>
      <w:pBdr>
        <w:bottom w:val="none" w:color="auto" w:sz="0" w:space="1"/>
      </w:pBd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48E26A0"/>
    <w:multiLevelType w:val="singleLevel"/>
    <w:tmpl w:val="848E26A0"/>
    <w:lvl w:ilvl="0" w:tentative="0">
      <w:start w:val="1"/>
      <w:numFmt w:val="decimal"/>
      <w:suff w:val="nothing"/>
      <w:lvlText w:val="%1、"/>
      <w:lvlJc w:val="left"/>
    </w:lvl>
  </w:abstractNum>
  <w:abstractNum w:abstractNumId="1">
    <w:nsid w:val="A64AE641"/>
    <w:multiLevelType w:val="singleLevel"/>
    <w:tmpl w:val="A64AE641"/>
    <w:lvl w:ilvl="0" w:tentative="0">
      <w:start w:val="5"/>
      <w:numFmt w:val="upperLetter"/>
      <w:lvlText w:val="%1."/>
      <w:lvlJc w:val="left"/>
      <w:pPr>
        <w:tabs>
          <w:tab w:val="left" w:pos="312"/>
        </w:tabs>
      </w:pPr>
    </w:lvl>
  </w:abstractNum>
  <w:abstractNum w:abstractNumId="2">
    <w:nsid w:val="C04522D1"/>
    <w:multiLevelType w:val="singleLevel"/>
    <w:tmpl w:val="C04522D1"/>
    <w:lvl w:ilvl="0" w:tentative="0">
      <w:start w:val="1"/>
      <w:numFmt w:val="bullet"/>
      <w:pStyle w:val="8"/>
      <w:lvlText w:val=""/>
      <w:lvlJc w:val="left"/>
      <w:pPr>
        <w:tabs>
          <w:tab w:val="left" w:pos="2040"/>
        </w:tabs>
        <w:ind w:left="2040" w:hanging="360"/>
      </w:pPr>
      <w:rPr>
        <w:rFonts w:hint="default" w:ascii="Wingdings" w:hAnsi="Wingdings"/>
      </w:rPr>
    </w:lvl>
  </w:abstractNum>
  <w:abstractNum w:abstractNumId="3">
    <w:nsid w:val="1954309B"/>
    <w:multiLevelType w:val="singleLevel"/>
    <w:tmpl w:val="1954309B"/>
    <w:lvl w:ilvl="0" w:tentative="0">
      <w:start w:val="2"/>
      <w:numFmt w:val="decimal"/>
      <w:suff w:val="nothing"/>
      <w:lvlText w:val="（%1）"/>
      <w:lvlJc w:val="left"/>
    </w:lvl>
  </w:abstractNum>
  <w:abstractNum w:abstractNumId="4">
    <w:nsid w:val="391F91BB"/>
    <w:multiLevelType w:val="singleLevel"/>
    <w:tmpl w:val="391F91BB"/>
    <w:lvl w:ilvl="0" w:tentative="0">
      <w:start w:val="2"/>
      <w:numFmt w:val="chineseCounting"/>
      <w:suff w:val="nothing"/>
      <w:lvlText w:val="%1、"/>
      <w:lvlJc w:val="left"/>
      <w:rPr>
        <w:rFonts w:hint="eastAsia"/>
      </w:rPr>
    </w:lvl>
  </w:abstractNum>
  <w:abstractNum w:abstractNumId="5">
    <w:nsid w:val="5A712EDC"/>
    <w:multiLevelType w:val="singleLevel"/>
    <w:tmpl w:val="5A712EDC"/>
    <w:lvl w:ilvl="0" w:tentative="0">
      <w:start w:val="1"/>
      <w:numFmt w:val="decimal"/>
      <w:suff w:val="nothing"/>
      <w:lvlText w:val="%1、"/>
      <w:lvlJc w:val="left"/>
    </w:lvl>
  </w:abstractNum>
  <w:abstractNum w:abstractNumId="6">
    <w:nsid w:val="62977CE4"/>
    <w:multiLevelType w:val="singleLevel"/>
    <w:tmpl w:val="62977CE4"/>
    <w:lvl w:ilvl="0" w:tentative="0">
      <w:start w:val="2"/>
      <w:numFmt w:val="decimal"/>
      <w:suff w:val="nothing"/>
      <w:lvlText w:val="%1、"/>
      <w:lvlJc w:val="left"/>
    </w:lvl>
  </w:abstractNum>
  <w:abstractNum w:abstractNumId="7">
    <w:nsid w:val="790997FE"/>
    <w:multiLevelType w:val="singleLevel"/>
    <w:tmpl w:val="790997FE"/>
    <w:lvl w:ilvl="0" w:tentative="0">
      <w:start w:val="3"/>
      <w:numFmt w:val="chineseCounting"/>
      <w:suff w:val="nothing"/>
      <w:lvlText w:val="%1、"/>
      <w:lvlJc w:val="left"/>
      <w:rPr>
        <w:rFonts w:hint="eastAsia"/>
      </w:rPr>
    </w:lvl>
  </w:abstractNum>
  <w:num w:numId="1">
    <w:abstractNumId w:val="2"/>
  </w:num>
  <w:num w:numId="2">
    <w:abstractNumId w:val="7"/>
  </w:num>
  <w:num w:numId="3">
    <w:abstractNumId w:val="6"/>
  </w:num>
  <w:num w:numId="4">
    <w:abstractNumId w:val="4"/>
  </w:num>
  <w:num w:numId="5">
    <w:abstractNumId w:val="5"/>
  </w:num>
  <w:num w:numId="6">
    <w:abstractNumId w:val="3"/>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noLineBreaksAfter w:lang="zh-CN" w:val="([{·‘“〈《「『【〔〖（．［｛￡￥"/>
  <w:noLineBreaksBefore w:lang="zh-CN" w:val="!),.:;?]}¨·ˇˉ―‖’”…∶、。〃々〉》」』】〕〗！＂＇），．：；？］｀｜｝～￠"/>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NDVhYTg4MzQwMTQ1ZTlhYzRjZDBlNjA0OGU4OTk5YmIifQ=="/>
  </w:docVars>
  <w:rsids>
    <w:rsidRoot w:val="00A14947"/>
    <w:rsid w:val="000060B3"/>
    <w:rsid w:val="0002349A"/>
    <w:rsid w:val="0004364B"/>
    <w:rsid w:val="00061B1F"/>
    <w:rsid w:val="000733C4"/>
    <w:rsid w:val="00074783"/>
    <w:rsid w:val="0008070B"/>
    <w:rsid w:val="000810AC"/>
    <w:rsid w:val="00081A02"/>
    <w:rsid w:val="00082231"/>
    <w:rsid w:val="00092D38"/>
    <w:rsid w:val="0009377B"/>
    <w:rsid w:val="000A20C9"/>
    <w:rsid w:val="000B058F"/>
    <w:rsid w:val="000B4467"/>
    <w:rsid w:val="000B4DB9"/>
    <w:rsid w:val="000C09AC"/>
    <w:rsid w:val="000C767F"/>
    <w:rsid w:val="000D5A44"/>
    <w:rsid w:val="000E3ED2"/>
    <w:rsid w:val="00131F42"/>
    <w:rsid w:val="001357F1"/>
    <w:rsid w:val="00140FA8"/>
    <w:rsid w:val="00142FEB"/>
    <w:rsid w:val="00143A2D"/>
    <w:rsid w:val="00145A41"/>
    <w:rsid w:val="00151675"/>
    <w:rsid w:val="00157435"/>
    <w:rsid w:val="0017504D"/>
    <w:rsid w:val="0017671A"/>
    <w:rsid w:val="00177422"/>
    <w:rsid w:val="00184590"/>
    <w:rsid w:val="001870D1"/>
    <w:rsid w:val="0018781E"/>
    <w:rsid w:val="0019262D"/>
    <w:rsid w:val="001A1B35"/>
    <w:rsid w:val="001A48A2"/>
    <w:rsid w:val="001A6F61"/>
    <w:rsid w:val="001B72B8"/>
    <w:rsid w:val="001C69B3"/>
    <w:rsid w:val="001D5595"/>
    <w:rsid w:val="001D7874"/>
    <w:rsid w:val="001D7F22"/>
    <w:rsid w:val="001F0F17"/>
    <w:rsid w:val="001F3347"/>
    <w:rsid w:val="001F69E4"/>
    <w:rsid w:val="002125B4"/>
    <w:rsid w:val="002155B8"/>
    <w:rsid w:val="00224839"/>
    <w:rsid w:val="002249B2"/>
    <w:rsid w:val="00226574"/>
    <w:rsid w:val="002278EC"/>
    <w:rsid w:val="0023280E"/>
    <w:rsid w:val="002377D1"/>
    <w:rsid w:val="002506BC"/>
    <w:rsid w:val="00254345"/>
    <w:rsid w:val="00264557"/>
    <w:rsid w:val="002805AB"/>
    <w:rsid w:val="00284204"/>
    <w:rsid w:val="00291773"/>
    <w:rsid w:val="002A168C"/>
    <w:rsid w:val="002A3DC7"/>
    <w:rsid w:val="002B49E2"/>
    <w:rsid w:val="002B7B00"/>
    <w:rsid w:val="002B7C44"/>
    <w:rsid w:val="002C2B17"/>
    <w:rsid w:val="002D3DD0"/>
    <w:rsid w:val="002E1F3A"/>
    <w:rsid w:val="002E298A"/>
    <w:rsid w:val="00301978"/>
    <w:rsid w:val="0030332C"/>
    <w:rsid w:val="003051C2"/>
    <w:rsid w:val="00312296"/>
    <w:rsid w:val="00314F0E"/>
    <w:rsid w:val="00317B94"/>
    <w:rsid w:val="00321D8E"/>
    <w:rsid w:val="00325928"/>
    <w:rsid w:val="00332863"/>
    <w:rsid w:val="0033684D"/>
    <w:rsid w:val="00337B42"/>
    <w:rsid w:val="00341B42"/>
    <w:rsid w:val="0034348F"/>
    <w:rsid w:val="00356653"/>
    <w:rsid w:val="0035743F"/>
    <w:rsid w:val="00357BE2"/>
    <w:rsid w:val="0036170C"/>
    <w:rsid w:val="00366E0F"/>
    <w:rsid w:val="00381A72"/>
    <w:rsid w:val="00384676"/>
    <w:rsid w:val="00390857"/>
    <w:rsid w:val="003A4BF3"/>
    <w:rsid w:val="003B420D"/>
    <w:rsid w:val="003B7714"/>
    <w:rsid w:val="003C6C16"/>
    <w:rsid w:val="003D794D"/>
    <w:rsid w:val="003E3058"/>
    <w:rsid w:val="003E76A9"/>
    <w:rsid w:val="003F0809"/>
    <w:rsid w:val="003F6A8C"/>
    <w:rsid w:val="003F755C"/>
    <w:rsid w:val="00406F01"/>
    <w:rsid w:val="00416D50"/>
    <w:rsid w:val="00416FD5"/>
    <w:rsid w:val="00417772"/>
    <w:rsid w:val="00420E6A"/>
    <w:rsid w:val="00425A9E"/>
    <w:rsid w:val="00426D6B"/>
    <w:rsid w:val="00431E6C"/>
    <w:rsid w:val="00433CE7"/>
    <w:rsid w:val="00452738"/>
    <w:rsid w:val="00456091"/>
    <w:rsid w:val="00466321"/>
    <w:rsid w:val="00484B9B"/>
    <w:rsid w:val="004855F6"/>
    <w:rsid w:val="0048661E"/>
    <w:rsid w:val="00494670"/>
    <w:rsid w:val="004A3823"/>
    <w:rsid w:val="004E6946"/>
    <w:rsid w:val="004F1AD8"/>
    <w:rsid w:val="005039CB"/>
    <w:rsid w:val="0050558F"/>
    <w:rsid w:val="00506286"/>
    <w:rsid w:val="00510813"/>
    <w:rsid w:val="00511990"/>
    <w:rsid w:val="00511DE0"/>
    <w:rsid w:val="00514870"/>
    <w:rsid w:val="00514B9B"/>
    <w:rsid w:val="00517F02"/>
    <w:rsid w:val="00524303"/>
    <w:rsid w:val="005258A2"/>
    <w:rsid w:val="005401AE"/>
    <w:rsid w:val="00542E07"/>
    <w:rsid w:val="00545424"/>
    <w:rsid w:val="00554A7B"/>
    <w:rsid w:val="0055572C"/>
    <w:rsid w:val="0056106A"/>
    <w:rsid w:val="005720AE"/>
    <w:rsid w:val="005879C9"/>
    <w:rsid w:val="00594D77"/>
    <w:rsid w:val="005969E4"/>
    <w:rsid w:val="005A06B7"/>
    <w:rsid w:val="005A1759"/>
    <w:rsid w:val="005A68A7"/>
    <w:rsid w:val="005D3103"/>
    <w:rsid w:val="005D36AB"/>
    <w:rsid w:val="00617CC3"/>
    <w:rsid w:val="006377A6"/>
    <w:rsid w:val="00637A3D"/>
    <w:rsid w:val="006411EF"/>
    <w:rsid w:val="006748B8"/>
    <w:rsid w:val="006775C3"/>
    <w:rsid w:val="0069290A"/>
    <w:rsid w:val="0069775A"/>
    <w:rsid w:val="00697813"/>
    <w:rsid w:val="006A3EE8"/>
    <w:rsid w:val="006A72BF"/>
    <w:rsid w:val="006B03F2"/>
    <w:rsid w:val="006B37DC"/>
    <w:rsid w:val="006B4F68"/>
    <w:rsid w:val="006C0592"/>
    <w:rsid w:val="006C272E"/>
    <w:rsid w:val="006C5479"/>
    <w:rsid w:val="006D13B5"/>
    <w:rsid w:val="006E12FF"/>
    <w:rsid w:val="006E607E"/>
    <w:rsid w:val="00706C5D"/>
    <w:rsid w:val="00732922"/>
    <w:rsid w:val="0075162E"/>
    <w:rsid w:val="00754034"/>
    <w:rsid w:val="00756556"/>
    <w:rsid w:val="007618C4"/>
    <w:rsid w:val="00767980"/>
    <w:rsid w:val="00770B19"/>
    <w:rsid w:val="0077463F"/>
    <w:rsid w:val="007836EA"/>
    <w:rsid w:val="00784CDA"/>
    <w:rsid w:val="007906C4"/>
    <w:rsid w:val="007940EA"/>
    <w:rsid w:val="007967E8"/>
    <w:rsid w:val="007A2170"/>
    <w:rsid w:val="007A22BF"/>
    <w:rsid w:val="007A3323"/>
    <w:rsid w:val="007B72B8"/>
    <w:rsid w:val="007B7A58"/>
    <w:rsid w:val="007C21B5"/>
    <w:rsid w:val="007E4BD2"/>
    <w:rsid w:val="00801393"/>
    <w:rsid w:val="00802F88"/>
    <w:rsid w:val="0081293E"/>
    <w:rsid w:val="00815465"/>
    <w:rsid w:val="00817E9A"/>
    <w:rsid w:val="008306BD"/>
    <w:rsid w:val="00831A80"/>
    <w:rsid w:val="00833743"/>
    <w:rsid w:val="008340A4"/>
    <w:rsid w:val="0084251A"/>
    <w:rsid w:val="0087135F"/>
    <w:rsid w:val="00872D94"/>
    <w:rsid w:val="00880364"/>
    <w:rsid w:val="00891592"/>
    <w:rsid w:val="00891E9E"/>
    <w:rsid w:val="008A2F68"/>
    <w:rsid w:val="008B4FA6"/>
    <w:rsid w:val="008B5282"/>
    <w:rsid w:val="008B7C17"/>
    <w:rsid w:val="008C2D01"/>
    <w:rsid w:val="008C40E6"/>
    <w:rsid w:val="008D0F7A"/>
    <w:rsid w:val="008D68E4"/>
    <w:rsid w:val="008E0506"/>
    <w:rsid w:val="008E0CFF"/>
    <w:rsid w:val="008E5D6B"/>
    <w:rsid w:val="008E76F0"/>
    <w:rsid w:val="008F15FE"/>
    <w:rsid w:val="008F2D29"/>
    <w:rsid w:val="008F5187"/>
    <w:rsid w:val="008F60D8"/>
    <w:rsid w:val="00902727"/>
    <w:rsid w:val="0090312B"/>
    <w:rsid w:val="0091736D"/>
    <w:rsid w:val="0093037A"/>
    <w:rsid w:val="0094154D"/>
    <w:rsid w:val="0095155F"/>
    <w:rsid w:val="00954429"/>
    <w:rsid w:val="009563CE"/>
    <w:rsid w:val="00963D29"/>
    <w:rsid w:val="00976328"/>
    <w:rsid w:val="0097680D"/>
    <w:rsid w:val="00982438"/>
    <w:rsid w:val="0098404C"/>
    <w:rsid w:val="00985283"/>
    <w:rsid w:val="00995992"/>
    <w:rsid w:val="009A03E5"/>
    <w:rsid w:val="009A0F3B"/>
    <w:rsid w:val="009A1BB4"/>
    <w:rsid w:val="009A2628"/>
    <w:rsid w:val="009A3200"/>
    <w:rsid w:val="009B0897"/>
    <w:rsid w:val="009B7BD9"/>
    <w:rsid w:val="009C7DD5"/>
    <w:rsid w:val="009E227D"/>
    <w:rsid w:val="009E5019"/>
    <w:rsid w:val="00A04F1B"/>
    <w:rsid w:val="00A0501B"/>
    <w:rsid w:val="00A14947"/>
    <w:rsid w:val="00A32A83"/>
    <w:rsid w:val="00A368DB"/>
    <w:rsid w:val="00A423AA"/>
    <w:rsid w:val="00A53EC6"/>
    <w:rsid w:val="00A55C0F"/>
    <w:rsid w:val="00A8713F"/>
    <w:rsid w:val="00A90BA1"/>
    <w:rsid w:val="00A97A9A"/>
    <w:rsid w:val="00AA0671"/>
    <w:rsid w:val="00AA2531"/>
    <w:rsid w:val="00AB1E09"/>
    <w:rsid w:val="00AB5330"/>
    <w:rsid w:val="00AB7747"/>
    <w:rsid w:val="00AC14CE"/>
    <w:rsid w:val="00AC2A56"/>
    <w:rsid w:val="00AD055E"/>
    <w:rsid w:val="00AD47A7"/>
    <w:rsid w:val="00AF0CBF"/>
    <w:rsid w:val="00AF257F"/>
    <w:rsid w:val="00AF33CF"/>
    <w:rsid w:val="00AF4D50"/>
    <w:rsid w:val="00AF6179"/>
    <w:rsid w:val="00B1295A"/>
    <w:rsid w:val="00B20A45"/>
    <w:rsid w:val="00B22C5C"/>
    <w:rsid w:val="00B24F30"/>
    <w:rsid w:val="00B31ABF"/>
    <w:rsid w:val="00B32306"/>
    <w:rsid w:val="00B33BE3"/>
    <w:rsid w:val="00B53B5D"/>
    <w:rsid w:val="00B6055E"/>
    <w:rsid w:val="00B6317D"/>
    <w:rsid w:val="00B7723F"/>
    <w:rsid w:val="00B80534"/>
    <w:rsid w:val="00B8433C"/>
    <w:rsid w:val="00B87491"/>
    <w:rsid w:val="00BA29E9"/>
    <w:rsid w:val="00BA7142"/>
    <w:rsid w:val="00BB237C"/>
    <w:rsid w:val="00BB41A3"/>
    <w:rsid w:val="00BC32DC"/>
    <w:rsid w:val="00BC35B6"/>
    <w:rsid w:val="00BD1B51"/>
    <w:rsid w:val="00BD4596"/>
    <w:rsid w:val="00BE1405"/>
    <w:rsid w:val="00BE312D"/>
    <w:rsid w:val="00BF1C20"/>
    <w:rsid w:val="00C10578"/>
    <w:rsid w:val="00C135BC"/>
    <w:rsid w:val="00C15C95"/>
    <w:rsid w:val="00C2596A"/>
    <w:rsid w:val="00C27537"/>
    <w:rsid w:val="00C328FE"/>
    <w:rsid w:val="00C33507"/>
    <w:rsid w:val="00C42710"/>
    <w:rsid w:val="00C4409D"/>
    <w:rsid w:val="00C44E72"/>
    <w:rsid w:val="00C45A06"/>
    <w:rsid w:val="00C47E5B"/>
    <w:rsid w:val="00C528C7"/>
    <w:rsid w:val="00C61E4B"/>
    <w:rsid w:val="00C64BFF"/>
    <w:rsid w:val="00C704E9"/>
    <w:rsid w:val="00C763C9"/>
    <w:rsid w:val="00C80057"/>
    <w:rsid w:val="00C82232"/>
    <w:rsid w:val="00C82913"/>
    <w:rsid w:val="00C972B1"/>
    <w:rsid w:val="00CA2CCE"/>
    <w:rsid w:val="00CA43FD"/>
    <w:rsid w:val="00CA7EF8"/>
    <w:rsid w:val="00CC489B"/>
    <w:rsid w:val="00CD2BCD"/>
    <w:rsid w:val="00CD3A4C"/>
    <w:rsid w:val="00CE10E9"/>
    <w:rsid w:val="00CE2910"/>
    <w:rsid w:val="00CE5393"/>
    <w:rsid w:val="00CF36BE"/>
    <w:rsid w:val="00CF6000"/>
    <w:rsid w:val="00D003F3"/>
    <w:rsid w:val="00D0364F"/>
    <w:rsid w:val="00D06834"/>
    <w:rsid w:val="00D308ED"/>
    <w:rsid w:val="00D36D86"/>
    <w:rsid w:val="00D428AA"/>
    <w:rsid w:val="00D50A34"/>
    <w:rsid w:val="00D53EFA"/>
    <w:rsid w:val="00D9066A"/>
    <w:rsid w:val="00D94A7C"/>
    <w:rsid w:val="00D95896"/>
    <w:rsid w:val="00DB2983"/>
    <w:rsid w:val="00DC1257"/>
    <w:rsid w:val="00DC3DC0"/>
    <w:rsid w:val="00DC5B2B"/>
    <w:rsid w:val="00DD318D"/>
    <w:rsid w:val="00DF2E12"/>
    <w:rsid w:val="00DF514A"/>
    <w:rsid w:val="00DF6690"/>
    <w:rsid w:val="00DF6804"/>
    <w:rsid w:val="00E0358D"/>
    <w:rsid w:val="00E04323"/>
    <w:rsid w:val="00E070A2"/>
    <w:rsid w:val="00E2656A"/>
    <w:rsid w:val="00E412D0"/>
    <w:rsid w:val="00E56322"/>
    <w:rsid w:val="00E60982"/>
    <w:rsid w:val="00E62C62"/>
    <w:rsid w:val="00E654C1"/>
    <w:rsid w:val="00E65D97"/>
    <w:rsid w:val="00E72A5A"/>
    <w:rsid w:val="00E73354"/>
    <w:rsid w:val="00E9242D"/>
    <w:rsid w:val="00EB5255"/>
    <w:rsid w:val="00EB5C47"/>
    <w:rsid w:val="00ED0639"/>
    <w:rsid w:val="00EF4755"/>
    <w:rsid w:val="00EF7135"/>
    <w:rsid w:val="00F027DB"/>
    <w:rsid w:val="00F14A7A"/>
    <w:rsid w:val="00F22985"/>
    <w:rsid w:val="00F3383E"/>
    <w:rsid w:val="00F465A7"/>
    <w:rsid w:val="00F50B7C"/>
    <w:rsid w:val="00F550E6"/>
    <w:rsid w:val="00F74345"/>
    <w:rsid w:val="00F80A0A"/>
    <w:rsid w:val="00F82B19"/>
    <w:rsid w:val="00F9212D"/>
    <w:rsid w:val="00F965DA"/>
    <w:rsid w:val="00FA406A"/>
    <w:rsid w:val="00FB503A"/>
    <w:rsid w:val="00FB516C"/>
    <w:rsid w:val="00FD0236"/>
    <w:rsid w:val="00FD18F4"/>
    <w:rsid w:val="00FD54DB"/>
    <w:rsid w:val="00FD619F"/>
    <w:rsid w:val="01290F7E"/>
    <w:rsid w:val="01293C05"/>
    <w:rsid w:val="015D1E09"/>
    <w:rsid w:val="016E4DCE"/>
    <w:rsid w:val="019E0227"/>
    <w:rsid w:val="01AC7C81"/>
    <w:rsid w:val="02395714"/>
    <w:rsid w:val="02445341"/>
    <w:rsid w:val="02697903"/>
    <w:rsid w:val="02824AFD"/>
    <w:rsid w:val="02EB4F74"/>
    <w:rsid w:val="02F96569"/>
    <w:rsid w:val="03636F96"/>
    <w:rsid w:val="03712888"/>
    <w:rsid w:val="039E09C8"/>
    <w:rsid w:val="03D251BA"/>
    <w:rsid w:val="03EA7B21"/>
    <w:rsid w:val="044E4C36"/>
    <w:rsid w:val="0458580D"/>
    <w:rsid w:val="04870826"/>
    <w:rsid w:val="04932CE9"/>
    <w:rsid w:val="04ED41A7"/>
    <w:rsid w:val="0510208D"/>
    <w:rsid w:val="0563158D"/>
    <w:rsid w:val="057448C8"/>
    <w:rsid w:val="05BC001D"/>
    <w:rsid w:val="05CA44E8"/>
    <w:rsid w:val="05F83EAE"/>
    <w:rsid w:val="063E7D85"/>
    <w:rsid w:val="06546AD2"/>
    <w:rsid w:val="06E11AE9"/>
    <w:rsid w:val="07293586"/>
    <w:rsid w:val="07295285"/>
    <w:rsid w:val="07636392"/>
    <w:rsid w:val="076E3F95"/>
    <w:rsid w:val="07770C56"/>
    <w:rsid w:val="0782451F"/>
    <w:rsid w:val="084C3C5B"/>
    <w:rsid w:val="089B6610"/>
    <w:rsid w:val="08E17C4D"/>
    <w:rsid w:val="08E6156B"/>
    <w:rsid w:val="08FE04F3"/>
    <w:rsid w:val="092217DD"/>
    <w:rsid w:val="093A7294"/>
    <w:rsid w:val="09A71608"/>
    <w:rsid w:val="09FB602B"/>
    <w:rsid w:val="09FC30DE"/>
    <w:rsid w:val="0A263993"/>
    <w:rsid w:val="0A2D3AC2"/>
    <w:rsid w:val="0A9B514A"/>
    <w:rsid w:val="0AA755DF"/>
    <w:rsid w:val="0AC26B73"/>
    <w:rsid w:val="0AFD3352"/>
    <w:rsid w:val="0B064109"/>
    <w:rsid w:val="0B120D44"/>
    <w:rsid w:val="0B2346E0"/>
    <w:rsid w:val="0B2E716E"/>
    <w:rsid w:val="0B310B66"/>
    <w:rsid w:val="0BBE3C72"/>
    <w:rsid w:val="0BD27BF6"/>
    <w:rsid w:val="0BE07639"/>
    <w:rsid w:val="0C3B3C7D"/>
    <w:rsid w:val="0CAB2EAE"/>
    <w:rsid w:val="0CBC3BE7"/>
    <w:rsid w:val="0D242390"/>
    <w:rsid w:val="0D285573"/>
    <w:rsid w:val="0D441024"/>
    <w:rsid w:val="0D621C7D"/>
    <w:rsid w:val="0D6E7E4F"/>
    <w:rsid w:val="0DC36296"/>
    <w:rsid w:val="0DD502BF"/>
    <w:rsid w:val="0E301A70"/>
    <w:rsid w:val="0E73034D"/>
    <w:rsid w:val="0E9C7472"/>
    <w:rsid w:val="0EC00658"/>
    <w:rsid w:val="0EE51D85"/>
    <w:rsid w:val="0F13775A"/>
    <w:rsid w:val="0F225D92"/>
    <w:rsid w:val="0F5F45FE"/>
    <w:rsid w:val="0F90142F"/>
    <w:rsid w:val="0F9A112B"/>
    <w:rsid w:val="0FA232EF"/>
    <w:rsid w:val="0FEB138F"/>
    <w:rsid w:val="100C46E2"/>
    <w:rsid w:val="10655129"/>
    <w:rsid w:val="106D2F64"/>
    <w:rsid w:val="10B63710"/>
    <w:rsid w:val="10E70B80"/>
    <w:rsid w:val="10F10820"/>
    <w:rsid w:val="111C2F7A"/>
    <w:rsid w:val="11665CA1"/>
    <w:rsid w:val="11DC229F"/>
    <w:rsid w:val="121A2353"/>
    <w:rsid w:val="12282964"/>
    <w:rsid w:val="125C296C"/>
    <w:rsid w:val="129340A9"/>
    <w:rsid w:val="12C235D4"/>
    <w:rsid w:val="12F1101A"/>
    <w:rsid w:val="136B7314"/>
    <w:rsid w:val="138E0461"/>
    <w:rsid w:val="13951726"/>
    <w:rsid w:val="13971A9F"/>
    <w:rsid w:val="13C83072"/>
    <w:rsid w:val="13EB761C"/>
    <w:rsid w:val="13F337F8"/>
    <w:rsid w:val="14396509"/>
    <w:rsid w:val="146C506C"/>
    <w:rsid w:val="146F1FE4"/>
    <w:rsid w:val="147865A9"/>
    <w:rsid w:val="14840B5C"/>
    <w:rsid w:val="149731AD"/>
    <w:rsid w:val="149A7048"/>
    <w:rsid w:val="14A111CF"/>
    <w:rsid w:val="14DC59E4"/>
    <w:rsid w:val="14DD2C3C"/>
    <w:rsid w:val="14EB0BA7"/>
    <w:rsid w:val="15835751"/>
    <w:rsid w:val="15B41FA8"/>
    <w:rsid w:val="16087E1D"/>
    <w:rsid w:val="160C4394"/>
    <w:rsid w:val="167B203D"/>
    <w:rsid w:val="17252384"/>
    <w:rsid w:val="176201D3"/>
    <w:rsid w:val="17701D14"/>
    <w:rsid w:val="17735226"/>
    <w:rsid w:val="17B31280"/>
    <w:rsid w:val="17C6385E"/>
    <w:rsid w:val="18214F66"/>
    <w:rsid w:val="18873EDE"/>
    <w:rsid w:val="188C4B36"/>
    <w:rsid w:val="189F624C"/>
    <w:rsid w:val="18C033D1"/>
    <w:rsid w:val="18CA5B7E"/>
    <w:rsid w:val="19FD6AB3"/>
    <w:rsid w:val="1A14216A"/>
    <w:rsid w:val="1A1C66C0"/>
    <w:rsid w:val="1A3F742B"/>
    <w:rsid w:val="1A42393B"/>
    <w:rsid w:val="1A9A1B4D"/>
    <w:rsid w:val="1AAD45DE"/>
    <w:rsid w:val="1B046F80"/>
    <w:rsid w:val="1B2D7ADC"/>
    <w:rsid w:val="1B3267B5"/>
    <w:rsid w:val="1B40161D"/>
    <w:rsid w:val="1B441859"/>
    <w:rsid w:val="1B5A1A13"/>
    <w:rsid w:val="1B6606B1"/>
    <w:rsid w:val="1BA809D0"/>
    <w:rsid w:val="1BC25F36"/>
    <w:rsid w:val="1BC53330"/>
    <w:rsid w:val="1BF9747E"/>
    <w:rsid w:val="1C053807"/>
    <w:rsid w:val="1C5E7925"/>
    <w:rsid w:val="1CFD070F"/>
    <w:rsid w:val="1D5F6196"/>
    <w:rsid w:val="1D6132A5"/>
    <w:rsid w:val="1D6C1818"/>
    <w:rsid w:val="1D7A4218"/>
    <w:rsid w:val="1D8E56D5"/>
    <w:rsid w:val="1DC467AA"/>
    <w:rsid w:val="1DEF6785"/>
    <w:rsid w:val="1E113539"/>
    <w:rsid w:val="1E4D585F"/>
    <w:rsid w:val="1E7A43DA"/>
    <w:rsid w:val="1E8D0E17"/>
    <w:rsid w:val="1F0E6D13"/>
    <w:rsid w:val="1F176B42"/>
    <w:rsid w:val="1FE7539E"/>
    <w:rsid w:val="1FFB2068"/>
    <w:rsid w:val="20160D97"/>
    <w:rsid w:val="20671BE0"/>
    <w:rsid w:val="208C63E2"/>
    <w:rsid w:val="20963CB8"/>
    <w:rsid w:val="20A81A1B"/>
    <w:rsid w:val="20B07FB6"/>
    <w:rsid w:val="20B646FB"/>
    <w:rsid w:val="21011977"/>
    <w:rsid w:val="212065FD"/>
    <w:rsid w:val="213B74B1"/>
    <w:rsid w:val="215A2310"/>
    <w:rsid w:val="215C0EAE"/>
    <w:rsid w:val="21DE318A"/>
    <w:rsid w:val="21EA0E36"/>
    <w:rsid w:val="21EB2F0A"/>
    <w:rsid w:val="21EF5B80"/>
    <w:rsid w:val="22576990"/>
    <w:rsid w:val="22A12933"/>
    <w:rsid w:val="22B1460E"/>
    <w:rsid w:val="22F47480"/>
    <w:rsid w:val="230B19E5"/>
    <w:rsid w:val="23310A2D"/>
    <w:rsid w:val="237D0B45"/>
    <w:rsid w:val="23B859B7"/>
    <w:rsid w:val="23DE1C48"/>
    <w:rsid w:val="23EF1145"/>
    <w:rsid w:val="240210CD"/>
    <w:rsid w:val="24961D0D"/>
    <w:rsid w:val="24BF09F7"/>
    <w:rsid w:val="252D53FE"/>
    <w:rsid w:val="25750EDD"/>
    <w:rsid w:val="25B83F05"/>
    <w:rsid w:val="25D6122C"/>
    <w:rsid w:val="25E42F4C"/>
    <w:rsid w:val="25EC2D81"/>
    <w:rsid w:val="260A3845"/>
    <w:rsid w:val="263F63D5"/>
    <w:rsid w:val="26997F4A"/>
    <w:rsid w:val="26B30632"/>
    <w:rsid w:val="26C3269D"/>
    <w:rsid w:val="277057A2"/>
    <w:rsid w:val="2835183D"/>
    <w:rsid w:val="2848699C"/>
    <w:rsid w:val="285D154E"/>
    <w:rsid w:val="28613DF3"/>
    <w:rsid w:val="28E026ED"/>
    <w:rsid w:val="29040B1D"/>
    <w:rsid w:val="29206EB8"/>
    <w:rsid w:val="295952EC"/>
    <w:rsid w:val="29595666"/>
    <w:rsid w:val="29874881"/>
    <w:rsid w:val="29B328DF"/>
    <w:rsid w:val="29E325E0"/>
    <w:rsid w:val="2A141607"/>
    <w:rsid w:val="2A452503"/>
    <w:rsid w:val="2B053749"/>
    <w:rsid w:val="2B181DD3"/>
    <w:rsid w:val="2B592A2A"/>
    <w:rsid w:val="2BA936A8"/>
    <w:rsid w:val="2C315A5A"/>
    <w:rsid w:val="2C4B1C25"/>
    <w:rsid w:val="2C5A10D4"/>
    <w:rsid w:val="2D2F66F7"/>
    <w:rsid w:val="2D4A60FB"/>
    <w:rsid w:val="2D99286E"/>
    <w:rsid w:val="2D9E56F5"/>
    <w:rsid w:val="2DCC49F2"/>
    <w:rsid w:val="2DF87895"/>
    <w:rsid w:val="2E663B49"/>
    <w:rsid w:val="2E667F96"/>
    <w:rsid w:val="2E8226AB"/>
    <w:rsid w:val="2ED60F02"/>
    <w:rsid w:val="2EF818DD"/>
    <w:rsid w:val="2EF97A69"/>
    <w:rsid w:val="2F2611FC"/>
    <w:rsid w:val="2F6B4141"/>
    <w:rsid w:val="2F8722FD"/>
    <w:rsid w:val="2FAE074E"/>
    <w:rsid w:val="2FD065E6"/>
    <w:rsid w:val="2FD96870"/>
    <w:rsid w:val="30121D14"/>
    <w:rsid w:val="30156509"/>
    <w:rsid w:val="30580BC9"/>
    <w:rsid w:val="30A0380B"/>
    <w:rsid w:val="311E2ED7"/>
    <w:rsid w:val="315619EE"/>
    <w:rsid w:val="315C449C"/>
    <w:rsid w:val="31B82709"/>
    <w:rsid w:val="31D05482"/>
    <w:rsid w:val="31FE64CB"/>
    <w:rsid w:val="32076F12"/>
    <w:rsid w:val="32295A9A"/>
    <w:rsid w:val="32400B34"/>
    <w:rsid w:val="329E6876"/>
    <w:rsid w:val="331C3B0A"/>
    <w:rsid w:val="332E1CAB"/>
    <w:rsid w:val="333015F2"/>
    <w:rsid w:val="334B6320"/>
    <w:rsid w:val="338D69D1"/>
    <w:rsid w:val="33D76B0F"/>
    <w:rsid w:val="33D934D4"/>
    <w:rsid w:val="33FE2F6A"/>
    <w:rsid w:val="340E07E5"/>
    <w:rsid w:val="341C1B03"/>
    <w:rsid w:val="34235BF7"/>
    <w:rsid w:val="34E04693"/>
    <w:rsid w:val="34E70555"/>
    <w:rsid w:val="34FF423F"/>
    <w:rsid w:val="355A0CA3"/>
    <w:rsid w:val="358C5FA8"/>
    <w:rsid w:val="35C15DF1"/>
    <w:rsid w:val="36074A7F"/>
    <w:rsid w:val="36446039"/>
    <w:rsid w:val="366D60BB"/>
    <w:rsid w:val="36923549"/>
    <w:rsid w:val="36B75FBF"/>
    <w:rsid w:val="36BD0C45"/>
    <w:rsid w:val="36CF462A"/>
    <w:rsid w:val="36E366AC"/>
    <w:rsid w:val="36E62234"/>
    <w:rsid w:val="373F53A8"/>
    <w:rsid w:val="379612FD"/>
    <w:rsid w:val="37E00298"/>
    <w:rsid w:val="38044D88"/>
    <w:rsid w:val="382723BC"/>
    <w:rsid w:val="384A6092"/>
    <w:rsid w:val="38AF5C7D"/>
    <w:rsid w:val="38B302F9"/>
    <w:rsid w:val="38F12CD3"/>
    <w:rsid w:val="38F94775"/>
    <w:rsid w:val="390743BD"/>
    <w:rsid w:val="390B4522"/>
    <w:rsid w:val="390D7886"/>
    <w:rsid w:val="392971ED"/>
    <w:rsid w:val="392A34E8"/>
    <w:rsid w:val="39325651"/>
    <w:rsid w:val="395444FA"/>
    <w:rsid w:val="39DC18BF"/>
    <w:rsid w:val="39FE23D7"/>
    <w:rsid w:val="39FE4185"/>
    <w:rsid w:val="3A026A83"/>
    <w:rsid w:val="3A79380C"/>
    <w:rsid w:val="3A8538B6"/>
    <w:rsid w:val="3A872856"/>
    <w:rsid w:val="3AAF372C"/>
    <w:rsid w:val="3AE80991"/>
    <w:rsid w:val="3AFB6916"/>
    <w:rsid w:val="3B111C96"/>
    <w:rsid w:val="3B294122"/>
    <w:rsid w:val="3B3763D1"/>
    <w:rsid w:val="3BB71ACD"/>
    <w:rsid w:val="3BBA232E"/>
    <w:rsid w:val="3C2F6E1E"/>
    <w:rsid w:val="3C4F64BA"/>
    <w:rsid w:val="3C9506A5"/>
    <w:rsid w:val="3CDA245A"/>
    <w:rsid w:val="3CED228F"/>
    <w:rsid w:val="3CED6733"/>
    <w:rsid w:val="3CF70E32"/>
    <w:rsid w:val="3D1E06B7"/>
    <w:rsid w:val="3D9F7A2D"/>
    <w:rsid w:val="3DF80EEB"/>
    <w:rsid w:val="3E52684D"/>
    <w:rsid w:val="3E5D72B4"/>
    <w:rsid w:val="3E8D1066"/>
    <w:rsid w:val="3EC44618"/>
    <w:rsid w:val="3EDA0523"/>
    <w:rsid w:val="3EE33949"/>
    <w:rsid w:val="3F4D34B9"/>
    <w:rsid w:val="3F896B4D"/>
    <w:rsid w:val="3FA570BD"/>
    <w:rsid w:val="3FDC2362"/>
    <w:rsid w:val="3FDD7E63"/>
    <w:rsid w:val="407829E2"/>
    <w:rsid w:val="407A6407"/>
    <w:rsid w:val="407D392A"/>
    <w:rsid w:val="40833636"/>
    <w:rsid w:val="408574E3"/>
    <w:rsid w:val="408829FA"/>
    <w:rsid w:val="40D7128C"/>
    <w:rsid w:val="41200438"/>
    <w:rsid w:val="41847666"/>
    <w:rsid w:val="41CC35E7"/>
    <w:rsid w:val="41D06DB9"/>
    <w:rsid w:val="4200449D"/>
    <w:rsid w:val="423A3BCC"/>
    <w:rsid w:val="424E57D2"/>
    <w:rsid w:val="426052B1"/>
    <w:rsid w:val="42A61045"/>
    <w:rsid w:val="42B26C49"/>
    <w:rsid w:val="42FE286C"/>
    <w:rsid w:val="43346E69"/>
    <w:rsid w:val="433A6FE6"/>
    <w:rsid w:val="43480868"/>
    <w:rsid w:val="4350713C"/>
    <w:rsid w:val="436653E0"/>
    <w:rsid w:val="439F2A4D"/>
    <w:rsid w:val="43C4431A"/>
    <w:rsid w:val="43CB44FA"/>
    <w:rsid w:val="43E752E7"/>
    <w:rsid w:val="43EB410D"/>
    <w:rsid w:val="43F568DE"/>
    <w:rsid w:val="43F65ECD"/>
    <w:rsid w:val="440F72B8"/>
    <w:rsid w:val="442F7757"/>
    <w:rsid w:val="443B7D84"/>
    <w:rsid w:val="448826AD"/>
    <w:rsid w:val="449E2D2B"/>
    <w:rsid w:val="44A079B8"/>
    <w:rsid w:val="44B90022"/>
    <w:rsid w:val="44B951CC"/>
    <w:rsid w:val="44CD14E0"/>
    <w:rsid w:val="44F20B0B"/>
    <w:rsid w:val="452E5F4C"/>
    <w:rsid w:val="453C0257"/>
    <w:rsid w:val="454E54AF"/>
    <w:rsid w:val="45612018"/>
    <w:rsid w:val="45637592"/>
    <w:rsid w:val="458946E9"/>
    <w:rsid w:val="45A47C0E"/>
    <w:rsid w:val="45E26E3F"/>
    <w:rsid w:val="461A5D96"/>
    <w:rsid w:val="46577FD6"/>
    <w:rsid w:val="46853538"/>
    <w:rsid w:val="4686245E"/>
    <w:rsid w:val="46D955A7"/>
    <w:rsid w:val="46EC35B7"/>
    <w:rsid w:val="470133DC"/>
    <w:rsid w:val="47133957"/>
    <w:rsid w:val="474B1066"/>
    <w:rsid w:val="47A07E0C"/>
    <w:rsid w:val="47A16F3A"/>
    <w:rsid w:val="47CD4092"/>
    <w:rsid w:val="47DD7C16"/>
    <w:rsid w:val="483B1DB3"/>
    <w:rsid w:val="4870272E"/>
    <w:rsid w:val="488A3DFF"/>
    <w:rsid w:val="48AA3320"/>
    <w:rsid w:val="48F61CC2"/>
    <w:rsid w:val="48FD25D1"/>
    <w:rsid w:val="491C0184"/>
    <w:rsid w:val="49287E45"/>
    <w:rsid w:val="493325DF"/>
    <w:rsid w:val="499150BC"/>
    <w:rsid w:val="499C7ED1"/>
    <w:rsid w:val="49A12900"/>
    <w:rsid w:val="49DC7715"/>
    <w:rsid w:val="49F509D5"/>
    <w:rsid w:val="49F973DB"/>
    <w:rsid w:val="4A0130C3"/>
    <w:rsid w:val="4A023139"/>
    <w:rsid w:val="4A6A3171"/>
    <w:rsid w:val="4A7B576F"/>
    <w:rsid w:val="4AF561A9"/>
    <w:rsid w:val="4B073976"/>
    <w:rsid w:val="4B226F7C"/>
    <w:rsid w:val="4B582CF6"/>
    <w:rsid w:val="4B833840"/>
    <w:rsid w:val="4BAB2B88"/>
    <w:rsid w:val="4C4A0649"/>
    <w:rsid w:val="4C7E5ECA"/>
    <w:rsid w:val="4C876AA5"/>
    <w:rsid w:val="4CBE0819"/>
    <w:rsid w:val="4D0E00FB"/>
    <w:rsid w:val="4D176606"/>
    <w:rsid w:val="4D786533"/>
    <w:rsid w:val="4DD229FF"/>
    <w:rsid w:val="4DD30944"/>
    <w:rsid w:val="4DEC4FB0"/>
    <w:rsid w:val="4DED3738"/>
    <w:rsid w:val="4E075D8A"/>
    <w:rsid w:val="4E0D6CBD"/>
    <w:rsid w:val="4E281379"/>
    <w:rsid w:val="4E51661F"/>
    <w:rsid w:val="4E5E1A4B"/>
    <w:rsid w:val="4E944C60"/>
    <w:rsid w:val="4EC00FAD"/>
    <w:rsid w:val="4F102905"/>
    <w:rsid w:val="4F7F3277"/>
    <w:rsid w:val="4F9843DC"/>
    <w:rsid w:val="4FC62A8C"/>
    <w:rsid w:val="4FD61C42"/>
    <w:rsid w:val="4FE20F0D"/>
    <w:rsid w:val="4FE51552"/>
    <w:rsid w:val="50504C4B"/>
    <w:rsid w:val="506F328F"/>
    <w:rsid w:val="507A2D98"/>
    <w:rsid w:val="50985B8A"/>
    <w:rsid w:val="509C6E7C"/>
    <w:rsid w:val="515F1555"/>
    <w:rsid w:val="5162104E"/>
    <w:rsid w:val="52066681"/>
    <w:rsid w:val="522E2CD6"/>
    <w:rsid w:val="528B05F3"/>
    <w:rsid w:val="529353DD"/>
    <w:rsid w:val="534704F3"/>
    <w:rsid w:val="534F73A8"/>
    <w:rsid w:val="53A039CC"/>
    <w:rsid w:val="53A07C03"/>
    <w:rsid w:val="53A1505A"/>
    <w:rsid w:val="53A54EBD"/>
    <w:rsid w:val="53FC1520"/>
    <w:rsid w:val="53FF6154"/>
    <w:rsid w:val="54063E08"/>
    <w:rsid w:val="542A3A4D"/>
    <w:rsid w:val="543437E8"/>
    <w:rsid w:val="54680ECA"/>
    <w:rsid w:val="54B173DC"/>
    <w:rsid w:val="54F73313"/>
    <w:rsid w:val="54F80955"/>
    <w:rsid w:val="55242113"/>
    <w:rsid w:val="55346855"/>
    <w:rsid w:val="555170A7"/>
    <w:rsid w:val="55555807"/>
    <w:rsid w:val="556846D1"/>
    <w:rsid w:val="5587536D"/>
    <w:rsid w:val="559B174B"/>
    <w:rsid w:val="55CE0CF4"/>
    <w:rsid w:val="566D5558"/>
    <w:rsid w:val="56B22A9C"/>
    <w:rsid w:val="57B72A76"/>
    <w:rsid w:val="57C3426C"/>
    <w:rsid w:val="57CE1F93"/>
    <w:rsid w:val="580B71FF"/>
    <w:rsid w:val="5853358A"/>
    <w:rsid w:val="588743D1"/>
    <w:rsid w:val="5887701A"/>
    <w:rsid w:val="589C6BEB"/>
    <w:rsid w:val="58E63C3F"/>
    <w:rsid w:val="59247F2B"/>
    <w:rsid w:val="59586497"/>
    <w:rsid w:val="596935F8"/>
    <w:rsid w:val="596D70DF"/>
    <w:rsid w:val="597E2D83"/>
    <w:rsid w:val="599A1CAD"/>
    <w:rsid w:val="59BC506B"/>
    <w:rsid w:val="59BE5287"/>
    <w:rsid w:val="59C0439F"/>
    <w:rsid w:val="59DC0424"/>
    <w:rsid w:val="5ABE2233"/>
    <w:rsid w:val="5BCC3C8B"/>
    <w:rsid w:val="5BDF5D95"/>
    <w:rsid w:val="5BFE7528"/>
    <w:rsid w:val="5C092D2D"/>
    <w:rsid w:val="5C27405A"/>
    <w:rsid w:val="5C9F69FC"/>
    <w:rsid w:val="5CF8285E"/>
    <w:rsid w:val="5CFF599B"/>
    <w:rsid w:val="5D7F24EF"/>
    <w:rsid w:val="5DCC5CB3"/>
    <w:rsid w:val="5E053D08"/>
    <w:rsid w:val="5E2467F1"/>
    <w:rsid w:val="5EAF5F88"/>
    <w:rsid w:val="5ED915A1"/>
    <w:rsid w:val="5EEB2E89"/>
    <w:rsid w:val="5F053010"/>
    <w:rsid w:val="5F1A2B43"/>
    <w:rsid w:val="5F1B0316"/>
    <w:rsid w:val="5F4F6A72"/>
    <w:rsid w:val="5F5C5FB8"/>
    <w:rsid w:val="5FA666FE"/>
    <w:rsid w:val="5FB837BB"/>
    <w:rsid w:val="602A2D2E"/>
    <w:rsid w:val="60391C49"/>
    <w:rsid w:val="60CC405A"/>
    <w:rsid w:val="61316709"/>
    <w:rsid w:val="61E215D8"/>
    <w:rsid w:val="62065A1D"/>
    <w:rsid w:val="621B3775"/>
    <w:rsid w:val="62364782"/>
    <w:rsid w:val="623F530D"/>
    <w:rsid w:val="63425371"/>
    <w:rsid w:val="634F4B47"/>
    <w:rsid w:val="635441A8"/>
    <w:rsid w:val="6394356A"/>
    <w:rsid w:val="63C61B2C"/>
    <w:rsid w:val="63C825EA"/>
    <w:rsid w:val="63D40BE9"/>
    <w:rsid w:val="63E00C10"/>
    <w:rsid w:val="64102431"/>
    <w:rsid w:val="6499346D"/>
    <w:rsid w:val="64A5243A"/>
    <w:rsid w:val="64B1461A"/>
    <w:rsid w:val="64F531DE"/>
    <w:rsid w:val="65313989"/>
    <w:rsid w:val="65373578"/>
    <w:rsid w:val="6589499B"/>
    <w:rsid w:val="6597404F"/>
    <w:rsid w:val="660035B2"/>
    <w:rsid w:val="660A4086"/>
    <w:rsid w:val="664D08BD"/>
    <w:rsid w:val="668058B9"/>
    <w:rsid w:val="671F124A"/>
    <w:rsid w:val="67411A1A"/>
    <w:rsid w:val="674E7971"/>
    <w:rsid w:val="677A33C6"/>
    <w:rsid w:val="679F04A6"/>
    <w:rsid w:val="67A91325"/>
    <w:rsid w:val="681F6961"/>
    <w:rsid w:val="684A349C"/>
    <w:rsid w:val="68541082"/>
    <w:rsid w:val="68610A2F"/>
    <w:rsid w:val="68805514"/>
    <w:rsid w:val="68F1042E"/>
    <w:rsid w:val="68F92CDD"/>
    <w:rsid w:val="69316E2F"/>
    <w:rsid w:val="694E2071"/>
    <w:rsid w:val="694E3D97"/>
    <w:rsid w:val="69766163"/>
    <w:rsid w:val="697A3B33"/>
    <w:rsid w:val="69943146"/>
    <w:rsid w:val="69B938E8"/>
    <w:rsid w:val="69D44760"/>
    <w:rsid w:val="69D871E5"/>
    <w:rsid w:val="6A42336B"/>
    <w:rsid w:val="6A520EC7"/>
    <w:rsid w:val="6A933BC6"/>
    <w:rsid w:val="6AF87E20"/>
    <w:rsid w:val="6B022971"/>
    <w:rsid w:val="6B0C7787"/>
    <w:rsid w:val="6B322639"/>
    <w:rsid w:val="6BF42F6A"/>
    <w:rsid w:val="6C3F5DB4"/>
    <w:rsid w:val="6C636C38"/>
    <w:rsid w:val="6CB4112C"/>
    <w:rsid w:val="6D8C7D4A"/>
    <w:rsid w:val="6DB34098"/>
    <w:rsid w:val="6DB545B6"/>
    <w:rsid w:val="6DE02FB4"/>
    <w:rsid w:val="6E1F561F"/>
    <w:rsid w:val="6E514CED"/>
    <w:rsid w:val="6E6C09B6"/>
    <w:rsid w:val="6E8126B3"/>
    <w:rsid w:val="6E83052F"/>
    <w:rsid w:val="6E8C0F72"/>
    <w:rsid w:val="6EB563D5"/>
    <w:rsid w:val="6EC367B3"/>
    <w:rsid w:val="6ED92677"/>
    <w:rsid w:val="6F225983"/>
    <w:rsid w:val="6F267647"/>
    <w:rsid w:val="6F6A26B9"/>
    <w:rsid w:val="6F7B7788"/>
    <w:rsid w:val="6FB645DF"/>
    <w:rsid w:val="6FC211D5"/>
    <w:rsid w:val="6FFC5590"/>
    <w:rsid w:val="70422316"/>
    <w:rsid w:val="706D1DD0"/>
    <w:rsid w:val="70856B87"/>
    <w:rsid w:val="70D527EE"/>
    <w:rsid w:val="70EC066F"/>
    <w:rsid w:val="715B5300"/>
    <w:rsid w:val="7192018B"/>
    <w:rsid w:val="719A331D"/>
    <w:rsid w:val="71D27F8A"/>
    <w:rsid w:val="71F41601"/>
    <w:rsid w:val="72553024"/>
    <w:rsid w:val="72872262"/>
    <w:rsid w:val="72950361"/>
    <w:rsid w:val="730A6F7F"/>
    <w:rsid w:val="73122968"/>
    <w:rsid w:val="731F5D5E"/>
    <w:rsid w:val="73530396"/>
    <w:rsid w:val="73C51AD5"/>
    <w:rsid w:val="73CA1E7A"/>
    <w:rsid w:val="73CC742B"/>
    <w:rsid w:val="73DC27D7"/>
    <w:rsid w:val="73F6588F"/>
    <w:rsid w:val="74041A22"/>
    <w:rsid w:val="74094463"/>
    <w:rsid w:val="741E793C"/>
    <w:rsid w:val="745E3944"/>
    <w:rsid w:val="749E08C9"/>
    <w:rsid w:val="74B86703"/>
    <w:rsid w:val="74CC652A"/>
    <w:rsid w:val="74F51705"/>
    <w:rsid w:val="75061AC9"/>
    <w:rsid w:val="7573380E"/>
    <w:rsid w:val="75B21DAC"/>
    <w:rsid w:val="75B4336E"/>
    <w:rsid w:val="75FA0291"/>
    <w:rsid w:val="7635099D"/>
    <w:rsid w:val="764A6F7E"/>
    <w:rsid w:val="767A379C"/>
    <w:rsid w:val="76B72892"/>
    <w:rsid w:val="773F55A5"/>
    <w:rsid w:val="77762421"/>
    <w:rsid w:val="77A44EDF"/>
    <w:rsid w:val="77B56B1F"/>
    <w:rsid w:val="77C222EA"/>
    <w:rsid w:val="77CB70EB"/>
    <w:rsid w:val="77DB128E"/>
    <w:rsid w:val="780F09F4"/>
    <w:rsid w:val="782D31B9"/>
    <w:rsid w:val="78A43B6E"/>
    <w:rsid w:val="78A90480"/>
    <w:rsid w:val="79DA3EB3"/>
    <w:rsid w:val="7A1F5FF1"/>
    <w:rsid w:val="7A364017"/>
    <w:rsid w:val="7A4037DD"/>
    <w:rsid w:val="7A651DA8"/>
    <w:rsid w:val="7A8265E1"/>
    <w:rsid w:val="7ACF3938"/>
    <w:rsid w:val="7B686D42"/>
    <w:rsid w:val="7B7934A2"/>
    <w:rsid w:val="7B841746"/>
    <w:rsid w:val="7BBD33E8"/>
    <w:rsid w:val="7BDC5F40"/>
    <w:rsid w:val="7BE51142"/>
    <w:rsid w:val="7C046812"/>
    <w:rsid w:val="7C07400A"/>
    <w:rsid w:val="7C161508"/>
    <w:rsid w:val="7C556F2D"/>
    <w:rsid w:val="7C6C5AC7"/>
    <w:rsid w:val="7C8B003E"/>
    <w:rsid w:val="7CC6544B"/>
    <w:rsid w:val="7CF414B3"/>
    <w:rsid w:val="7D0239FF"/>
    <w:rsid w:val="7D554D26"/>
    <w:rsid w:val="7D5E40CD"/>
    <w:rsid w:val="7D6136D0"/>
    <w:rsid w:val="7DAB011C"/>
    <w:rsid w:val="7DB24046"/>
    <w:rsid w:val="7DB255C8"/>
    <w:rsid w:val="7DCD56F2"/>
    <w:rsid w:val="7DE307FB"/>
    <w:rsid w:val="7DE45DBB"/>
    <w:rsid w:val="7E4E00D8"/>
    <w:rsid w:val="7E706B85"/>
    <w:rsid w:val="7F001CE7"/>
    <w:rsid w:val="7F393237"/>
    <w:rsid w:val="7FDA1CC1"/>
    <w:rsid w:val="7FE47E50"/>
    <w:rsid w:val="7FF76C7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9" w:semiHidden="0" w:name="heading 1" w:locked="1"/>
    <w:lsdException w:qFormat="1" w:uiPriority="0" w:name="heading 2" w:locked="1"/>
    <w:lsdException w:qFormat="1" w:uiPriority="0" w:name="heading 3" w:locked="1"/>
    <w:lsdException w:qFormat="1" w:uiPriority="0" w:name="heading 4" w:locked="1"/>
    <w:lsdException w:qFormat="1" w:uiPriority="0" w:name="heading 5" w:locked="1"/>
    <w:lsdException w:qFormat="1" w:uiPriority="0" w:name="heading 6" w:locked="1"/>
    <w:lsdException w:qFormat="1" w:uiPriority="0" w:name="heading 7" w:locked="1"/>
    <w:lsdException w:qFormat="1" w:uiPriority="0" w:name="heading 8" w:locked="1"/>
    <w:lsdException w:qFormat="1" w:uiPriority="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unhideWhenUsed="0" w:uiPriority="0" w:semiHidden="0" w:name="toc 1" w:locked="1"/>
    <w:lsdException w:unhideWhenUsed="0" w:uiPriority="0" w:semiHidden="0" w:name="toc 2" w:locked="1"/>
    <w:lsdException w:unhideWhenUsed="0" w:uiPriority="0" w:semiHidden="0" w:name="toc 3" w:locked="1"/>
    <w:lsdException w:unhideWhenUsed="0" w:uiPriority="0" w:semiHidden="0" w:name="toc 4" w:locked="1"/>
    <w:lsdException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unhideWhenUsed="0" w:uiPriority="0" w:semiHidden="0" w:name="footnote text" w:locked="1"/>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unhideWhenUsed="0" w:uiPriority="0" w:semiHidden="0" w:name="footnote reference" w:locked="1"/>
    <w:lsdException w:qFormat="1" w:unhideWhenUsed="0" w:uiPriority="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unhideWhenUsed="0" w:uiPriority="0" w:semiHidden="0" w:name="table of authorities" w:locked="1"/>
    <w:lsdException w:unhideWhenUsed="0" w:uiPriority="0" w:semiHidden="0" w:name="macro" w:locked="1"/>
    <w:lsdException w:unhideWhenUsed="0" w:uiPriority="0" w:semiHidden="0" w:name="toa heading" w:locked="1"/>
    <w:lsdException w:qFormat="1" w:unhideWhenUsed="0" w:uiPriority="99"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qFormat="1"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unhideWhenUsed="0" w:uiPriority="0" w:semiHidden="0" w:name="Salutation" w:locked="1"/>
    <w:lsdException w:qFormat="1" w:unhideWhenUsed="0" w:uiPriority="0" w:semiHidden="0" w:name="Date"/>
    <w:lsdException w:unhideWhenUsed="0" w:uiPriority="0" w:semiHidden="0" w:name="Body Text First Indent" w:locked="1"/>
    <w:lsdException w:unhideWhenUsed="0" w:uiPriority="0" w:semiHidden="0" w:name="Body Text First Indent 2" w:locked="1"/>
    <w:lsdException w:unhideWhenUsed="0" w:uiPriority="0" w:semiHidden="0" w:name="Note Heading" w:locked="1"/>
    <w:lsdException w:unhideWhenUsed="0" w:uiPriority="0" w:semiHidden="0" w:name="Body Text 2" w:locked="1"/>
    <w:lsdException w:unhideWhenUsed="0" w:uiPriority="0" w:semiHidden="0" w:name="Body Text 3" w:locked="1"/>
    <w:lsdException w:qFormat="1" w:unhideWhenUsed="0" w:uiPriority="0" w:semiHidden="0" w:name="Body Text Indent 2" w:locked="1"/>
    <w:lsdException w:unhideWhenUsed="0" w:uiPriority="0" w:semiHidden="0" w:name="Body Text Indent 3" w:locked="1"/>
    <w:lsdException w:unhideWhenUsed="0" w:uiPriority="0" w:semiHidden="0" w:name="Block Text" w:locked="1"/>
    <w:lsdException w:unhideWhenUsed="0" w:uiPriority="0" w:semiHidden="0" w:name="Hyperlink" w:locked="1"/>
    <w:lsdException w:unhideWhenUsed="0" w:uiPriority="0" w:semiHidden="0" w:name="FollowedHyperlink" w:locked="1"/>
    <w:lsdException w:qFormat="1" w:unhideWhenUsed="0" w:uiPriority="0" w:semiHidden="0" w:name="Strong" w:locked="1"/>
    <w:lsdException w:qFormat="1" w:unhideWhenUsed="0" w:uiPriority="0" w:semiHidden="0" w:name="Emphasis" w:locked="1"/>
    <w:lsdException w:unhideWhenUsed="0" w:uiPriority="0" w:semiHidden="0" w:name="Document Map" w:locked="1"/>
    <w:lsdException w:unhideWhenUsed="0" w:uiPriority="0" w:semiHidden="0" w:name="Plain Text" w:locked="1"/>
    <w:lsdException w:unhideWhenUsed="0" w:uiPriority="0" w:semiHidden="0" w:name="E-mail Signature" w:locked="1"/>
    <w:lsdException w:qFormat="1" w:unhideWhenUsed="0" w:uiPriority="0"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unhideWhenUsed="0" w:uiPriority="0"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uiPriority="0" w:name="Table Grid 1" w:locked="1"/>
    <w:lsdException w:uiPriority="0" w:name="Table Grid 2" w:locked="1"/>
    <w:lsdException w:uiPriority="0" w:name="Table Grid 3" w:locked="1"/>
    <w:lsdException w:uiPriority="0" w:name="Table Grid 4" w:locked="1"/>
    <w:lsdException w:uiPriority="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name="Balloon Text"/>
    <w:lsdException w:qFormat="1" w:unhideWhenUsed="0" w:uiPriority="0" w:semiHidden="0" w:name="Table Grid"/>
    <w:lsdException w:uiPriority="0" w:name="Table Theme" w:locked="1"/>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autoRedefine/>
    <w:qFormat/>
    <w:locked/>
    <w:uiPriority w:val="99"/>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3">
    <w:name w:val="heading 2"/>
    <w:basedOn w:val="1"/>
    <w:next w:val="1"/>
    <w:semiHidden/>
    <w:unhideWhenUsed/>
    <w:qFormat/>
    <w:locked/>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4">
    <w:name w:val="Normal Indent"/>
    <w:basedOn w:val="1"/>
    <w:next w:val="1"/>
    <w:autoRedefine/>
    <w:qFormat/>
    <w:locked/>
    <w:uiPriority w:val="0"/>
    <w:pPr>
      <w:ind w:firstLine="420" w:firstLineChars="200"/>
    </w:pPr>
  </w:style>
  <w:style w:type="paragraph" w:styleId="5">
    <w:name w:val="caption"/>
    <w:basedOn w:val="1"/>
    <w:next w:val="1"/>
    <w:autoRedefine/>
    <w:qFormat/>
    <w:locked/>
    <w:uiPriority w:val="0"/>
    <w:pPr>
      <w:ind w:left="281" w:hanging="281" w:hangingChars="100"/>
      <w:jc w:val="center"/>
    </w:pPr>
    <w:rPr>
      <w:rFonts w:ascii="Arial" w:hAnsi="Arial"/>
    </w:rPr>
  </w:style>
  <w:style w:type="paragraph" w:styleId="6">
    <w:name w:val="annotation text"/>
    <w:basedOn w:val="1"/>
    <w:link w:val="24"/>
    <w:autoRedefine/>
    <w:semiHidden/>
    <w:qFormat/>
    <w:uiPriority w:val="0"/>
    <w:pPr>
      <w:jc w:val="left"/>
    </w:pPr>
    <w:rPr>
      <w:kern w:val="0"/>
      <w:sz w:val="24"/>
      <w:szCs w:val="20"/>
    </w:rPr>
  </w:style>
  <w:style w:type="paragraph" w:styleId="7">
    <w:name w:val="Body Text"/>
    <w:basedOn w:val="1"/>
    <w:next w:val="8"/>
    <w:link w:val="25"/>
    <w:autoRedefine/>
    <w:qFormat/>
    <w:uiPriority w:val="0"/>
    <w:pPr>
      <w:widowControl/>
      <w:snapToGrid w:val="0"/>
      <w:spacing w:before="60" w:after="160" w:line="259" w:lineRule="auto"/>
      <w:ind w:right="113"/>
    </w:pPr>
    <w:rPr>
      <w:kern w:val="0"/>
      <w:sz w:val="18"/>
      <w:szCs w:val="20"/>
    </w:rPr>
  </w:style>
  <w:style w:type="paragraph" w:styleId="8">
    <w:name w:val="List Bullet 5"/>
    <w:basedOn w:val="1"/>
    <w:qFormat/>
    <w:locked/>
    <w:uiPriority w:val="0"/>
    <w:pPr>
      <w:numPr>
        <w:ilvl w:val="0"/>
        <w:numId w:val="1"/>
      </w:numPr>
    </w:pPr>
  </w:style>
  <w:style w:type="paragraph" w:styleId="9">
    <w:name w:val="Body Text Indent"/>
    <w:basedOn w:val="1"/>
    <w:next w:val="7"/>
    <w:link w:val="26"/>
    <w:autoRedefine/>
    <w:qFormat/>
    <w:uiPriority w:val="0"/>
    <w:pPr>
      <w:spacing w:after="120"/>
      <w:ind w:left="420" w:leftChars="200"/>
    </w:pPr>
    <w:rPr>
      <w:kern w:val="0"/>
      <w:sz w:val="24"/>
      <w:szCs w:val="20"/>
    </w:rPr>
  </w:style>
  <w:style w:type="paragraph" w:styleId="10">
    <w:name w:val="Date"/>
    <w:basedOn w:val="1"/>
    <w:next w:val="1"/>
    <w:link w:val="27"/>
    <w:autoRedefine/>
    <w:qFormat/>
    <w:uiPriority w:val="0"/>
    <w:pPr>
      <w:ind w:left="100" w:leftChars="2500"/>
    </w:pPr>
    <w:rPr>
      <w:kern w:val="0"/>
      <w:sz w:val="24"/>
      <w:szCs w:val="20"/>
    </w:rPr>
  </w:style>
  <w:style w:type="paragraph" w:styleId="11">
    <w:name w:val="Body Text Indent 2"/>
    <w:basedOn w:val="1"/>
    <w:next w:val="1"/>
    <w:autoRedefine/>
    <w:qFormat/>
    <w:locked/>
    <w:uiPriority w:val="0"/>
    <w:pPr>
      <w:spacing w:after="120" w:line="480" w:lineRule="auto"/>
      <w:ind w:left="420" w:leftChars="200"/>
    </w:pPr>
  </w:style>
  <w:style w:type="paragraph" w:styleId="12">
    <w:name w:val="Balloon Text"/>
    <w:basedOn w:val="1"/>
    <w:link w:val="28"/>
    <w:autoRedefine/>
    <w:semiHidden/>
    <w:qFormat/>
    <w:uiPriority w:val="0"/>
    <w:rPr>
      <w:kern w:val="0"/>
      <w:sz w:val="18"/>
      <w:szCs w:val="20"/>
    </w:rPr>
  </w:style>
  <w:style w:type="paragraph" w:styleId="13">
    <w:name w:val="footer"/>
    <w:basedOn w:val="1"/>
    <w:next w:val="1"/>
    <w:link w:val="29"/>
    <w:autoRedefine/>
    <w:qFormat/>
    <w:uiPriority w:val="99"/>
    <w:pPr>
      <w:tabs>
        <w:tab w:val="center" w:pos="4153"/>
        <w:tab w:val="right" w:pos="8306"/>
      </w:tabs>
      <w:snapToGrid w:val="0"/>
      <w:jc w:val="left"/>
    </w:pPr>
    <w:rPr>
      <w:kern w:val="0"/>
      <w:sz w:val="18"/>
      <w:szCs w:val="20"/>
    </w:rPr>
  </w:style>
  <w:style w:type="paragraph" w:styleId="14">
    <w:name w:val="header"/>
    <w:basedOn w:val="1"/>
    <w:link w:val="30"/>
    <w:autoRedefine/>
    <w:qFormat/>
    <w:uiPriority w:val="0"/>
    <w:pPr>
      <w:pBdr>
        <w:bottom w:val="single" w:color="auto" w:sz="6" w:space="1"/>
      </w:pBdr>
      <w:tabs>
        <w:tab w:val="center" w:pos="4153"/>
        <w:tab w:val="right" w:pos="8306"/>
      </w:tabs>
      <w:snapToGrid w:val="0"/>
      <w:jc w:val="center"/>
    </w:pPr>
    <w:rPr>
      <w:kern w:val="0"/>
      <w:sz w:val="18"/>
      <w:szCs w:val="20"/>
    </w:rPr>
  </w:style>
  <w:style w:type="paragraph" w:styleId="15">
    <w:name w:val="List"/>
    <w:basedOn w:val="1"/>
    <w:next w:val="1"/>
    <w:qFormat/>
    <w:locked/>
    <w:uiPriority w:val="99"/>
    <w:pPr>
      <w:spacing w:line="320" w:lineRule="exact"/>
      <w:jc w:val="center"/>
    </w:pPr>
    <w:rPr>
      <w:sz w:val="20"/>
    </w:rPr>
  </w:style>
  <w:style w:type="paragraph" w:styleId="16">
    <w:name w:val="Normal (Web)"/>
    <w:basedOn w:val="1"/>
    <w:link w:val="31"/>
    <w:autoRedefine/>
    <w:qFormat/>
    <w:uiPriority w:val="0"/>
    <w:pPr>
      <w:widowControl/>
      <w:spacing w:before="100" w:beforeAutospacing="1" w:after="100" w:afterAutospacing="1"/>
      <w:jc w:val="left"/>
    </w:pPr>
    <w:rPr>
      <w:rFonts w:ascii="宋体" w:hAnsi="宋体"/>
      <w:kern w:val="0"/>
      <w:sz w:val="24"/>
      <w:szCs w:val="20"/>
    </w:rPr>
  </w:style>
  <w:style w:type="paragraph" w:styleId="17">
    <w:name w:val="annotation subject"/>
    <w:basedOn w:val="6"/>
    <w:next w:val="6"/>
    <w:link w:val="32"/>
    <w:autoRedefine/>
    <w:semiHidden/>
    <w:qFormat/>
    <w:uiPriority w:val="0"/>
    <w:rPr>
      <w:b/>
    </w:rPr>
  </w:style>
  <w:style w:type="table" w:styleId="19">
    <w:name w:val="Table Grid"/>
    <w:basedOn w:val="18"/>
    <w:autoRedefine/>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autoRedefine/>
    <w:qFormat/>
    <w:locked/>
    <w:uiPriority w:val="0"/>
  </w:style>
  <w:style w:type="character" w:styleId="22">
    <w:name w:val="annotation reference"/>
    <w:autoRedefine/>
    <w:semiHidden/>
    <w:qFormat/>
    <w:uiPriority w:val="0"/>
    <w:rPr>
      <w:sz w:val="21"/>
    </w:rPr>
  </w:style>
  <w:style w:type="paragraph" w:customStyle="1" w:styleId="23">
    <w:name w:val="toc 65"/>
    <w:next w:val="1"/>
    <w:autoRedefine/>
    <w:qFormat/>
    <w:uiPriority w:val="0"/>
    <w:pPr>
      <w:wordWrap w:val="0"/>
      <w:ind w:left="2125"/>
      <w:jc w:val="both"/>
    </w:pPr>
    <w:rPr>
      <w:rFonts w:ascii="Calibri" w:hAnsi="Calibri" w:eastAsia="宋体" w:cs="Times New Roman"/>
      <w:sz w:val="21"/>
      <w:lang w:val="en-US" w:eastAsia="zh-CN" w:bidi="ar-SA"/>
    </w:rPr>
  </w:style>
  <w:style w:type="character" w:customStyle="1" w:styleId="24">
    <w:name w:val="批注文字 字符"/>
    <w:link w:val="6"/>
    <w:autoRedefine/>
    <w:qFormat/>
    <w:locked/>
    <w:uiPriority w:val="0"/>
    <w:rPr>
      <w:rFonts w:ascii="Times New Roman" w:hAnsi="Times New Roman" w:eastAsia="宋体"/>
      <w:sz w:val="24"/>
    </w:rPr>
  </w:style>
  <w:style w:type="character" w:customStyle="1" w:styleId="25">
    <w:name w:val="正文文本 字符"/>
    <w:link w:val="7"/>
    <w:autoRedefine/>
    <w:qFormat/>
    <w:locked/>
    <w:uiPriority w:val="0"/>
    <w:rPr>
      <w:sz w:val="18"/>
    </w:rPr>
  </w:style>
  <w:style w:type="character" w:customStyle="1" w:styleId="26">
    <w:name w:val="正文文本缩进 字符"/>
    <w:link w:val="9"/>
    <w:autoRedefine/>
    <w:semiHidden/>
    <w:qFormat/>
    <w:locked/>
    <w:uiPriority w:val="0"/>
    <w:rPr>
      <w:rFonts w:ascii="Times New Roman" w:hAnsi="Times New Roman" w:eastAsia="宋体"/>
      <w:sz w:val="24"/>
    </w:rPr>
  </w:style>
  <w:style w:type="character" w:customStyle="1" w:styleId="27">
    <w:name w:val="日期 字符1"/>
    <w:link w:val="10"/>
    <w:autoRedefine/>
    <w:qFormat/>
    <w:locked/>
    <w:uiPriority w:val="0"/>
    <w:rPr>
      <w:rFonts w:ascii="Times New Roman" w:hAnsi="Times New Roman" w:eastAsia="宋体"/>
      <w:sz w:val="24"/>
    </w:rPr>
  </w:style>
  <w:style w:type="character" w:customStyle="1" w:styleId="28">
    <w:name w:val="批注框文本 字符"/>
    <w:link w:val="12"/>
    <w:autoRedefine/>
    <w:semiHidden/>
    <w:qFormat/>
    <w:locked/>
    <w:uiPriority w:val="0"/>
    <w:rPr>
      <w:rFonts w:ascii="Times New Roman" w:hAnsi="Times New Roman" w:eastAsia="宋体"/>
      <w:sz w:val="18"/>
    </w:rPr>
  </w:style>
  <w:style w:type="character" w:customStyle="1" w:styleId="29">
    <w:name w:val="页脚 字符1"/>
    <w:link w:val="13"/>
    <w:autoRedefine/>
    <w:qFormat/>
    <w:locked/>
    <w:uiPriority w:val="99"/>
    <w:rPr>
      <w:sz w:val="18"/>
    </w:rPr>
  </w:style>
  <w:style w:type="character" w:customStyle="1" w:styleId="30">
    <w:name w:val="页眉 字符"/>
    <w:link w:val="14"/>
    <w:autoRedefine/>
    <w:qFormat/>
    <w:locked/>
    <w:uiPriority w:val="0"/>
    <w:rPr>
      <w:sz w:val="18"/>
    </w:rPr>
  </w:style>
  <w:style w:type="character" w:customStyle="1" w:styleId="31">
    <w:name w:val="普通(网站) 字符"/>
    <w:link w:val="16"/>
    <w:autoRedefine/>
    <w:qFormat/>
    <w:locked/>
    <w:uiPriority w:val="0"/>
    <w:rPr>
      <w:rFonts w:ascii="宋体" w:hAnsi="宋体" w:eastAsia="宋体"/>
      <w:sz w:val="24"/>
    </w:rPr>
  </w:style>
  <w:style w:type="character" w:customStyle="1" w:styleId="32">
    <w:name w:val="批注主题 字符"/>
    <w:link w:val="17"/>
    <w:autoRedefine/>
    <w:semiHidden/>
    <w:qFormat/>
    <w:locked/>
    <w:uiPriority w:val="0"/>
    <w:rPr>
      <w:rFonts w:ascii="Times New Roman" w:hAnsi="Times New Roman" w:eastAsia="宋体"/>
      <w:b/>
      <w:kern w:val="2"/>
      <w:sz w:val="24"/>
    </w:rPr>
  </w:style>
  <w:style w:type="paragraph" w:customStyle="1" w:styleId="33">
    <w:name w:val="表格正文"/>
    <w:basedOn w:val="1"/>
    <w:autoRedefine/>
    <w:qFormat/>
    <w:uiPriority w:val="99"/>
    <w:pPr>
      <w:adjustRightInd w:val="0"/>
      <w:spacing w:line="0" w:lineRule="atLeast"/>
      <w:textAlignment w:val="baseline"/>
    </w:pPr>
    <w:rPr>
      <w:rFonts w:ascii="宋体" w:hAnsi="宋体" w:cs="宋体"/>
      <w:szCs w:val="32"/>
    </w:rPr>
  </w:style>
  <w:style w:type="paragraph" w:customStyle="1" w:styleId="34">
    <w:name w:val="图标题"/>
    <w:basedOn w:val="1"/>
    <w:autoRedefine/>
    <w:qFormat/>
    <w:uiPriority w:val="0"/>
    <w:pPr>
      <w:keepNext/>
      <w:keepLines/>
      <w:widowControl/>
      <w:spacing w:line="360" w:lineRule="auto"/>
      <w:jc w:val="center"/>
    </w:pPr>
    <w:rPr>
      <w:b/>
      <w:bCs/>
    </w:rPr>
  </w:style>
  <w:style w:type="character" w:customStyle="1" w:styleId="35">
    <w:name w:val="页脚 字符"/>
    <w:basedOn w:val="20"/>
    <w:autoRedefine/>
    <w:qFormat/>
    <w:uiPriority w:val="99"/>
  </w:style>
  <w:style w:type="character" w:customStyle="1" w:styleId="36">
    <w:name w:val="正文文本 字符1"/>
    <w:autoRedefine/>
    <w:semiHidden/>
    <w:qFormat/>
    <w:uiPriority w:val="0"/>
    <w:rPr>
      <w:rFonts w:ascii="Times New Roman" w:hAnsi="Times New Roman" w:eastAsia="宋体"/>
      <w:sz w:val="24"/>
    </w:rPr>
  </w:style>
  <w:style w:type="character" w:customStyle="1" w:styleId="37">
    <w:name w:val="表格 Char"/>
    <w:link w:val="38"/>
    <w:autoRedefine/>
    <w:qFormat/>
    <w:locked/>
    <w:uiPriority w:val="0"/>
    <w:rPr>
      <w:rFonts w:ascii="宋体"/>
      <w:sz w:val="21"/>
    </w:rPr>
  </w:style>
  <w:style w:type="paragraph" w:customStyle="1" w:styleId="38">
    <w:name w:val="表格"/>
    <w:basedOn w:val="15"/>
    <w:next w:val="1"/>
    <w:link w:val="37"/>
    <w:autoRedefine/>
    <w:qFormat/>
    <w:uiPriority w:val="0"/>
    <w:pPr>
      <w:adjustRightInd w:val="0"/>
      <w:snapToGrid w:val="0"/>
      <w:spacing w:beforeLines="10" w:afterLines="10" w:line="259" w:lineRule="auto"/>
      <w:jc w:val="center"/>
    </w:pPr>
    <w:rPr>
      <w:rFonts w:ascii="宋体"/>
      <w:kern w:val="0"/>
      <w:szCs w:val="20"/>
    </w:rPr>
  </w:style>
  <w:style w:type="character" w:customStyle="1" w:styleId="39">
    <w:name w:val="日期 字符"/>
    <w:autoRedefine/>
    <w:semiHidden/>
    <w:qFormat/>
    <w:uiPriority w:val="0"/>
    <w:rPr>
      <w:rFonts w:ascii="Times New Roman" w:hAnsi="Times New Roman" w:eastAsia="宋体"/>
      <w:sz w:val="24"/>
    </w:rPr>
  </w:style>
  <w:style w:type="character" w:customStyle="1" w:styleId="40">
    <w:name w:val="批注文字 字符1"/>
    <w:autoRedefine/>
    <w:semiHidden/>
    <w:qFormat/>
    <w:uiPriority w:val="0"/>
    <w:rPr>
      <w:rFonts w:ascii="Times New Roman" w:hAnsi="Times New Roman" w:eastAsia="宋体"/>
      <w:sz w:val="24"/>
    </w:rPr>
  </w:style>
  <w:style w:type="paragraph" w:customStyle="1" w:styleId="41">
    <w:name w:val="正文_10"/>
    <w:autoRedefine/>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42">
    <w:name w:val="普通(网站)2"/>
    <w:basedOn w:val="1"/>
    <w:autoRedefine/>
    <w:qFormat/>
    <w:uiPriority w:val="0"/>
    <w:pPr>
      <w:widowControl/>
      <w:spacing w:before="100" w:beforeAutospacing="1" w:after="100" w:afterAutospacing="1"/>
      <w:jc w:val="left"/>
    </w:pPr>
    <w:rPr>
      <w:rFonts w:ascii="宋体" w:hAnsi="宋体"/>
      <w:sz w:val="24"/>
      <w:szCs w:val="20"/>
    </w:rPr>
  </w:style>
  <w:style w:type="paragraph" w:customStyle="1" w:styleId="43">
    <w:name w:val="表格文本"/>
    <w:basedOn w:val="1"/>
    <w:autoRedefine/>
    <w:qFormat/>
    <w:uiPriority w:val="0"/>
    <w:pPr>
      <w:jc w:val="center"/>
    </w:pPr>
    <w:rPr>
      <w:szCs w:val="22"/>
    </w:rPr>
  </w:style>
  <w:style w:type="table" w:customStyle="1" w:styleId="44">
    <w:name w:val="Table Normal"/>
    <w:autoRedefine/>
    <w:unhideWhenUsed/>
    <w:qFormat/>
    <w:uiPriority w:val="0"/>
    <w:tblPr>
      <w:tblCellMar>
        <w:top w:w="0" w:type="dxa"/>
        <w:left w:w="0" w:type="dxa"/>
        <w:bottom w:w="0" w:type="dxa"/>
        <w:right w:w="0" w:type="dxa"/>
      </w:tblCellMar>
    </w:tblPr>
  </w:style>
  <w:style w:type="paragraph" w:customStyle="1" w:styleId="45">
    <w:name w:val="0正文"/>
    <w:autoRedefine/>
    <w:qFormat/>
    <w:uiPriority w:val="0"/>
    <w:pPr>
      <w:widowControl w:val="0"/>
      <w:spacing w:line="360" w:lineRule="auto"/>
      <w:ind w:firstLine="480" w:firstLineChars="200"/>
      <w:jc w:val="both"/>
    </w:pPr>
    <w:rPr>
      <w:rFonts w:ascii="Calibri" w:hAnsi="Calibri" w:eastAsia="宋体" w:cs="Times New Roman"/>
      <w:kern w:val="2"/>
      <w:sz w:val="22"/>
      <w:szCs w:val="22"/>
      <w:lang w:val="en-US" w:eastAsia="zh-CN" w:bidi="ar-SA"/>
    </w:rPr>
  </w:style>
  <w:style w:type="paragraph" w:customStyle="1" w:styleId="46">
    <w:name w:val="环保表内字（五号）"/>
    <w:basedOn w:val="1"/>
    <w:autoRedefine/>
    <w:qFormat/>
    <w:uiPriority w:val="0"/>
    <w:pPr>
      <w:autoSpaceDE w:val="0"/>
      <w:autoSpaceDN w:val="0"/>
      <w:adjustRightInd w:val="0"/>
      <w:snapToGrid w:val="0"/>
      <w:ind w:left="-1" w:leftChars="-1" w:hanging="2" w:hangingChars="1"/>
      <w:jc w:val="center"/>
    </w:pPr>
    <w:rPr>
      <w:snapToGrid w:val="0"/>
      <w:color w:val="000000"/>
      <w:kern w:val="0"/>
      <w:szCs w:val="21"/>
      <w:lang w:val="zh-CN"/>
    </w:rPr>
  </w:style>
  <w:style w:type="paragraph" w:customStyle="1" w:styleId="47">
    <w:name w:val="_Style 4"/>
    <w:next w:val="1"/>
    <w:autoRedefine/>
    <w:qFormat/>
    <w:uiPriority w:val="1"/>
    <w:pPr>
      <w:widowControl w:val="0"/>
      <w:jc w:val="both"/>
    </w:pPr>
    <w:rPr>
      <w:rFonts w:ascii="Times New Roman" w:hAnsi="Times New Roman" w:eastAsia="仿宋_GB2312" w:cs="Times New Roman"/>
      <w:kern w:val="2"/>
      <w:sz w:val="24"/>
      <w:szCs w:val="22"/>
      <w:lang w:val="en-US" w:eastAsia="zh-CN" w:bidi="ar-SA"/>
    </w:rPr>
  </w:style>
  <w:style w:type="paragraph" w:customStyle="1" w:styleId="48">
    <w:name w:val="Table Paragraph"/>
    <w:basedOn w:val="1"/>
    <w:autoRedefine/>
    <w:qFormat/>
    <w:uiPriority w:val="1"/>
    <w:rPr>
      <w:rFonts w:ascii="宋体" w:hAnsi="宋体" w:cs="宋体"/>
      <w:lang w:val="zh-CN" w:bidi="zh-CN"/>
    </w:rPr>
  </w:style>
  <w:style w:type="paragraph" w:customStyle="1" w:styleId="49">
    <w:name w:val="家具表格内文字"/>
    <w:basedOn w:val="1"/>
    <w:autoRedefine/>
    <w:qFormat/>
    <w:uiPriority w:val="0"/>
    <w:pPr>
      <w:jc w:val="center"/>
    </w:pPr>
    <w:rPr>
      <w:szCs w:val="21"/>
    </w:rPr>
  </w:style>
  <w:style w:type="character" w:customStyle="1" w:styleId="50">
    <w:name w:val="font31"/>
    <w:basedOn w:val="20"/>
    <w:qFormat/>
    <w:uiPriority w:val="0"/>
    <w:rPr>
      <w:rFonts w:hint="eastAsia" w:ascii="宋体" w:hAnsi="宋体" w:eastAsia="宋体" w:cs="宋体"/>
      <w:color w:val="000000"/>
      <w:sz w:val="18"/>
      <w:szCs w:val="18"/>
      <w:u w:val="none"/>
    </w:rPr>
  </w:style>
  <w:style w:type="paragraph" w:customStyle="1" w:styleId="51">
    <w:name w:val="￥正文"/>
    <w:basedOn w:val="1"/>
    <w:qFormat/>
    <w:uiPriority w:val="99"/>
    <w:pPr>
      <w:spacing w:after="120" w:line="440" w:lineRule="atLeast"/>
      <w:ind w:firstLine="560" w:firstLineChars="200"/>
    </w:pPr>
    <w:rPr>
      <w:rFonts w:ascii="宋体" w:hAnsi="宋体" w:eastAsia="仿宋_GB2312"/>
      <w:kern w:val="0"/>
      <w:sz w:val="24"/>
      <w:szCs w:val="28"/>
    </w:rPr>
  </w:style>
  <w:style w:type="paragraph" w:customStyle="1" w:styleId="52">
    <w:name w:val="Default"/>
    <w:qFormat/>
    <w:uiPriority w:val="0"/>
    <w:pPr>
      <w:widowControl w:val="0"/>
      <w:autoSpaceDE w:val="0"/>
      <w:autoSpaceDN w:val="0"/>
      <w:adjustRightInd w:val="0"/>
    </w:pPr>
    <w:rPr>
      <w:rFonts w:ascii="仿宋_GB2312" w:hAnsi="Times New Roman" w:eastAsia="仿宋_GB2312" w:cs="仿宋_GB2312"/>
      <w:color w:val="000000"/>
      <w:kern w:val="0"/>
      <w:sz w:val="24"/>
      <w:szCs w:val="24"/>
      <w:lang w:val="en-US" w:eastAsia="zh-CN" w:bidi="ar-SA"/>
    </w:rPr>
  </w:style>
  <w:style w:type="paragraph" w:customStyle="1" w:styleId="53">
    <w:name w:val="表格标题-段前0.3行"/>
    <w:basedOn w:val="1"/>
    <w:qFormat/>
    <w:uiPriority w:val="0"/>
    <w:pPr>
      <w:keepNext/>
      <w:keepLines/>
      <w:widowControl/>
      <w:spacing w:before="30" w:beforeLines="30"/>
      <w:jc w:val="center"/>
    </w:pPr>
    <w:rPr>
      <w:b/>
      <w:bCs/>
    </w:rPr>
  </w:style>
  <w:style w:type="paragraph" w:customStyle="1" w:styleId="54">
    <w:name w:val="表格内文字"/>
    <w:basedOn w:val="1"/>
    <w:qFormat/>
    <w:uiPriority w:val="0"/>
    <w:pPr>
      <w:widowControl/>
      <w:jc w:val="center"/>
    </w:pPr>
    <w:rPr>
      <w:sz w:val="21"/>
      <w:szCs w:val="21"/>
    </w:rPr>
  </w:style>
</w:styles>
</file>

<file path=word/_rels/document.xml.rels><?xml version="1.0" encoding="UTF-8" standalone="yes"?>
<Relationships xmlns="http://schemas.openxmlformats.org/package/2006/relationships"><Relationship Id="rId9" Type="http://schemas.openxmlformats.org/officeDocument/2006/relationships/footer" Target="footer6.xml"/><Relationship Id="rId80" Type="http://schemas.openxmlformats.org/officeDocument/2006/relationships/fontTable" Target="fontTable.xml"/><Relationship Id="rId8" Type="http://schemas.openxmlformats.org/officeDocument/2006/relationships/footer" Target="footer5.xml"/><Relationship Id="rId79" Type="http://schemas.openxmlformats.org/officeDocument/2006/relationships/numbering" Target="numbering.xml"/><Relationship Id="rId78" Type="http://schemas.openxmlformats.org/officeDocument/2006/relationships/customXml" Target="../customXml/item1.xml"/><Relationship Id="rId77" Type="http://schemas.openxmlformats.org/officeDocument/2006/relationships/image" Target="media/image54.png"/><Relationship Id="rId76" Type="http://schemas.openxmlformats.org/officeDocument/2006/relationships/image" Target="media/image53.png"/><Relationship Id="rId75" Type="http://schemas.openxmlformats.org/officeDocument/2006/relationships/image" Target="media/image52.png"/><Relationship Id="rId74" Type="http://schemas.openxmlformats.org/officeDocument/2006/relationships/image" Target="media/image51.png"/><Relationship Id="rId73" Type="http://schemas.openxmlformats.org/officeDocument/2006/relationships/image" Target="media/image50.png"/><Relationship Id="rId72" Type="http://schemas.openxmlformats.org/officeDocument/2006/relationships/image" Target="media/image49.png"/><Relationship Id="rId71" Type="http://schemas.openxmlformats.org/officeDocument/2006/relationships/image" Target="media/image48.png"/><Relationship Id="rId70" Type="http://schemas.openxmlformats.org/officeDocument/2006/relationships/image" Target="media/image47.png"/><Relationship Id="rId7" Type="http://schemas.openxmlformats.org/officeDocument/2006/relationships/footer" Target="footer4.xml"/><Relationship Id="rId69" Type="http://schemas.openxmlformats.org/officeDocument/2006/relationships/image" Target="media/image46.png"/><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jpeg"/><Relationship Id="rId63" Type="http://schemas.openxmlformats.org/officeDocument/2006/relationships/image" Target="media/image40.jpeg"/><Relationship Id="rId62" Type="http://schemas.openxmlformats.org/officeDocument/2006/relationships/image" Target="media/image39.jpeg"/><Relationship Id="rId61" Type="http://schemas.openxmlformats.org/officeDocument/2006/relationships/image" Target="media/image38.jpeg"/><Relationship Id="rId60" Type="http://schemas.openxmlformats.org/officeDocument/2006/relationships/image" Target="media/image37.jpeg"/><Relationship Id="rId6" Type="http://schemas.openxmlformats.org/officeDocument/2006/relationships/footer" Target="footer3.xml"/><Relationship Id="rId59" Type="http://schemas.openxmlformats.org/officeDocument/2006/relationships/image" Target="media/image36.jpeg"/><Relationship Id="rId58" Type="http://schemas.openxmlformats.org/officeDocument/2006/relationships/image" Target="media/image35.jpeg"/><Relationship Id="rId57" Type="http://schemas.openxmlformats.org/officeDocument/2006/relationships/image" Target="media/image34.jpeg"/><Relationship Id="rId56" Type="http://schemas.openxmlformats.org/officeDocument/2006/relationships/image" Target="media/image33.jpe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footer" Target="footer2.xml"/><Relationship Id="rId49" Type="http://schemas.openxmlformats.org/officeDocument/2006/relationships/image" Target="media/image26.png"/><Relationship Id="rId48" Type="http://schemas.openxmlformats.org/officeDocument/2006/relationships/image" Target="media/image25.jpeg"/><Relationship Id="rId47" Type="http://schemas.openxmlformats.org/officeDocument/2006/relationships/image" Target="media/image24.png"/><Relationship Id="rId46" Type="http://schemas.openxmlformats.org/officeDocument/2006/relationships/image" Target="media/image23.pn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png"/><Relationship Id="rId42" Type="http://schemas.openxmlformats.org/officeDocument/2006/relationships/image" Target="media/image19.png"/><Relationship Id="rId41" Type="http://schemas.openxmlformats.org/officeDocument/2006/relationships/image" Target="media/image18.wmf"/><Relationship Id="rId40" Type="http://schemas.openxmlformats.org/officeDocument/2006/relationships/oleObject" Target="embeddings/oleObject10.bin"/><Relationship Id="rId4" Type="http://schemas.openxmlformats.org/officeDocument/2006/relationships/footer" Target="footer1.xml"/><Relationship Id="rId39" Type="http://schemas.openxmlformats.org/officeDocument/2006/relationships/image" Target="media/image17.wmf"/><Relationship Id="rId38" Type="http://schemas.openxmlformats.org/officeDocument/2006/relationships/oleObject" Target="embeddings/oleObject9.bin"/><Relationship Id="rId37" Type="http://schemas.openxmlformats.org/officeDocument/2006/relationships/image" Target="media/image16.wmf"/><Relationship Id="rId36" Type="http://schemas.openxmlformats.org/officeDocument/2006/relationships/oleObject" Target="embeddings/oleObject8.bin"/><Relationship Id="rId35" Type="http://schemas.openxmlformats.org/officeDocument/2006/relationships/image" Target="media/image15.wmf"/><Relationship Id="rId34" Type="http://schemas.openxmlformats.org/officeDocument/2006/relationships/oleObject" Target="embeddings/oleObject7.bin"/><Relationship Id="rId33" Type="http://schemas.openxmlformats.org/officeDocument/2006/relationships/image" Target="media/image14.wmf"/><Relationship Id="rId32" Type="http://schemas.openxmlformats.org/officeDocument/2006/relationships/oleObject" Target="embeddings/oleObject6.bin"/><Relationship Id="rId31" Type="http://schemas.openxmlformats.org/officeDocument/2006/relationships/image" Target="media/image13.wmf"/><Relationship Id="rId30" Type="http://schemas.openxmlformats.org/officeDocument/2006/relationships/oleObject" Target="embeddings/oleObject5.bin"/><Relationship Id="rId3" Type="http://schemas.openxmlformats.org/officeDocument/2006/relationships/header" Target="header1.xml"/><Relationship Id="rId29" Type="http://schemas.openxmlformats.org/officeDocument/2006/relationships/image" Target="media/image12.wmf"/><Relationship Id="rId28" Type="http://schemas.openxmlformats.org/officeDocument/2006/relationships/oleObject" Target="embeddings/oleObject4.bin"/><Relationship Id="rId27" Type="http://schemas.openxmlformats.org/officeDocument/2006/relationships/image" Target="media/image11.wmf"/><Relationship Id="rId26" Type="http://schemas.openxmlformats.org/officeDocument/2006/relationships/oleObject" Target="embeddings/oleObject3.bin"/><Relationship Id="rId25" Type="http://schemas.openxmlformats.org/officeDocument/2006/relationships/image" Target="media/image10.wmf"/><Relationship Id="rId24" Type="http://schemas.openxmlformats.org/officeDocument/2006/relationships/oleObject" Target="embeddings/oleObject2.bin"/><Relationship Id="rId23" Type="http://schemas.openxmlformats.org/officeDocument/2006/relationships/image" Target="media/image9.wmf"/><Relationship Id="rId22" Type="http://schemas.openxmlformats.org/officeDocument/2006/relationships/oleObject" Target="embeddings/oleObject1.bin"/><Relationship Id="rId21" Type="http://schemas.openxmlformats.org/officeDocument/2006/relationships/image" Target="media/image8.png"/><Relationship Id="rId20" Type="http://schemas.openxmlformats.org/officeDocument/2006/relationships/image" Target="media/image7.jpeg"/><Relationship Id="rId2" Type="http://schemas.openxmlformats.org/officeDocument/2006/relationships/settings" Target="settings.xml"/><Relationship Id="rId19" Type="http://schemas.openxmlformats.org/officeDocument/2006/relationships/image" Target="media/image6.png"/><Relationship Id="rId18" Type="http://schemas.openxmlformats.org/officeDocument/2006/relationships/image" Target="media/image5.jpeg"/><Relationship Id="rId17" Type="http://schemas.openxmlformats.org/officeDocument/2006/relationships/image" Target="media/image4.png"/><Relationship Id="rId16" Type="http://schemas.openxmlformats.org/officeDocument/2006/relationships/image" Target="media/image3.png"/><Relationship Id="rId15" Type="http://schemas.openxmlformats.org/officeDocument/2006/relationships/image" Target="media/image2.png"/><Relationship Id="rId14" Type="http://schemas.openxmlformats.org/officeDocument/2006/relationships/image" Target="media/image1.jpeg"/><Relationship Id="rId13" Type="http://schemas.openxmlformats.org/officeDocument/2006/relationships/theme" Target="theme/theme1.xml"/><Relationship Id="rId12" Type="http://schemas.openxmlformats.org/officeDocument/2006/relationships/footer" Target="footer9.xml"/><Relationship Id="rId11" Type="http://schemas.openxmlformats.org/officeDocument/2006/relationships/footer" Target="footer8.xml"/><Relationship Id="rId10" Type="http://schemas.openxmlformats.org/officeDocument/2006/relationships/footer" Target="footer7.xml"/><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102</Pages>
  <Words>46330</Words>
  <Characters>51226</Characters>
  <Lines>372</Lines>
  <Paragraphs>104</Paragraphs>
  <TotalTime>28</TotalTime>
  <ScaleCrop>false</ScaleCrop>
  <LinksUpToDate>false</LinksUpToDate>
  <CharactersWithSpaces>51567</CharactersWithSpaces>
  <Application>WPS Office_12.1.0.19302_F1E327BC-269C-435d-A152-05C5408002CA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2024-06-06T07:40:00Z</dcterms:created>
  <dc:creator>lhj</dc:creator>
  <cp:lastModifiedBy>ぺ刘小欠</cp:lastModifiedBy>
  <cp:lastPrinted>2020-12-29T02:43:00Z</cp:lastPrinted>
  <dcterms:modified xsi:type="dcterms:W3CDTF">2025-02-26T07:31:48Z</dcterms:modified>
  <dc:title>附件2</dc:title>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2052-12.1.0.19302</vt:lpwstr>
  </property>
  <property fmtid="{D5CDD505-2E9C-101B-9397-08002B2CF9AE}" pid="3" name="ICV">
    <vt:lpwstr>4444C5F1D5B946FC9847D41C1C119901_13</vt:lpwstr>
  </property>
  <property fmtid="{D5CDD505-2E9C-101B-9397-08002B2CF9AE}" pid="4" name="KSOTemplateDocerSaveRecord">
    <vt:lpwstr>eyJoZGlkIjoiYmUxM2RkNWI0ZTlmOTRiMzEzOTQ5YjI3NjZmZjk2ODUiLCJ1c2VySWQiOiIzODA4MzE0MDkifQ==</vt:lpwstr>
  </property>
</Properties>
</file>